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Pre-processing methods</w:t>
      </w:r>
    </w:p>
    <w:p w:rsidR="00000000" w:rsidDel="00000000" w:rsidP="00000000" w:rsidRDefault="00000000" w:rsidRPr="00000000" w14:paraId="00000002">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03">
      <w:pPr>
        <w:spacing w:line="360" w:lineRule="auto"/>
        <w:jc w:val="both"/>
        <w:rPr>
          <w:sz w:val="20"/>
          <w:szCs w:val="20"/>
        </w:rPr>
      </w:pPr>
      <w:r w:rsidDel="00000000" w:rsidR="00000000" w:rsidRPr="00000000">
        <w:rPr>
          <w:sz w:val="20"/>
          <w:szCs w:val="20"/>
          <w:rtl w:val="0"/>
        </w:rPr>
        <w:t xml:space="preserve">Samples were sequenced in an Illumina MiSeq platform and raw reads were processed using DADA2 (Callahan et al. 2016) to determine amplicon sequence variants (ASVs). For the 16S rRNA gene, we trimmed the forward reads trimmed at 210 bp and the reverse reads at 180 bp, while for the 18S rRNA gene, forward reads were trimmed at 220 bp and the reverse reads at 190 bp. Then, for the 16S rRNA gene, the maximum number of expected errors (maxEE) was set to 5 for the forward reads and reverse reads, while for the 18S rRNA gene, the maxEE was set to 5 and 6 for the forward and reverse reads, respectively. Finally, error rates were estimated using DADA2 for both the 16S and 18S genes to delineate the ASVs.</w:t>
      </w:r>
    </w:p>
    <w:p w:rsidR="00000000" w:rsidDel="00000000" w:rsidP="00000000" w:rsidRDefault="00000000" w:rsidRPr="00000000" w14:paraId="00000004">
      <w:pPr>
        <w:spacing w:before="240" w:line="360" w:lineRule="auto"/>
        <w:jc w:val="both"/>
        <w:rPr>
          <w:sz w:val="20"/>
          <w:szCs w:val="20"/>
        </w:rPr>
      </w:pPr>
      <w:r w:rsidDel="00000000" w:rsidR="00000000" w:rsidRPr="00000000">
        <w:rPr>
          <w:sz w:val="20"/>
          <w:szCs w:val="20"/>
          <w:rtl w:val="0"/>
        </w:rPr>
        <w:tab/>
        <w:t xml:space="preserve">ASVs taxonomy was assigned with DADA2 using the naïve Bayesian classifier method (Qiong et al. 2007) together with the SILVA v.138 database (Quast et al. 2013) for prokaryotes, and the Protist Ribosomal Reference database (PR</w:t>
      </w:r>
      <w:r w:rsidDel="00000000" w:rsidR="00000000" w:rsidRPr="00000000">
        <w:rPr>
          <w:sz w:val="34"/>
          <w:szCs w:val="34"/>
          <w:vertAlign w:val="superscript"/>
          <w:rtl w:val="0"/>
        </w:rPr>
        <w:t xml:space="preserve">2</w:t>
      </w:r>
      <w:r w:rsidDel="00000000" w:rsidR="00000000" w:rsidRPr="00000000">
        <w:rPr>
          <w:sz w:val="20"/>
          <w:szCs w:val="20"/>
          <w:rtl w:val="0"/>
        </w:rPr>
        <w:t xml:space="preserve">, version 4.14, (Guillou et al. 2013)), for eukaryotes. Eukaryotes, chloroplasts and mitochondria were removed from the 16S ASVs table, while Holozoan (Metazoa and Fungi), Streptophyta, and nucleomorphs were removed from the 18S ASVs table.</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