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120"/>
        <w:ind w:firstLine="709"/>
        <w:jc w:val="both"/>
      </w:pPr>
      <w:r>
        <w:rPr>
          <w:rFonts w:ascii="Times New Roman" w:hAnsi="Times New Roman" w:cs="Times New Roman"/>
          <w:sz w:val="24"/>
        </w:rPr>
        <w:t>УДК 372.881.111.1:004.8</w:t>
      </w:r>
    </w:p>
    <w:p>
      <w:pPr>
        <w:spacing w:before="0" w:after="120"/>
        <w:ind w:firstLine="709"/>
        <w:jc w:val="both"/>
      </w:pPr>
      <w:r>
        <w:rPr>
          <w:rFonts w:ascii="Times New Roman" w:hAnsi="Times New Roman" w:cs="Times New Roman"/>
          <w:sz w:val="24"/>
        </w:rPr>
      </w:r>
      <w:r>
        <w:rPr>
          <w:rFonts w:ascii="Times New Roman" w:hAnsi="Times New Roman" w:cs="Times New Roman"/>
          <w:b/>
          <w:sz w:val="24"/>
        </w:rPr>
        <w:t>[Фамилия Имя Отчество]</w:t>
      </w:r>
      <w:r>
        <w:rPr>
          <w:rFonts w:ascii="Times New Roman" w:hAnsi="Times New Roman" w:cs="Times New Roman"/>
          <w:sz w:val="24"/>
        </w:rPr>
      </w:r>
    </w:p>
    <w:p>
      <w:pPr>
        <w:spacing w:before="0" w:after="120"/>
        <w:ind w:firstLine="709"/>
        <w:jc w:val="both"/>
      </w:pPr>
      <w:r>
        <w:rPr>
          <w:rFonts w:ascii="Times New Roman" w:hAnsi="Times New Roman" w:cs="Times New Roman"/>
          <w:sz w:val="24"/>
        </w:rPr>
        <w:t>[Должность, учёная степень, учёное звание], [наименование организации], г. [Город], Россия.</w:t>
      </w:r>
    </w:p>
    <w:p>
      <w:pPr>
        <w:spacing w:before="0" w:after="120"/>
        <w:ind w:firstLine="709"/>
        <w:jc w:val="both"/>
      </w:pPr>
      <w:r>
        <w:rPr>
          <w:rFonts w:ascii="Times New Roman" w:hAnsi="Times New Roman" w:cs="Times New Roman"/>
          <w:sz w:val="24"/>
        </w:rPr>
        <w:t>ORCID: 0000-0000-0000-0000</w:t>
      </w:r>
    </w:p>
    <w:p>
      <w:pPr>
        <w:spacing w:before="0" w:after="120"/>
        <w:ind w:firstLine="709"/>
        <w:jc w:val="both"/>
      </w:pPr>
      <w:r>
        <w:rPr>
          <w:rFonts w:ascii="Times New Roman" w:hAnsi="Times New Roman" w:cs="Times New Roman"/>
          <w:sz w:val="24"/>
        </w:rPr>
        <w:t>e-mail: author@organization.ru</w:t>
      </w:r>
    </w:p>
    <w:p>
      <w:pPr>
        <w:spacing w:before="240" w:after="240"/>
        <w:jc w:val="center"/>
      </w:pPr>
      <w:r>
        <w:rPr>
          <w:rFonts w:ascii="Times New Roman" w:hAnsi="Times New Roman" w:cs="Times New Roman"/>
          <w:b/>
          <w:sz w:val="28"/>
        </w:rPr>
        <w:t>Зарубежный опыт интеграции искусственного интеллекта в методику преподавания английского языка. Систематический обзор и перспективы адаптации в российском педагогическом вузе</w:t>
      </w:r>
    </w:p>
    <w:p>
      <w:pPr>
        <w:spacing w:before="0" w:after="120"/>
        <w:ind w:firstLine="709"/>
        <w:jc w:val="both"/>
      </w:pPr>
      <w:r>
        <w:rPr>
          <w:rFonts w:ascii="Times New Roman" w:hAnsi="Times New Roman" w:cs="Times New Roman"/>
          <w:sz w:val="24"/>
        </w:rPr>
      </w:r>
      <w:r>
        <w:rPr>
          <w:rFonts w:ascii="Times New Roman" w:hAnsi="Times New Roman" w:cs="Times New Roman"/>
          <w:b/>
          <w:sz w:val="24"/>
        </w:rPr>
        <w:t>Foreign Experience of Integrating Artificial Intelligence into English Language Teaching Methodology. A Systematic Review and Prospects for Adaptation in Russian Pedagogical Universities</w:t>
      </w:r>
      <w:r>
        <w:rPr>
          <w:rFonts w:ascii="Times New Roman" w:hAnsi="Times New Roman" w:cs="Times New Roman"/>
          <w:sz w:val="24"/>
        </w:rPr>
      </w:r>
    </w:p>
    <w:p>
      <w:pPr>
        <w:spacing w:before="200" w:after="120"/>
        <w:jc w:val="left"/>
      </w:pPr>
      <w:r>
        <w:rPr>
          <w:rFonts w:ascii="Times New Roman" w:hAnsi="Times New Roman" w:cs="Times New Roman"/>
          <w:b/>
          <w:sz w:val="26"/>
        </w:rPr>
        <w:t>Аннотация</w:t>
      </w:r>
    </w:p>
    <w:p>
      <w:pPr>
        <w:spacing w:before="0" w:after="120"/>
        <w:ind w:firstLine="709"/>
        <w:jc w:val="both"/>
      </w:pPr>
      <w:r>
        <w:rPr>
          <w:rFonts w:ascii="Times New Roman" w:hAnsi="Times New Roman" w:cs="Times New Roman"/>
          <w:sz w:val="24"/>
        </w:rPr>
        <w:t>В статье представлен систематический обзор зарубежных исследований 2020–2025 годов по интеграции технологий искусственного интеллекта (ИИ) в методику преподавания английского языка в высшей школе. Анализ 50 источников открытого доступа, охватывавших базы данных PubMed Central, MDPI, Language Learning and Technology, TESL-EJ, Frontiers, ERIC, IRRODL и arXiv, проводился по пяти тематическим блокам. Среди них ИИ в развитии письменной речи, применение ИИ-чатботов в устноречевой практике, адаптивное обучение и мотивационные эффекты, трансформация профессиональной роли преподавателя, этические риски и педагогические ограничения. Установлено, что дидактический потенциал ИИ-инструментов реализуется лишь при их методически обоснованной интеграции. Среди рассмотренных исследований не обнаружено ни одной работы, подтверждающей возможность или целесообразность замены преподавателя. Для российского педагогического вуза выделены три направления с наибольшим потенциалом адаптации, а именно ИИ-поддержка письменной речи, расширение внеаудиторной устноречевой практики и подготовка будущих учителей к работе в ИИ-насыщенной образовательной среде. Определены педагогические условия успешной адаптации и ограничения переносимости зарубежного опыта. Результаты могут применяться при проектировании учебных программ, разработке методических рекомендаций и программ повышения квалификации преподавателей английского языка педагогических вузов.</w:t>
      </w:r>
    </w:p>
    <w:p>
      <w:pPr>
        <w:spacing w:before="0" w:after="120"/>
        <w:ind w:firstLine="709"/>
        <w:jc w:val="both"/>
      </w:pPr>
      <w:r>
        <w:rPr>
          <w:rFonts w:ascii="Times New Roman" w:hAnsi="Times New Roman" w:cs="Times New Roman"/>
          <w:sz w:val="24"/>
        </w:rPr>
      </w:r>
      <w:r>
        <w:rPr>
          <w:rFonts w:ascii="Times New Roman" w:hAnsi="Times New Roman" w:cs="Times New Roman"/>
          <w:b/>
          <w:sz w:val="24"/>
        </w:rPr>
        <w:t>Ключевые слова.</w:t>
      </w:r>
      <w:r>
        <w:rPr>
          <w:rFonts w:ascii="Times New Roman" w:hAnsi="Times New Roman" w:cs="Times New Roman"/>
          <w:sz w:val="24"/>
        </w:rPr>
        <w:t xml:space="preserve"> Искусственный интеллект, методика преподавания английского языка, педагогический вуз, систематический обзор, иноязычное образование, ChatGPT, генеративный ИИ, компьютерное обучение языкам, адаптивное обучение.</w:t>
      </w:r>
    </w:p>
    <w:p>
      <w:pPr>
        <w:spacing w:before="200" w:after="120"/>
        <w:jc w:val="left"/>
      </w:pPr>
      <w:r>
        <w:rPr>
          <w:rFonts w:ascii="Times New Roman" w:hAnsi="Times New Roman" w:cs="Times New Roman"/>
          <w:b/>
          <w:sz w:val="26"/>
        </w:rPr>
        <w:t>Abstract</w:t>
      </w:r>
    </w:p>
    <w:p>
      <w:pPr>
        <w:spacing w:before="0" w:after="120"/>
        <w:ind w:firstLine="709"/>
        <w:jc w:val="both"/>
      </w:pPr>
      <w:r>
        <w:rPr>
          <w:rFonts w:ascii="Times New Roman" w:hAnsi="Times New Roman" w:cs="Times New Roman"/>
          <w:sz w:val="24"/>
        </w:rPr>
        <w:t>The article presents a systematic review of foreign research (2020–2025) on the integration of artificial intelligence (AI) technologies into English language teaching methodology in higher education. Fifty open-access sources drawn from PubMed Central, MDPI, Language Learning and Technology, TESL-EJ, Frontiers, ERIC, IRRODL, and arXiv were analyzed across five thematic directions, namely AI in writing development, AI chatbots and oral speech practice, adaptive learning and motivational effects, transformation of the teacher's professional role, and ethical risks and pedagogical limitations. The review establishes that the didactic potential of AI tools is realized only when their integration is methodologically grounded; no reviewed study was found confirming either the feasibility or desirability of replacing the teacher. Three directions are identified as having the highest adaptation potential for Russian pedagogical universities, namely AI-supported writing instruction, expansion of out-of-class oral practice, and preparing future teachers to work in AI-saturated educational environments. Pedagogical conditions for successful adaptation and limitations on the transferability of foreign experience are identified. The findings may inform curriculum design, methodological guidelines, and professional development programs for English language teachers at pedagogical universities.</w:t>
      </w:r>
    </w:p>
    <w:p>
      <w:pPr>
        <w:spacing w:before="0" w:after="120"/>
        <w:ind w:firstLine="709"/>
        <w:jc w:val="both"/>
      </w:pPr>
      <w:r>
        <w:rPr>
          <w:rFonts w:ascii="Times New Roman" w:hAnsi="Times New Roman" w:cs="Times New Roman"/>
          <w:sz w:val="24"/>
        </w:rPr>
      </w:r>
      <w:r>
        <w:rPr>
          <w:rFonts w:ascii="Times New Roman" w:hAnsi="Times New Roman" w:cs="Times New Roman"/>
          <w:b/>
          <w:sz w:val="24"/>
        </w:rPr>
        <w:t>Keywords.</w:t>
      </w:r>
      <w:r>
        <w:rPr>
          <w:rFonts w:ascii="Times New Roman" w:hAnsi="Times New Roman" w:cs="Times New Roman"/>
          <w:sz w:val="24"/>
        </w:rPr>
        <w:t xml:space="preserve"> Artificial intelligence, English language teaching methodology, pedagogical university, systematic review, foreign language education, ChatGPT, generative AI, computer-assisted language learning, adaptive learning.</w:t>
      </w:r>
    </w:p>
    <w:p>
      <w:pPr>
        <w:spacing w:before="200" w:after="120"/>
        <w:jc w:val="left"/>
      </w:pPr>
      <w:r>
        <w:rPr>
          <w:rFonts w:ascii="Times New Roman" w:hAnsi="Times New Roman" w:cs="Times New Roman"/>
          <w:b/>
          <w:sz w:val="26"/>
        </w:rPr>
        <w:t>1. Введение</w:t>
      </w:r>
    </w:p>
    <w:p>
      <w:pPr>
        <w:spacing w:before="0" w:after="120"/>
        <w:ind w:firstLine="709"/>
        <w:jc w:val="both"/>
      </w:pPr>
      <w:r>
        <w:rPr>
          <w:rFonts w:ascii="Times New Roman" w:hAnsi="Times New Roman" w:cs="Times New Roman"/>
          <w:sz w:val="24"/>
        </w:rPr>
        <w:t>К середине 2020-х годов искусственный интеллект перестал быть инструментом будущего в иноязычном образовании. Он стал обстоятельством настоящего, с которым педагогическая практика обязана считаться. Появление ChatGPT в ноябре 2022 года лишь обнажило процессы, шедшие медленнее на протяжении нескольких предшествующих лет, а именно постепенное проникновение генеративных языковых моделей, систем автоматизированной оценки письменных работ и разговорных чатботов в повседневную учебную деятельность студентов [10, 13]. Всё это произошло независимо от того, были ли преподаватели готовы к подобному повороту.</w:t>
      </w:r>
    </w:p>
    <w:p>
      <w:pPr>
        <w:spacing w:before="0" w:after="120"/>
        <w:ind w:firstLine="709"/>
        <w:jc w:val="both"/>
      </w:pPr>
      <w:r>
        <w:rPr>
          <w:rFonts w:ascii="Times New Roman" w:hAnsi="Times New Roman" w:cs="Times New Roman"/>
          <w:sz w:val="24"/>
        </w:rPr>
        <w:t>В научной литературе этот сдвиг зафиксирован количественно. Если в 2021 году рецензируемые публикации об ИИ в обучении языкам исчислялись единицами, то к 2024 году только в индексируемых базах данных их выходило более 150 в год [9]. Такой темп роста означает, что систематическое осмысление накопленного опыта само по себе превратилось в самостоятельную исследовательскую задачу. В числе устойчивых тематических направлений, сложившихся в этой быстро растущей области, выделяются осмысление дидактических возможностей и ограничений ИИ в языковом образовании [6, 50], трансформация образовательных пространств в условиях распространения ИИ-агентов и диалоговых систем [7, 48], а также изучение установок и реальных практик студентов и преподавателей в отношении генеративного ИИ [11, 12, 15, 16].</w:t>
      </w:r>
    </w:p>
    <w:p>
      <w:pPr>
        <w:spacing w:before="0" w:after="120"/>
        <w:ind w:firstLine="709"/>
        <w:jc w:val="both"/>
      </w:pPr>
      <w:r>
        <w:rPr>
          <w:rFonts w:ascii="Times New Roman" w:hAnsi="Times New Roman" w:cs="Times New Roman"/>
          <w:sz w:val="24"/>
        </w:rPr>
        <w:t>Российская система педагогического образования сталкивается с этой ситуацией в специфических условиях. ФГОС ВО нового поколения закрепляет требование формирования цифровых компетенций, однако конкретных указаний на ИИ-инструменты не содержит, что порождает значительную неопределённость на уровне кафедр и учебных программ. При этом отечественных систематических обзоров, специально посвящённых зарубежному опыту интеграции ИИ именно в методику преподавания английского языка применительно к педагогическому вузу, насколько нам известно, до настоящего времени не появлялось. Это «белое пятно» и определяет актуальность настоящей работы.</w:t>
      </w:r>
    </w:p>
    <w:p>
      <w:pPr>
        <w:spacing w:before="0" w:after="120"/>
        <w:ind w:firstLine="709"/>
        <w:jc w:val="both"/>
      </w:pPr>
      <w:r>
        <w:rPr>
          <w:rFonts w:ascii="Times New Roman" w:hAnsi="Times New Roman" w:cs="Times New Roman"/>
          <w:sz w:val="24"/>
        </w:rPr>
      </w:r>
      <w:r>
        <w:rPr>
          <w:rFonts w:ascii="Times New Roman" w:hAnsi="Times New Roman" w:cs="Times New Roman"/>
          <w:b/>
          <w:sz w:val="24"/>
        </w:rPr>
        <w:t>Цель исследования</w:t>
      </w:r>
      <w:r>
        <w:rPr>
          <w:rFonts w:ascii="Times New Roman" w:hAnsi="Times New Roman" w:cs="Times New Roman"/>
          <w:sz w:val="24"/>
        </w:rPr>
        <w:t xml:space="preserve"> состоит в том, чтобы на основе систематического обзора зарубежной литературы 2020–2025 годов выявить ключевые направления, педагогические условия и результаты интеграции ИИ в методику преподавания английского языка в зарубежной высшей школе, а также оценить перспективы адаптации этого опыта в российском педагогическом вузе.</w:t>
      </w:r>
    </w:p>
    <w:p>
      <w:pPr>
        <w:spacing w:before="0" w:after="120"/>
        <w:ind w:firstLine="709"/>
        <w:jc w:val="both"/>
      </w:pPr>
      <w:r>
        <w:rPr>
          <w:rFonts w:ascii="Times New Roman" w:hAnsi="Times New Roman" w:cs="Times New Roman"/>
          <w:sz w:val="24"/>
        </w:rPr>
        <w:t>Задачи исследования выстраиваются в аналитическую цепочку, в которой каждое звено создаёт основу для последующего. Исходным шагом служит систематизация основных направлений применения ИИ в обучении английскому языку по материалам зарубежных публикаций 2020–2025 годов, поскольку именно эта картина позволяет судить о реальном масштабе и тематическом составе изучаемой предметной области. На этой основе становится возможным развёрнутый анализ педагогических эффектов, условий и ограничений зафиксированных практик, без которого любые прикладные рекомендации рискуют остаться поверхностными. Существенной частью этого анализа является характеристика трансформации роли преподавателя в ИИ-насыщенной образовательной среде, поскольку именно преподаватель остаётся центральным агентом любой педагогической адаптации. Всё это в совокупности создаёт аналитическую основу для финальной задачи, а именно определения педагогических условий и барьеров переноса зарубежного опыта в контекст российского педагогического вуза.</w:t>
      </w:r>
    </w:p>
    <w:p>
      <w:pPr>
        <w:spacing w:before="0" w:after="120"/>
        <w:ind w:firstLine="709"/>
        <w:jc w:val="both"/>
      </w:pPr>
      <w:r>
        <w:rPr>
          <w:rFonts w:ascii="Times New Roman" w:hAnsi="Times New Roman" w:cs="Times New Roman"/>
          <w:sz w:val="24"/>
        </w:rPr>
      </w:r>
      <w:r>
        <w:rPr>
          <w:rFonts w:ascii="Times New Roman" w:hAnsi="Times New Roman" w:cs="Times New Roman"/>
          <w:b/>
          <w:sz w:val="24"/>
        </w:rPr>
        <w:t>Научная новизна</w:t>
      </w:r>
      <w:r>
        <w:rPr>
          <w:rFonts w:ascii="Times New Roman" w:hAnsi="Times New Roman" w:cs="Times New Roman"/>
          <w:sz w:val="24"/>
        </w:rPr>
        <w:t xml:space="preserve"> работы определяется тем, что исследование ставит перед собой двойную аналитическую задачу. Если обзоры общего плана [1, 2] рассматривают ИИ в языковом образовании применительно к широкому кругу контекстов, то здесь интерес сосредоточен на условиях переносимости зарубежного опыта в конкретный российский педагогический контекст. Это означает, что предметом специального анализа становятся не только педагогические эффекты и дидактические условия применения ИИ-инструментов, но и нормативный, институциональный и технологический контексты, которые в совокупности определяют, какой именно зарубежный опыт окажется переносимым и при каких условиях.</w:t>
      </w:r>
    </w:p>
    <w:p>
      <w:pPr>
        <w:spacing w:before="200" w:after="120"/>
        <w:jc w:val="left"/>
      </w:pPr>
      <w:r>
        <w:rPr>
          <w:rFonts w:ascii="Times New Roman" w:hAnsi="Times New Roman" w:cs="Times New Roman"/>
          <w:b/>
          <w:sz w:val="26"/>
        </w:rPr>
        <w:t>2. Материалы и методы</w:t>
      </w:r>
    </w:p>
    <w:p>
      <w:pPr>
        <w:spacing w:before="160" w:after="80"/>
        <w:jc w:val="left"/>
      </w:pPr>
      <w:r>
        <w:rPr>
          <w:rFonts w:ascii="Times New Roman" w:hAnsi="Times New Roman" w:cs="Times New Roman"/>
          <w:b/>
          <w:sz w:val="24"/>
        </w:rPr>
        <w:t>2.1. Дизайн исследования</w:t>
      </w:r>
    </w:p>
    <w:p>
      <w:pPr>
        <w:spacing w:before="0" w:after="120"/>
        <w:ind w:firstLine="709"/>
        <w:jc w:val="both"/>
      </w:pPr>
      <w:r>
        <w:rPr>
          <w:rFonts w:ascii="Times New Roman" w:hAnsi="Times New Roman" w:cs="Times New Roman"/>
          <w:sz w:val="24"/>
        </w:rPr>
        <w:t>Работа выполнена в формате систематического обзора с использованием общепринятых в международной практике принципов прозрачности критериев отбора, воспроизводимости поискового протокола и тематической структуризации данных [3, 5].</w:t>
      </w:r>
    </w:p>
    <w:p>
      <w:pPr>
        <w:spacing w:before="160" w:after="80"/>
        <w:jc w:val="left"/>
      </w:pPr>
      <w:r>
        <w:rPr>
          <w:rFonts w:ascii="Times New Roman" w:hAnsi="Times New Roman" w:cs="Times New Roman"/>
          <w:b/>
          <w:sz w:val="24"/>
        </w:rPr>
        <w:t>2.2. Критерии отбора источников</w:t>
      </w:r>
    </w:p>
    <w:p>
      <w:pPr>
        <w:spacing w:before="0" w:after="120"/>
        <w:ind w:firstLine="709"/>
        <w:jc w:val="both"/>
      </w:pPr>
      <w:r>
        <w:rPr>
          <w:rFonts w:ascii="Times New Roman" w:hAnsi="Times New Roman" w:cs="Times New Roman"/>
          <w:sz w:val="24"/>
        </w:rPr>
        <w:t>Выбор критериев включения и исключения определялся логикой исследовательского вопроса и необходимостью обеспечить сопоставимость анализируемых данных.</w:t>
      </w:r>
    </w:p>
    <w:p>
      <w:pPr>
        <w:spacing w:before="0" w:after="120"/>
        <w:ind w:firstLine="709"/>
        <w:jc w:val="both"/>
      </w:pPr>
      <w:r>
        <w:rPr>
          <w:rFonts w:ascii="Times New Roman" w:hAnsi="Times New Roman" w:cs="Times New Roman"/>
          <w:sz w:val="24"/>
        </w:rPr>
        <w:t>Хронологические рамки 2020–2025 годов обусловлены тем, что именно в этот период генеративный ИИ перешёл из статуса экспериментального инструмента в категорию массово доступных образовательных технологий, а значит, более ранние исследования описывали принципиально иной технологический ландшафт. В выборку включались рецензируемые научные статьи, систематические обзоры и метаанализы как жанры, гарантирующие минимальный стандарт научной верификации результатов. Тематическим фокусом служило применение ИИ в обучении английскому языку как иностранному или второму (EFL/ESL) в контексте высшего образования, поскольку данные из принципиально иных контекстов, в частности школьного или корпоративного, требуют самостоятельного обоснования переносимости. Обязательным условием являлось наличие открытого доступа к полному тексту, что обеспечивало верифицируемость всех включённых источников. Публикации рассматривались на английском языке как доминирующем в международном педагогическом дискурсе.</w:t>
      </w:r>
    </w:p>
    <w:p>
      <w:pPr>
        <w:spacing w:before="0" w:after="120"/>
        <w:ind w:firstLine="709"/>
        <w:jc w:val="both"/>
      </w:pPr>
      <w:r>
        <w:rPr>
          <w:rFonts w:ascii="Times New Roman" w:hAnsi="Times New Roman" w:cs="Times New Roman"/>
          <w:sz w:val="24"/>
        </w:rPr>
        <w:t>Критерии исключения зеркально соответствовали перечисленным условиям. Нерецензируемые материалы, в частности блоги и конференционные тезисы, не обеспечивают необходимого уровня научной верификации. Исследования, ориентированные исключительно на школьный уровень (K-12), исключались ввиду принципиальных методических различий между языковым обучением в школе и вузе. Технические публикации об алгоритмах ИИ без педагогической составляющей находились за пределами предметного поля обзора. Источники, недоступные в открытом доступе, также не принимались.</w:t>
      </w:r>
    </w:p>
    <w:p>
      <w:pPr>
        <w:spacing w:before="160" w:after="80"/>
        <w:jc w:val="left"/>
      </w:pPr>
      <w:r>
        <w:rPr>
          <w:rFonts w:ascii="Times New Roman" w:hAnsi="Times New Roman" w:cs="Times New Roman"/>
          <w:b/>
          <w:sz w:val="24"/>
        </w:rPr>
        <w:t>2.3. Источники поиска и поисковые запросы</w:t>
      </w:r>
    </w:p>
    <w:p>
      <w:pPr>
        <w:spacing w:before="0" w:after="120"/>
        <w:ind w:firstLine="709"/>
        <w:jc w:val="both"/>
      </w:pPr>
      <w:r>
        <w:rPr>
          <w:rFonts w:ascii="Times New Roman" w:hAnsi="Times New Roman" w:cs="Times New Roman"/>
          <w:sz w:val="24"/>
        </w:rPr>
        <w:t>Поиск проводился по восьми ресурсам открытого доступа, объединённым в три группы. Мультидисциплинарные репозитории и платформы были представлены PubMed Central (PMC), Frontiers, IRRODL и репозиторием препринтов arXiv. Специализированные журналы по методике преподавания языков включали Language Learning and Technology (LLT, импакт-фактор 5,6 за 2024 год) и TESL-EJ. Тематические платформы охватывали MDPI (журналы Languages, Education Sciences, Information, Sustainability) и ERIC.</w:t>
      </w:r>
    </w:p>
    <w:p>
      <w:pPr>
        <w:spacing w:before="0" w:after="120"/>
        <w:ind w:firstLine="709"/>
        <w:jc w:val="both"/>
      </w:pPr>
      <w:r>
        <w:rPr>
          <w:rFonts w:ascii="Times New Roman" w:hAnsi="Times New Roman" w:cs="Times New Roman"/>
          <w:sz w:val="24"/>
        </w:rPr>
        <w:t>В качестве поисковых запросов на английском языке применялись формулировки «artificial intelligence English language teaching», «ChatGPT EFL OR ESL», «generative AI language learning higher education», «AI chatbot speaking EFL», «automated writing feedback EFL», «adaptive learning English university», «teacher education artificial intelligence EFL».</w:t>
      </w:r>
    </w:p>
    <w:p>
      <w:pPr>
        <w:spacing w:before="160" w:after="80"/>
        <w:jc w:val="left"/>
      </w:pPr>
      <w:r>
        <w:rPr>
          <w:rFonts w:ascii="Times New Roman" w:hAnsi="Times New Roman" w:cs="Times New Roman"/>
          <w:b/>
          <w:sz w:val="24"/>
        </w:rPr>
        <w:t>2.4. Формирование выборки</w:t>
      </w:r>
    </w:p>
    <w:p>
      <w:pPr>
        <w:spacing w:before="0" w:after="120"/>
        <w:ind w:firstLine="709"/>
        <w:jc w:val="both"/>
      </w:pPr>
      <w:r>
        <w:rPr>
          <w:rFonts w:ascii="Times New Roman" w:hAnsi="Times New Roman" w:cs="Times New Roman"/>
          <w:sz w:val="24"/>
        </w:rPr>
        <w:t>Первичный поиск идентифицировал более 180 потенциально релевантных публикаций. После последовательного применения критериев включения и исключения, а также проверки открытого доступа к полным текстам итоговая выборка составила 50 источников. В таблице 1 представлено их распределение по тематическим блокам.</w:t>
      </w:r>
    </w:p>
    <w:p>
      <w:pPr>
        <w:spacing w:before="0" w:after="120"/>
        <w:ind w:firstLine="709"/>
        <w:jc w:val="both"/>
      </w:pPr>
      <w:r>
        <w:rPr>
          <w:rFonts w:ascii="Times New Roman" w:hAnsi="Times New Roman" w:cs="Times New Roman"/>
          <w:sz w:val="24"/>
        </w:rPr>
      </w:r>
      <w:r>
        <w:rPr>
          <w:rFonts w:ascii="Times New Roman" w:hAnsi="Times New Roman" w:cs="Times New Roman"/>
          <w:b/>
          <w:sz w:val="24"/>
        </w:rPr>
        <w:t>Таблица 1. Распределение источников по тематическим блокам</w:t>
      </w:r>
      <w:r>
        <w:rPr>
          <w:rFonts w:ascii="Times New Roman" w:hAnsi="Times New Roman" w:cs="Times New Roman"/>
          <w:sz w:val="24"/>
        </w:rPr>
      </w:r>
    </w:p>
    <w:tbl>
      <w:tblPr>
        <w:tblStyle w:val="TableGrid"/>
        <w:tblW w:type="auto" w:w="0"/>
        <w:tblLook w:firstColumn="1" w:firstRow="1" w:lastColumn="0" w:lastRow="0" w:noHBand="0" w:noVBand="1" w:val="04A0"/>
      </w:tblPr>
      <w:tblGrid>
        <w:gridCol w:w="4844"/>
        <w:gridCol w:w="4844"/>
      </w:tblGrid>
      <w:tr>
        <w:tc>
          <w:tcPr>
            <w:tcW w:type="dxa" w:w="4844"/>
          </w:tcPr>
          <w:p>
            <w:r>
              <w:rPr>
                <w:rFonts w:ascii="Times New Roman" w:hAnsi="Times New Roman" w:cs="Times New Roman"/>
                <w:b/>
                <w:sz w:val="22"/>
              </w:rPr>
              <w:t>Тематический блок</w:t>
            </w:r>
          </w:p>
        </w:tc>
        <w:tc>
          <w:tcPr>
            <w:tcW w:type="dxa" w:w="4844"/>
          </w:tcPr>
          <w:p>
            <w:r>
              <w:rPr>
                <w:rFonts w:ascii="Times New Roman" w:hAnsi="Times New Roman" w:cs="Times New Roman"/>
                <w:b/>
                <w:sz w:val="22"/>
              </w:rPr>
              <w:t>Количество источников</w:t>
            </w:r>
          </w:p>
        </w:tc>
      </w:tr>
      <w:tr>
        <w:tc>
          <w:tcPr>
            <w:tcW w:type="dxa" w:w="4844"/>
          </w:tcPr>
          <w:p>
            <w:r>
              <w:rPr>
                <w:rFonts w:ascii="Times New Roman" w:hAnsi="Times New Roman" w:cs="Times New Roman"/>
                <w:sz w:val="22"/>
              </w:rPr>
              <w:t>ИИ в развитии письменной речи</w:t>
            </w:r>
          </w:p>
        </w:tc>
        <w:tc>
          <w:tcPr>
            <w:tcW w:type="dxa" w:w="4844"/>
          </w:tcPr>
          <w:p>
            <w:r>
              <w:rPr>
                <w:rFonts w:ascii="Times New Roman" w:hAnsi="Times New Roman" w:cs="Times New Roman"/>
                <w:sz w:val="22"/>
              </w:rPr>
              <w:t>11</w:t>
            </w:r>
          </w:p>
        </w:tc>
      </w:tr>
      <w:tr>
        <w:tc>
          <w:tcPr>
            <w:tcW w:type="dxa" w:w="4844"/>
          </w:tcPr>
          <w:p>
            <w:r>
              <w:rPr>
                <w:rFonts w:ascii="Times New Roman" w:hAnsi="Times New Roman" w:cs="Times New Roman"/>
                <w:sz w:val="22"/>
              </w:rPr>
              <w:t>ИИ-чатботы и устноречевая практика</w:t>
            </w:r>
          </w:p>
        </w:tc>
        <w:tc>
          <w:tcPr>
            <w:tcW w:type="dxa" w:w="4844"/>
          </w:tcPr>
          <w:p>
            <w:r>
              <w:rPr>
                <w:rFonts w:ascii="Times New Roman" w:hAnsi="Times New Roman" w:cs="Times New Roman"/>
                <w:sz w:val="22"/>
              </w:rPr>
              <w:t>8</w:t>
            </w:r>
          </w:p>
        </w:tc>
      </w:tr>
      <w:tr>
        <w:tc>
          <w:tcPr>
            <w:tcW w:type="dxa" w:w="4844"/>
          </w:tcPr>
          <w:p>
            <w:r>
              <w:rPr>
                <w:rFonts w:ascii="Times New Roman" w:hAnsi="Times New Roman" w:cs="Times New Roman"/>
                <w:sz w:val="22"/>
              </w:rPr>
              <w:t>Мотивационные и адаптивные эффекты ИИ</w:t>
            </w:r>
          </w:p>
        </w:tc>
        <w:tc>
          <w:tcPr>
            <w:tcW w:type="dxa" w:w="4844"/>
          </w:tcPr>
          <w:p>
            <w:r>
              <w:rPr>
                <w:rFonts w:ascii="Times New Roman" w:hAnsi="Times New Roman" w:cs="Times New Roman"/>
                <w:sz w:val="22"/>
              </w:rPr>
              <w:t>9</w:t>
            </w:r>
          </w:p>
        </w:tc>
      </w:tr>
      <w:tr>
        <w:tc>
          <w:tcPr>
            <w:tcW w:type="dxa" w:w="4844"/>
          </w:tcPr>
          <w:p>
            <w:r>
              <w:rPr>
                <w:rFonts w:ascii="Times New Roman" w:hAnsi="Times New Roman" w:cs="Times New Roman"/>
                <w:sz w:val="22"/>
              </w:rPr>
              <w:t>Роль преподавателя в ИИ-среде</w:t>
            </w:r>
          </w:p>
        </w:tc>
        <w:tc>
          <w:tcPr>
            <w:tcW w:type="dxa" w:w="4844"/>
          </w:tcPr>
          <w:p>
            <w:r>
              <w:rPr>
                <w:rFonts w:ascii="Times New Roman" w:hAnsi="Times New Roman" w:cs="Times New Roman"/>
                <w:sz w:val="22"/>
              </w:rPr>
              <w:t>10</w:t>
            </w:r>
          </w:p>
        </w:tc>
      </w:tr>
      <w:tr>
        <w:tc>
          <w:tcPr>
            <w:tcW w:type="dxa" w:w="4844"/>
          </w:tcPr>
          <w:p>
            <w:r>
              <w:rPr>
                <w:rFonts w:ascii="Times New Roman" w:hAnsi="Times New Roman" w:cs="Times New Roman"/>
                <w:sz w:val="22"/>
              </w:rPr>
              <w:t>Этические риски и ограничения</w:t>
            </w:r>
          </w:p>
        </w:tc>
        <w:tc>
          <w:tcPr>
            <w:tcW w:type="dxa" w:w="4844"/>
          </w:tcPr>
          <w:p>
            <w:r>
              <w:rPr>
                <w:rFonts w:ascii="Times New Roman" w:hAnsi="Times New Roman" w:cs="Times New Roman"/>
                <w:sz w:val="22"/>
              </w:rPr>
              <w:t>12</w:t>
            </w:r>
          </w:p>
        </w:tc>
      </w:tr>
    </w:tbl>
    <w:p/>
    <w:p>
      <w:pPr>
        <w:spacing w:before="200" w:after="120"/>
        <w:jc w:val="left"/>
      </w:pPr>
      <w:r>
        <w:rPr>
          <w:rFonts w:ascii="Times New Roman" w:hAnsi="Times New Roman" w:cs="Times New Roman"/>
          <w:b/>
          <w:sz w:val="26"/>
        </w:rPr>
        <w:t>3. Результаты</w:t>
      </w:r>
    </w:p>
    <w:p>
      <w:pPr>
        <w:spacing w:before="160" w:after="80"/>
        <w:jc w:val="left"/>
      </w:pPr>
      <w:r>
        <w:rPr>
          <w:rFonts w:ascii="Times New Roman" w:hAnsi="Times New Roman" w:cs="Times New Roman"/>
          <w:b/>
          <w:sz w:val="24"/>
        </w:rPr>
        <w:t>3.1. Искусственный интеллект в развитии иноязычной письменной речи</w:t>
      </w:r>
    </w:p>
    <w:p>
      <w:pPr>
        <w:spacing w:before="0" w:after="120"/>
        <w:ind w:firstLine="709"/>
        <w:jc w:val="both"/>
      </w:pPr>
      <w:r>
        <w:rPr>
          <w:rFonts w:ascii="Times New Roman" w:hAnsi="Times New Roman" w:cs="Times New Roman"/>
          <w:sz w:val="24"/>
        </w:rPr>
        <w:t>Письменная речь остаётся наиболее изученным направлением в контексте ИИ в иноязычном образовании, и это закономерно. Именно здесь асинхронность, возможность многократной итерации и потребность в конкретной языковой обратной связи создают наиболее очевидную точку вхождения для ИИ-инструментов.</w:t>
      </w:r>
    </w:p>
    <w:p>
      <w:pPr>
        <w:spacing w:before="0" w:after="120"/>
        <w:ind w:firstLine="709"/>
        <w:jc w:val="both"/>
      </w:pPr>
      <w:r>
        <w:rPr>
          <w:rFonts w:ascii="Times New Roman" w:hAnsi="Times New Roman" w:cs="Times New Roman"/>
          <w:sz w:val="24"/>
        </w:rPr>
        <w:t>Работы по автоматизированной оценке письменных работ (Automated Writing Evaluation, AWE) образуют первую линию исследований. Результаты Liu et al. [20] показали, что студенты, получавшие компьютерную обратную связь, прогрессировали не только в качестве итогового текста, но и в стратегиях ревизии. Иными словами, ИИ влиял на сам процесс письма, а не только на его продукт. Это принципиально важное разграничение. ИИ выступает инструментом развития процессуальных навыков, а не корректором готового текста.</w:t>
      </w:r>
    </w:p>
    <w:p>
      <w:pPr>
        <w:spacing w:before="0" w:after="120"/>
        <w:ind w:firstLine="709"/>
        <w:jc w:val="both"/>
      </w:pPr>
      <w:r>
        <w:rPr>
          <w:rFonts w:ascii="Times New Roman" w:hAnsi="Times New Roman" w:cs="Times New Roman"/>
          <w:sz w:val="24"/>
        </w:rPr>
        <w:t>Впрочем, картина не так однозначна. Сопоставительное исследование Guo et al. [24] на материале перевода с китайского на английский зафиксировало любопытный дисбаланс. Обратная связь ChatGPT значительно уступала преподавательской при работе со сложными дискурсивными ошибками, зато превосходила её по системности при работе с лексикой и грамматикой. Получается, что ИИ хорош ровно там, где нужна методичная повторяемая проверка по формальным критериям, и явно слабее там, где требуется понимание коммуникативного замысла.</w:t>
      </w:r>
    </w:p>
    <w:p>
      <w:pPr>
        <w:spacing w:before="0" w:after="120"/>
        <w:ind w:firstLine="709"/>
        <w:jc w:val="both"/>
      </w:pPr>
      <w:r>
        <w:rPr>
          <w:rFonts w:ascii="Times New Roman" w:hAnsi="Times New Roman" w:cs="Times New Roman"/>
          <w:sz w:val="24"/>
        </w:rPr>
        <w:t>Вопрос о последовательности обратных связей оказался не менее важным, чем вопрос об их источнике. Wang et al. [21] продемонстрировали, что оптимальная схема предполагает следующий порядок. Студент сначала получает ИИ-обратную связь, затем преподавательскую, после чего самостоятельно пересматривает текст. Когда последовательность переворачивалась, студенты некритически принимали ИИ-комментарии как более авторитетные, что авторы объясняют своеобразным «делегированием доверия» технологии.</w:t>
      </w:r>
    </w:p>
    <w:p>
      <w:pPr>
        <w:spacing w:before="0" w:after="120"/>
        <w:ind w:firstLine="709"/>
        <w:jc w:val="both"/>
      </w:pPr>
      <w:r>
        <w:rPr>
          <w:rFonts w:ascii="Times New Roman" w:hAnsi="Times New Roman" w:cs="Times New Roman"/>
          <w:sz w:val="24"/>
        </w:rPr>
        <w:t>Zhang et al. [25] проверили надёжность многомерной оценки письменных работ с помощью больших языковых моделей и выявили высокую согласованность LLM-оценки с экспертными оценками по лексическому разнообразию и грамматической правильности. Существенные расхождения обнаружились в оценке когерентности и дискурсивной организации текста, что авторы связывают с принципиальными ограничениями нынешних архитектур ИИ. Таким образом, LLM-оценка надёжна в рамках формальных критериев и значительно менее надёжна за их пределами.</w:t>
      </w:r>
    </w:p>
    <w:p>
      <w:pPr>
        <w:spacing w:before="0" w:after="120"/>
        <w:ind w:firstLine="709"/>
        <w:jc w:val="both"/>
      </w:pPr>
      <w:r>
        <w:rPr>
          <w:rFonts w:ascii="Times New Roman" w:hAnsi="Times New Roman" w:cs="Times New Roman"/>
          <w:sz w:val="24"/>
        </w:rPr>
        <w:t>Среди качественных исследований выделяется работа Li et al. [22], описывающая паттерн когнитивной разгрузки у аспирантов. Студенты постепенно делегировали ИИ всё более сложные операции, переходя от редактирования к структурированию, а затем к генерации идей. Авторы квалифицируют этот сдвиг как угрозу развитию академической грамотности и предлагают модель «критического партнёрства», при которой студент осознанно управляет взаимодействием с инструментом. Xu et al. [23] зафиксировали статистически значимый прирост грамматической корректности и лексического разнообразия в экспериментальной группе, работавшей с GPT-4-чатботом WritePro, и специально подчёркивают, что ключевым фактором было педагогическое сопровождение, а не сам инструмент.</w:t>
      </w:r>
    </w:p>
    <w:p>
      <w:pPr>
        <w:spacing w:before="0" w:after="120"/>
        <w:ind w:firstLine="709"/>
        <w:jc w:val="both"/>
      </w:pPr>
      <w:r>
        <w:rPr>
          <w:rFonts w:ascii="Times New Roman" w:hAnsi="Times New Roman" w:cs="Times New Roman"/>
          <w:sz w:val="24"/>
        </w:rPr>
        <w:t>Данные выводы находят подтверждение в более широких обзорах применения ChatGPT в обучении иноязычной письменной речи [18, 49], авторы которых подчёркивают, что педагогическое сопровождение является необходимым условием дидактической эффективности любого ИИ-инструмента, а параллельно в литературе активно обсуждаются принципы проектирования самих языковых ИИ-систем с учётом педагогических задач [19]. Обобщая данное направление, можно констатировать, что ИИ в письменной речи эффективен как вспомогательный, но не замещающий инструмент. Это, впрочем, повторяет логику любой успешной дидактической технологии.</w:t>
      </w:r>
    </w:p>
    <w:p>
      <w:pPr>
        <w:spacing w:before="160" w:after="80"/>
        <w:jc w:val="left"/>
      </w:pPr>
      <w:r>
        <w:rPr>
          <w:rFonts w:ascii="Times New Roman" w:hAnsi="Times New Roman" w:cs="Times New Roman"/>
          <w:b/>
          <w:sz w:val="24"/>
        </w:rPr>
        <w:t>3.2. ИИ-чатботы и развитие устноречевых умений</w:t>
      </w:r>
    </w:p>
    <w:p>
      <w:pPr>
        <w:spacing w:before="0" w:after="120"/>
        <w:ind w:firstLine="709"/>
        <w:jc w:val="both"/>
      </w:pPr>
      <w:r>
        <w:rPr>
          <w:rFonts w:ascii="Times New Roman" w:hAnsi="Times New Roman" w:cs="Times New Roman"/>
          <w:sz w:val="24"/>
        </w:rPr>
        <w:t>Устноречевая практика традиционно является дефицитным ресурсом в EFL-контексте. Аудиторного времени не хватает, а возможности практики вне класса исторически ограничены. Именно этим объясняется значительный интерес к ИИ-чатботам как инструментам внеаудиторной практики говорения.</w:t>
      </w:r>
    </w:p>
    <w:p>
      <w:pPr>
        <w:spacing w:before="0" w:after="120"/>
        <w:ind w:firstLine="709"/>
        <w:jc w:val="both"/>
      </w:pPr>
      <w:r>
        <w:rPr>
          <w:rFonts w:ascii="Times New Roman" w:hAnsi="Times New Roman" w:cs="Times New Roman"/>
          <w:sz w:val="24"/>
        </w:rPr>
        <w:t>Систематический обзор Du и Daniel [28] охватил эмпирические исследования ИИ-чатботов для практики устной речи и установил, что диалоговые системы положительно влияют на беглость речи и готовность к общению (willingness to communicate). При этом выявлен существенный пробел. Большинство существующих чатботов обеспечивают обратную связь по грамматике и лексике, но практически игнорируют дискурсивные и прагматические аспекты речи. Студент может научиться строить правильные предложения, не научившись строить разговор. Более масштабный систематический обзор ИИ-чатботов в обучении второму языку, выполненный Wang et al. [31], подтвердил данную тенденцию и дополнительно указал на зависимость педагогического эффекта от уровня когнитивной вовлечённости студентов в диалог с системой.</w:t>
      </w:r>
    </w:p>
    <w:p>
      <w:pPr>
        <w:spacing w:before="0" w:after="120"/>
        <w:ind w:firstLine="709"/>
        <w:jc w:val="both"/>
      </w:pPr>
      <w:r>
        <w:rPr>
          <w:rFonts w:ascii="Times New Roman" w:hAnsi="Times New Roman" w:cs="Times New Roman"/>
          <w:sz w:val="24"/>
        </w:rPr>
        <w:t>Снижение речевой тревожности представляет собой один из наиболее устойчиво зафиксированных эффектов. Yang et al. [29] интерпретируют его через концепцию «безопасного пространства для практики». В отсутствие социального оценивания студенты значительно смелее рискуют в плане языка. Эта находка значима для российского контекста, где тревожность при устной речи на иностранном языке является известной педагогической проблемой.</w:t>
      </w:r>
    </w:p>
    <w:p>
      <w:pPr>
        <w:spacing w:before="0" w:after="120"/>
        <w:ind w:firstLine="709"/>
        <w:jc w:val="both"/>
      </w:pPr>
      <w:r>
        <w:rPr>
          <w:rFonts w:ascii="Times New Roman" w:hAnsi="Times New Roman" w:cs="Times New Roman"/>
          <w:sz w:val="24"/>
        </w:rPr>
        <w:t>Li et al. [30] сопоставили результаты подготовки с ИИ-чатботом и с преподавателем-фасилитатором. Студенты из обеих групп показали сопоставимые результаты в тестах, однако речь «чатботной» группы отличалась более бедным лексическим репертуаром. Примечательно, что именно это ограничение ИИ-чатбота становится у авторов ключевым аргументом в пользу комбинированного формата, при котором чатбот берёт на себя обеспечение объёма и доступности практики, тогда как преподаватель отвечает за лексическое и дискурсивное обогащение. Смежные данные получены в исследованиях ИИ-опосредованного развития словарного запаса [33] и адаптивного чтения с биометрической обратной связью [32], что свидетельствует о постепенном расширении области применения ИИ-инструментов за пределы традиционной устноречевой практики.</w:t>
      </w:r>
    </w:p>
    <w:p>
      <w:pPr>
        <w:spacing w:before="0" w:after="120"/>
        <w:ind w:firstLine="709"/>
        <w:jc w:val="both"/>
      </w:pPr>
      <w:r>
        <w:rPr>
          <w:rFonts w:ascii="Times New Roman" w:hAnsi="Times New Roman" w:cs="Times New Roman"/>
          <w:sz w:val="24"/>
        </w:rPr>
        <w:t>Отдельного внимания заслуживает система CHOP (ChatGPT for Oral Presentation Practice), описанная в работе Chen et al. [27]. Студенты, готовившие публичные выступления с её помощью, значительно улучшили структурированность и языковую корректность. Авторы, впрочем, фиксируют и обратную сторону. Часть студентов стала чрезмерно опираться на ИИ-подсказки, не вырабатывая собственных речевых стратегий. Этот риск системен и не специфичен для данного инструмента.</w:t>
      </w:r>
    </w:p>
    <w:p>
      <w:pPr>
        <w:spacing w:before="160" w:after="80"/>
        <w:jc w:val="left"/>
      </w:pPr>
      <w:r>
        <w:rPr>
          <w:rFonts w:ascii="Times New Roman" w:hAnsi="Times New Roman" w:cs="Times New Roman"/>
          <w:b/>
          <w:sz w:val="24"/>
        </w:rPr>
        <w:t>3.3. Мотивационные и адаптивные эффекты ИИ в изучении иностранного языка</w:t>
      </w:r>
    </w:p>
    <w:p>
      <w:pPr>
        <w:spacing w:before="0" w:after="120"/>
        <w:ind w:firstLine="709"/>
        <w:jc w:val="both"/>
      </w:pPr>
      <w:r>
        <w:rPr>
          <w:rFonts w:ascii="Times New Roman" w:hAnsi="Times New Roman" w:cs="Times New Roman"/>
          <w:sz w:val="24"/>
        </w:rPr>
        <w:t>Мотивационное и аффективное измерения оказались одними из наиболее активно исследуемых в контексте ИИ в иноязычном образовании, и это закономерно. Влияние технологии на учебную деятельность реализуется не только через непосредственный прирост знаний и умений, но и через изменение учебной мотивации, установок, готовности к самостоятельному труду и долгосрочного отношения студентов к собственному языковому развитию.</w:t>
      </w:r>
    </w:p>
    <w:p>
      <w:pPr>
        <w:spacing w:before="0" w:after="120"/>
        <w:ind w:firstLine="709"/>
        <w:jc w:val="both"/>
      </w:pPr>
      <w:r>
        <w:rPr>
          <w:rFonts w:ascii="Times New Roman" w:hAnsi="Times New Roman" w:cs="Times New Roman"/>
          <w:sz w:val="24"/>
        </w:rPr>
        <w:t>Huang et al. [34] в масштабном исследовании установили, что ИИ-опосредованное обучение английскому языку положительно влияет на три взаимосвязанных переменных. Фиксируется рост академических достижений, иноязычной мотивации и самостоятельной регуляции учебной деятельности. Показательна следующая деталь. Наибольший прирост наблюдался у студентов с исходно низким уровнем подготовки. Это говорит о компенсаторном потенциале адаптивных систем применительно к академически уязвимым группам, и данный потенциал в условиях неоднородных групп педагогического вуза может иметь существенное практическое значение.</w:t>
      </w:r>
    </w:p>
    <w:p>
      <w:pPr>
        <w:spacing w:before="0" w:after="120"/>
        <w:ind w:firstLine="709"/>
        <w:jc w:val="both"/>
      </w:pPr>
      <w:r>
        <w:rPr>
          <w:rFonts w:ascii="Times New Roman" w:hAnsi="Times New Roman" w:cs="Times New Roman"/>
          <w:sz w:val="24"/>
        </w:rPr>
        <w:t>Результаты Lin et al. [35] показали корреляцию между использованием ИИ-приложений и повышением вовлечённости, а также снижением прокрастинации. Авторы связывают этот эффект с геймификационными и адаптивными характеристиками платформ, обеспечивающими немедленное подкрепление. Этот механизм хорошо известен из литературы по мотивации, и в данном случае ИИ лишь реализует его технологически эффективно.</w:t>
      </w:r>
    </w:p>
    <w:p>
      <w:pPr>
        <w:spacing w:before="0" w:after="120"/>
        <w:ind w:firstLine="709"/>
        <w:jc w:val="both"/>
      </w:pPr>
      <w:r>
        <w:rPr>
          <w:rFonts w:ascii="Times New Roman" w:hAnsi="Times New Roman" w:cs="Times New Roman"/>
          <w:sz w:val="24"/>
        </w:rPr>
        <w:t>Теоретически важное разграничение предлагают Ma et al. [38], работающие в рамках теории самодетерминации. ИИ-поддержка усиливает автономию студента только при наличии педагогических «строительных лесов» (scaffolding) со стороны преподавателя. В противном случае та же ИИ-поддержка может автономию подавлять, формируя зависимость вместо самостоятельности. Это, на наш взгляд, принципиальный вывод для практики.</w:t>
      </w:r>
    </w:p>
    <w:p>
      <w:pPr>
        <w:spacing w:before="0" w:after="120"/>
        <w:ind w:firstLine="709"/>
        <w:jc w:val="both"/>
      </w:pPr>
      <w:r>
        <w:rPr>
          <w:rFonts w:ascii="Times New Roman" w:hAnsi="Times New Roman" w:cs="Times New Roman"/>
          <w:sz w:val="24"/>
        </w:rPr>
        <w:t>Fan et al. [36] на основе модели последовательной медиации показали, что путь от ИИ-грамотности студента к устойчивому использованию ИИ в обучении опосредован позитивными установками и удовольствием от взаимодействия с инструментом. Практический вывод прост, хотя и нетривиален. Простого внедрения ИИ-инструментов недостаточно. Необходимо целенаправленное формирование позитивного и одновременно критического отношения к ним.</w:t>
      </w:r>
    </w:p>
    <w:p>
      <w:pPr>
        <w:spacing w:before="0" w:after="120"/>
        <w:ind w:firstLine="709"/>
        <w:jc w:val="both"/>
      </w:pPr>
      <w:r>
        <w:rPr>
          <w:rFonts w:ascii="Times New Roman" w:hAnsi="Times New Roman" w:cs="Times New Roman"/>
          <w:sz w:val="24"/>
        </w:rPr>
        <w:t>Смежный результат получен Huang et al. [39] в исследовании L2-установки на рост (L2 growth mindset) в контексте ИИ-чатботов. Воспринимаемая удобность использования чатбота напрямую формировала у студентов установку на рост, которая, в свою очередь, стимулировала долгосрочную речевую вовлечённость. Иными словами, то, насколько органично ИИ-инструмент встроен в учебный процесс, влияет не только на немедленную результативность, но и на устойчивые установки студентов относительно собственного языкового развития. Перспективную теоретическую рамку для интерпретации описанных эффектов предлагают Ge et al. [37], рассматривающие взаимодействие студента с ИИ через призму «экологического сопряжения» (ecological coupling) и показывающие, что это взаимодействие встроено в более широкую учебную экологию, формирующую его исходы. Li et al. [45] эмпирически подтверждают эффективность ИИ-опосредованного скаффолдинга для академических достижений студентов в условиях высшей школы.</w:t>
      </w:r>
    </w:p>
    <w:p>
      <w:pPr>
        <w:spacing w:before="160" w:after="80"/>
        <w:jc w:val="left"/>
      </w:pPr>
      <w:r>
        <w:rPr>
          <w:rFonts w:ascii="Times New Roman" w:hAnsi="Times New Roman" w:cs="Times New Roman"/>
          <w:b/>
          <w:sz w:val="24"/>
        </w:rPr>
        <w:t>3.4. Трансформация роли преподавателя в условиях ИИ</w:t>
      </w:r>
    </w:p>
    <w:p>
      <w:pPr>
        <w:spacing w:before="0" w:after="120"/>
        <w:ind w:firstLine="709"/>
        <w:jc w:val="both"/>
      </w:pPr>
      <w:r>
        <w:rPr>
          <w:rFonts w:ascii="Times New Roman" w:hAnsi="Times New Roman" w:cs="Times New Roman"/>
          <w:sz w:val="24"/>
        </w:rPr>
        <w:t>Среди всех рассмотренных направлений именно трансформация профессиональной роли преподавателя вызывает наибольшие разногласия, и это закономерно, поскольку речь идёт не только о технологии, но и о профессиональной идентичности.</w:t>
      </w:r>
    </w:p>
    <w:p>
      <w:pPr>
        <w:spacing w:before="0" w:after="120"/>
        <w:ind w:firstLine="709"/>
        <w:jc w:val="both"/>
      </w:pPr>
      <w:r>
        <w:rPr>
          <w:rFonts w:ascii="Times New Roman" w:hAnsi="Times New Roman" w:cs="Times New Roman"/>
          <w:sz w:val="24"/>
        </w:rPr>
        <w:t>Almegren et al. [42] выделили четыре трансформированные роли преподавателя английского языка в ИИ-насыщенной среде, которые в совокупности указывают на усложнение, а не упрощение педагогического труда. Согласно авторам, преподаватель приобретает функции фасилитатора учебного опыта, ориентированного на организацию взаимодействия вместо трансляции знания; специалиста по смешанному обучению, осознанно соединяющего ИИ-компоненты с живой дидактикой; гибкого дизайнера учебных материалов, способного оперативно адаптировать контент с помощью ИИ; а также владельца навыков промпт-инжиниринга, позволяющих извлекать педагогически ценные результаты из языковых моделей. Ни одна из этих ролей не предполагает снижения профессиональной нагрузки, все они требуют более глубокой методической рефлексии.</w:t>
      </w:r>
    </w:p>
    <w:p>
      <w:pPr>
        <w:spacing w:before="0" w:after="120"/>
        <w:ind w:firstLine="709"/>
        <w:jc w:val="both"/>
      </w:pPr>
      <w:r>
        <w:rPr>
          <w:rFonts w:ascii="Times New Roman" w:hAnsi="Times New Roman" w:cs="Times New Roman"/>
          <w:sz w:val="24"/>
        </w:rPr>
        <w:t>Качественное исследование Zaimoğlu et al. [43] зафиксировало значительную вариативность в реальных практиках преподавателей. Педагоги с развитыми рефлексивными практиками применяли ИИ для создания дифференцированных заданий. Педагоги с меньшим опытом использовали его преимущественно для генерации стандартных упражнений, что давало предсказуемо скромный дидактический эффект. Вывод авторов принципиален. Педагогическое мышление является более значимой переменной, чем технологический инструментарий.</w:t>
      </w:r>
    </w:p>
    <w:p>
      <w:pPr>
        <w:spacing w:before="0" w:after="120"/>
        <w:ind w:firstLine="709"/>
        <w:jc w:val="both"/>
      </w:pPr>
      <w:r>
        <w:rPr>
          <w:rFonts w:ascii="Times New Roman" w:hAnsi="Times New Roman" w:cs="Times New Roman"/>
          <w:sz w:val="24"/>
        </w:rPr>
        <w:t>García-Díaz et al. [44] в систематическом обзоре по подготовке учителей иностранного языка к работе с ИИ констатировали, что большинство программ педагогического образования за рубежом до сих пор не включают систематической подготовки к деятельности в ИИ-насыщенной среде. Это, пожалуй, самый прямой сигнал для педагогического вуза. Такая подготовка не произойдёт сама собой. Chen et al. [41] в этой связи показали, что вовлечение педагогов в рефлексивное освоение генеративного ИИ как инструмента профессионального развития связано с ростом их педагогической самоэффективности, что открывает конкретную точку входа для программ повышения квалификации.</w:t>
      </w:r>
    </w:p>
    <w:p>
      <w:pPr>
        <w:spacing w:before="0" w:after="120"/>
        <w:ind w:firstLine="709"/>
        <w:jc w:val="both"/>
      </w:pPr>
      <w:r>
        <w:rPr>
          <w:rFonts w:ascii="Times New Roman" w:hAnsi="Times New Roman" w:cs="Times New Roman"/>
          <w:sz w:val="24"/>
        </w:rPr>
        <w:t>Особую теоретическую перспективу предлагает Godwin-Jones [8], формулируя «экологический» взгляд на роль языкового педагога в эпоху ИИ. Согласно данной концепции, ИИ следует рассматривать не как набор инструментов, а как новый экологический контекст языкового образования, меняющий конфигурацию дидактических целей, форм оценивания и принципов организации учебной деятельности. Насколько российское педагогическое образование готово к подобной переориентации, пока остаётся открытым вопросом.</w:t>
      </w:r>
    </w:p>
    <w:p>
      <w:pPr>
        <w:spacing w:before="0" w:after="120"/>
        <w:ind w:firstLine="709"/>
        <w:jc w:val="both"/>
      </w:pPr>
      <w:r>
        <w:rPr>
          <w:rFonts w:ascii="Times New Roman" w:hAnsi="Times New Roman" w:cs="Times New Roman"/>
          <w:sz w:val="24"/>
        </w:rPr>
        <w:t>Pan et al. [40] обнаружили, что воспринимаемая поддержка преподавателя значимо связана с субъективным благополучием студентов даже в высокотехнологичных образовательных средах. Иными словами, человеческий педагогический компонент сохраняет свою незаменимость независимо от уровня технологизации обучения.</w:t>
      </w:r>
    </w:p>
    <w:p>
      <w:pPr>
        <w:spacing w:before="160" w:after="80"/>
        <w:jc w:val="left"/>
      </w:pPr>
      <w:r>
        <w:rPr>
          <w:rFonts w:ascii="Times New Roman" w:hAnsi="Times New Roman" w:cs="Times New Roman"/>
          <w:b/>
          <w:sz w:val="24"/>
        </w:rPr>
        <w:t>3.5. Этические риски и педагогические ограничения</w:t>
      </w:r>
    </w:p>
    <w:p>
      <w:pPr>
        <w:spacing w:before="0" w:after="120"/>
        <w:ind w:firstLine="709"/>
        <w:jc w:val="both"/>
      </w:pPr>
      <w:r>
        <w:rPr>
          <w:rFonts w:ascii="Times New Roman" w:hAnsi="Times New Roman" w:cs="Times New Roman"/>
          <w:sz w:val="24"/>
        </w:rPr>
        <w:t>Параллельно с исследованиями о педагогических возможностях ИИ в зарубежной литературе сложилось весомое критическое направление. Его нельзя квалифицировать как технофобию. Речь идёт об обоснованных опасениях, имеющих под собой эмпирическую базу.</w:t>
      </w:r>
    </w:p>
    <w:p>
      <w:pPr>
        <w:spacing w:before="0" w:after="120"/>
        <w:ind w:firstLine="709"/>
        <w:jc w:val="both"/>
      </w:pPr>
      <w:r>
        <w:rPr>
          <w:rFonts w:ascii="Times New Roman" w:hAnsi="Times New Roman" w:cs="Times New Roman"/>
          <w:sz w:val="24"/>
        </w:rPr>
        <w:t>Академическая честность представляет наиболее острую из обсуждаемых проблем. Zhang et al. [17] зафиксировали явление, которое удачно назвали «этической амбивалентностью». Студенты осознают нормы академической честности и декларируют их соблюдение, однако в реальной практике систематически используют ИИ способами, которые сами же квалифицируют как нарушение. В качестве ответа авторы предлагают не ужесточение запретов, а педагогические стратегии, делающие честное взаимодействие с ИИ естественным выбором. Такая позиция представляется нам более реалистичной и конструктивной.</w:t>
      </w:r>
    </w:p>
    <w:p>
      <w:pPr>
        <w:spacing w:before="0" w:after="120"/>
        <w:ind w:firstLine="709"/>
        <w:jc w:val="both"/>
      </w:pPr>
      <w:r>
        <w:rPr>
          <w:rFonts w:ascii="Times New Roman" w:hAnsi="Times New Roman" w:cs="Times New Roman"/>
          <w:sz w:val="24"/>
        </w:rPr>
        <w:t>Риск когнитивной разгрузки зафиксирован в нескольких работах. Li et al. [22] показали, как аспиранты постепенно делегируют ИИ всё более сложные когнитивные операции, включая генерацию идей и построение аргументации, что тормозит развитие собственных академических компетенций. Okonkwo et al. [26] разработали «Синергетическую рамку активного обучения и генеративного ИИ» для ресурсно-ограниченных образовательных контекстов. В ней ИИ позиционируется как «когнитивный партнёр», стимулирующий рефлексию, а не замещающий её. Этот подход особенно интересен тем, что постсоветский контекст российских региональных вузов по ряду параметров напоминает те контексты, для которых разрабатывалась рамка.</w:t>
      </w:r>
    </w:p>
    <w:p>
      <w:pPr>
        <w:spacing w:before="0" w:after="120"/>
        <w:ind w:firstLine="709"/>
        <w:jc w:val="both"/>
      </w:pPr>
      <w:r>
        <w:rPr>
          <w:rFonts w:ascii="Times New Roman" w:hAnsi="Times New Roman" w:cs="Times New Roman"/>
          <w:sz w:val="24"/>
        </w:rPr>
        <w:t>Pham et al. [46] сформулировали принцип «осознанного партнёрства с ИИ» (mindful AI partnership). Согласно данному принципу, студент должен понимать, что именно делает ИИ, уметь критически оценивать его результат и нести персональную ответственность за итоговый академический продукт. Данный принцип, на наш взгляд, применим к российскому педагогическому вузу без существенных адаптаций.</w:t>
      </w:r>
    </w:p>
    <w:p>
      <w:pPr>
        <w:spacing w:before="0" w:after="120"/>
        <w:ind w:firstLine="709"/>
        <w:jc w:val="both"/>
      </w:pPr>
      <w:r>
        <w:rPr>
          <w:rFonts w:ascii="Times New Roman" w:hAnsi="Times New Roman" w:cs="Times New Roman"/>
          <w:sz w:val="24"/>
        </w:rPr>
        <w:t>Наконец, цифровое неравенство как фактор образовательного риска отмечается в нескольких обзорах [3, 5], при этом неравный доступ к качественным ИИ-инструментам углубляет существующее неравенство между студентами. Для России это означает дополнительный разрыв между столичными вузами с развитой инфраструктурой и периферийными педагогическими университетами. Xiao и Zhi [14], проанализировав YouTube-контент об использовании ChatGPT в обучении языкам, обнаружили, что при отсутствии институциональных ориентиров студенты активно обращаются к неформальным цифровым ресурсам для выработки стратегий работы с ИИ. Bekteshi [47] рассматривает это явление в контексте цифрового неравенства, указывая, что степень методической поддержки со стороны преподавателя во многом определяет, будет ли генеративный ИИ сокращать или углублять академический разрыв между студентами с разным уровнем цифровой грамотности.</w:t>
      </w:r>
    </w:p>
    <w:p>
      <w:pPr>
        <w:spacing w:before="200" w:after="120"/>
        <w:jc w:val="left"/>
      </w:pPr>
      <w:r>
        <w:rPr>
          <w:rFonts w:ascii="Times New Roman" w:hAnsi="Times New Roman" w:cs="Times New Roman"/>
          <w:b/>
          <w:sz w:val="26"/>
        </w:rPr>
        <w:t>4. Обсуждение</w:t>
      </w:r>
    </w:p>
    <w:p>
      <w:pPr>
        <w:spacing w:before="160" w:after="80"/>
        <w:jc w:val="left"/>
      </w:pPr>
      <w:r>
        <w:rPr>
          <w:rFonts w:ascii="Times New Roman" w:hAnsi="Times New Roman" w:cs="Times New Roman"/>
          <w:b/>
          <w:sz w:val="24"/>
        </w:rPr>
        <w:t>4.1. Контекстуальные различия и их значение для переносимости результатов</w:t>
      </w:r>
    </w:p>
    <w:p>
      <w:pPr>
        <w:spacing w:before="0" w:after="120"/>
        <w:ind w:firstLine="709"/>
        <w:jc w:val="both"/>
      </w:pPr>
      <w:r>
        <w:rPr>
          <w:rFonts w:ascii="Times New Roman" w:hAnsi="Times New Roman" w:cs="Times New Roman"/>
          <w:sz w:val="24"/>
        </w:rPr>
        <w:t>Большинство рассмотренных исследований выполнено в университетах Китая, Тайваня, США, Великобритании, Южной Кореи и стран Ближнего Востока. При всём их разнообразии эти контексты разделяют несколько общих черт, в числе которых развитая технологическая инфраструктура, культура самостоятельного обучения и, что особенно существенно, уже сложившиеся в ряде случаев институциональные политики в отношении ИИ.</w:t>
      </w:r>
    </w:p>
    <w:p>
      <w:pPr>
        <w:spacing w:before="0" w:after="120"/>
        <w:ind w:firstLine="709"/>
        <w:jc w:val="both"/>
      </w:pPr>
      <w:r>
        <w:rPr>
          <w:rFonts w:ascii="Times New Roman" w:hAnsi="Times New Roman" w:cs="Times New Roman"/>
          <w:sz w:val="24"/>
        </w:rPr>
        <w:t>Российский педагогический вуз образует качественно иной контекст, понять который невозможно без рассмотрения нескольких взаимосвязанных факторов.</w:t>
      </w:r>
    </w:p>
    <w:p>
      <w:pPr>
        <w:spacing w:before="0" w:after="120"/>
        <w:ind w:firstLine="709"/>
        <w:jc w:val="both"/>
      </w:pPr>
      <w:r>
        <w:rPr>
          <w:rFonts w:ascii="Times New Roman" w:hAnsi="Times New Roman" w:cs="Times New Roman"/>
          <w:sz w:val="24"/>
        </w:rPr>
        <w:t>ФГОС ВО по направлению «Педагогическое образование» закрепляет необходимость формирования цифровых компетенций, однако конкретных указаний на ИИ-инструменты не содержит, что порождает значительную неопределённость на уровне кафедр и учебных программ; педагогическая легитимизация ИИ пока во многом определяется позицией конкретной кафедры, тогда как международный опыт показывает необходимость осмысленной политики на уровне всего университета [4]. Дидактически отечественная методика преподавания иностранных языков опирается на развитую традицию коммуникативно-деятельностного подхода, в которой роль преподавателя как организатора живого иноязычного взаимодействия является центральной. Это, с одной стороны, задаёт высокий уровень методической рефлексии и тем самым создаёт ресурс для критического освоения ИИ, а с другой стороны, может формировать сопротивление тем моделям, где технологический компонент замещает непосредственный педагогический контакт. Языковой контекст оказывается наиболее благоприятным с точки зрения переносимости, поскольку российские студенты педагогических вузов изучают английский как иностранный (EFL), что принципиально совпадает с преобладающим контекстом рассмотренных исследований. Вместе с тем ограниченная доступность ряда зарубежных ИИ-инструментов актуализирует вопрос об отечественных аналогах, педагогический потенциал которых пока остаётся практически неизученным.</w:t>
      </w:r>
    </w:p>
    <w:p>
      <w:pPr>
        <w:spacing w:before="160" w:after="80"/>
        <w:jc w:val="left"/>
      </w:pPr>
      <w:r>
        <w:rPr>
          <w:rFonts w:ascii="Times New Roman" w:hAnsi="Times New Roman" w:cs="Times New Roman"/>
          <w:b/>
          <w:sz w:val="24"/>
        </w:rPr>
        <w:t>4.2. Направления с высоким потенциалом адаптации</w:t>
      </w:r>
    </w:p>
    <w:p>
      <w:pPr>
        <w:spacing w:before="0" w:after="120"/>
        <w:ind w:firstLine="709"/>
        <w:jc w:val="both"/>
      </w:pPr>
      <w:r>
        <w:rPr>
          <w:rFonts w:ascii="Times New Roman" w:hAnsi="Times New Roman" w:cs="Times New Roman"/>
          <w:sz w:val="24"/>
        </w:rPr>
        <w:t>Анализ позволяет выделить три направления, в наибольшей мере поддающихся переносу в российский педагогический вуз.</w:t>
      </w:r>
    </w:p>
    <w:p>
      <w:pPr>
        <w:spacing w:before="0" w:after="120"/>
        <w:ind w:firstLine="709"/>
        <w:jc w:val="both"/>
      </w:pPr>
      <w:r>
        <w:rPr>
          <w:rFonts w:ascii="Times New Roman" w:hAnsi="Times New Roman" w:cs="Times New Roman"/>
          <w:sz w:val="24"/>
        </w:rPr>
      </w:r>
      <w:r>
        <w:rPr>
          <w:rFonts w:ascii="Times New Roman" w:hAnsi="Times New Roman" w:cs="Times New Roman"/>
          <w:b/>
          <w:sz w:val="24"/>
        </w:rPr>
        <w:t>ИИ-поддержка письменной речи</w:t>
      </w:r>
      <w:r>
        <w:rPr>
          <w:rFonts w:ascii="Times New Roman" w:hAnsi="Times New Roman" w:cs="Times New Roman"/>
          <w:sz w:val="24"/>
        </w:rPr>
        <w:t xml:space="preserve"> представляет собой методически наиболее зрелое из рассмотренных направлений. Инструменты автоматизированной обратной связи органично встраиваются в существующие курсы академического письма, практического перевода и методики обучения письму, не требуя кардинальной перестройки дидактической системы. Педагогическое условие успешности здесь одно. Студент должен работать с ИИ-обратной связью как с инструментом рефлексии, а не как с источником готовых формулировок.</w:t>
      </w:r>
    </w:p>
    <w:p>
      <w:pPr>
        <w:spacing w:before="0" w:after="120"/>
        <w:ind w:firstLine="709"/>
        <w:jc w:val="both"/>
      </w:pPr>
      <w:r>
        <w:rPr>
          <w:rFonts w:ascii="Times New Roman" w:hAnsi="Times New Roman" w:cs="Times New Roman"/>
          <w:sz w:val="24"/>
        </w:rPr>
      </w:r>
      <w:r>
        <w:rPr>
          <w:rFonts w:ascii="Times New Roman" w:hAnsi="Times New Roman" w:cs="Times New Roman"/>
          <w:b/>
          <w:sz w:val="24"/>
        </w:rPr>
        <w:t>Расширение устноречевой практики</w:t>
      </w:r>
      <w:r>
        <w:rPr>
          <w:rFonts w:ascii="Times New Roman" w:hAnsi="Times New Roman" w:cs="Times New Roman"/>
          <w:sz w:val="24"/>
        </w:rPr>
        <w:t xml:space="preserve"> с помощью ИИ-чатботов адресует хроническую проблему педагогического вуза, а именно нехватку аудиторного времени на говорение. Чатботы как инструменты внеаудиторной практики могут нарастить объём речевого взаимодействия. Нерешённым при этом остаётся вопрос о качестве. Как показал обзор, существующие системы слабы в части дискурсивной и прагматической обратной связи.</w:t>
      </w:r>
    </w:p>
    <w:p>
      <w:pPr>
        <w:spacing w:before="0" w:after="120"/>
        <w:ind w:firstLine="709"/>
        <w:jc w:val="both"/>
      </w:pPr>
      <w:r>
        <w:rPr>
          <w:rFonts w:ascii="Times New Roman" w:hAnsi="Times New Roman" w:cs="Times New Roman"/>
          <w:sz w:val="24"/>
        </w:rPr>
      </w:r>
      <w:r>
        <w:rPr>
          <w:rFonts w:ascii="Times New Roman" w:hAnsi="Times New Roman" w:cs="Times New Roman"/>
          <w:b/>
          <w:sz w:val="24"/>
        </w:rPr>
        <w:t>Подготовка будущих учителей к профессиональной деятельности в ИИ-среде</w:t>
      </w:r>
      <w:r>
        <w:rPr>
          <w:rFonts w:ascii="Times New Roman" w:hAnsi="Times New Roman" w:cs="Times New Roman"/>
          <w:sz w:val="24"/>
        </w:rPr>
        <w:t xml:space="preserve"> является наиболее специфически «педагогическим» из трёх направлений. Выпускники педагогических вузов будут работать в школах, где ученики уже активно используют ИИ. Критическая ИИ-компетентность будущего учителя представляет собой не опцию, а профессиональную необходимость.</w:t>
      </w:r>
    </w:p>
    <w:p>
      <w:pPr>
        <w:spacing w:before="160" w:after="80"/>
        <w:jc w:val="left"/>
      </w:pPr>
      <w:r>
        <w:rPr>
          <w:rFonts w:ascii="Times New Roman" w:hAnsi="Times New Roman" w:cs="Times New Roman"/>
          <w:b/>
          <w:sz w:val="24"/>
        </w:rPr>
        <w:t>4.3. Педагогические условия адаптации</w:t>
      </w:r>
    </w:p>
    <w:p>
      <w:pPr>
        <w:spacing w:before="0" w:after="120"/>
        <w:ind w:firstLine="709"/>
        <w:jc w:val="both"/>
      </w:pPr>
      <w:r>
        <w:rPr>
          <w:rFonts w:ascii="Times New Roman" w:hAnsi="Times New Roman" w:cs="Times New Roman"/>
          <w:sz w:val="24"/>
        </w:rPr>
        <w:t>Синтез данных обзора позволяет обозначить условия, необходимые для успешной адаптации зарубежного опыта, и показательно, что все они оказываются не технологическими, а педагогическими по своей природе.</w:t>
      </w:r>
    </w:p>
    <w:p>
      <w:pPr>
        <w:spacing w:before="0" w:after="120"/>
        <w:ind w:firstLine="709"/>
        <w:jc w:val="both"/>
      </w:pPr>
      <w:r>
        <w:rPr>
          <w:rFonts w:ascii="Times New Roman" w:hAnsi="Times New Roman" w:cs="Times New Roman"/>
          <w:sz w:val="24"/>
        </w:rPr>
        <w:t>Центральным из этих условий является качество методического сопровождения. Исследование Zaimoğlu et al. [43] убедительно показало, что педагогическое мышление преподавателя является более значимой переменной, чем выбор конкретного ИИ-инструмента, а это означает, что стихийное внедрение без методической рамки, как правило, воспроизводит ограничения традиционного обучения в новой технологической оболочке, а не преодолевает их.</w:t>
      </w:r>
    </w:p>
    <w:p>
      <w:pPr>
        <w:spacing w:before="0" w:after="120"/>
        <w:ind w:firstLine="709"/>
        <w:jc w:val="both"/>
      </w:pPr>
      <w:r>
        <w:rPr>
          <w:rFonts w:ascii="Times New Roman" w:hAnsi="Times New Roman" w:cs="Times New Roman"/>
          <w:sz w:val="24"/>
        </w:rPr>
        <w:t>Не менее существенным условием является целенаправленное формирование у студентов рефлексивного отношения к ИИ-контенту, которое не возникает само собой. Li et al. [22] и Zhang et al. [17] независимо друг от друга зафиксировали устойчивую тенденцию к некритическому принятию ИИ-генерированных результатов, и преодоление этой тенденции требует специальной педагогической работы, начиная с первых занятий.</w:t>
      </w:r>
    </w:p>
    <w:p>
      <w:pPr>
        <w:spacing w:before="0" w:after="120"/>
        <w:ind w:firstLine="709"/>
        <w:jc w:val="both"/>
      </w:pPr>
      <w:r>
        <w:rPr>
          <w:rFonts w:ascii="Times New Roman" w:hAnsi="Times New Roman" w:cs="Times New Roman"/>
          <w:sz w:val="24"/>
        </w:rPr>
        <w:t>Оба названных условия предполагают более общий принцип, суть которого сводится к сохранению коммуникативного ядра обучения. Данные Pan et al. [40] показали, что воспринимаемая поддержка преподавателя остаётся значимым фактором субъективного благополучия студентов даже в высокотехнологичных образовательных средах, что указывает на неустранимость человеческого педагогического компонента независимо от уровня технологизации.</w:t>
      </w:r>
    </w:p>
    <w:p>
      <w:pPr>
        <w:spacing w:before="0" w:after="120"/>
        <w:ind w:firstLine="709"/>
        <w:jc w:val="both"/>
      </w:pPr>
      <w:r>
        <w:rPr>
          <w:rFonts w:ascii="Times New Roman" w:hAnsi="Times New Roman" w:cs="Times New Roman"/>
          <w:sz w:val="24"/>
        </w:rPr>
        <w:t>Наряду с педагогическими условиями необходима институциональная рамка, складывающаяся из чёткой политики вуза в отношении ИИ, программ повышения квалификации преподавателей и соответствующей технологической инфраструктуры. Вместе с тем институциональная поддержка является необходимым, но не достаточным условием, и без устойчивой педагогической культуры рефлексии она рискует остаться невостребованной. Отдельной задачей является нормативная пропедевтика академической честности применительно к ИИ, которую необходимо выстраивать с первого курса как диалог о границах и ответственности, а не как перечень запретов.</w:t>
      </w:r>
    </w:p>
    <w:p>
      <w:pPr>
        <w:spacing w:before="160" w:after="80"/>
        <w:jc w:val="left"/>
      </w:pPr>
      <w:r>
        <w:rPr>
          <w:rFonts w:ascii="Times New Roman" w:hAnsi="Times New Roman" w:cs="Times New Roman"/>
          <w:b/>
          <w:sz w:val="24"/>
        </w:rPr>
        <w:t>4.4. Ограничения исследования</w:t>
      </w:r>
    </w:p>
    <w:p>
      <w:pPr>
        <w:spacing w:before="0" w:after="120"/>
        <w:ind w:firstLine="709"/>
        <w:jc w:val="both"/>
      </w:pPr>
      <w:r>
        <w:rPr>
          <w:rFonts w:ascii="Times New Roman" w:hAnsi="Times New Roman" w:cs="Times New Roman"/>
          <w:sz w:val="24"/>
        </w:rPr>
        <w:t>Настоящий обзор сопряжён с рядом ограничений, о которых необходимо сказать прямо.</w:t>
      </w:r>
    </w:p>
    <w:p>
      <w:pPr>
        <w:spacing w:before="0" w:after="120"/>
        <w:ind w:firstLine="709"/>
        <w:jc w:val="both"/>
      </w:pPr>
      <w:r>
        <w:rPr>
          <w:rFonts w:ascii="Times New Roman" w:hAnsi="Times New Roman" w:cs="Times New Roman"/>
          <w:sz w:val="24"/>
        </w:rPr>
        <w:t>Отбор 50 источников из более 180 потенциально релевантных неизбежно содержит элемент субъективности, несмотря на заданные критерии. Без второго независимого рецензента нельзя гарантировать полную воспроизводимость результатов отбора. Все включённые источники публиковались на английском языке, что означает систематическое отсутствие исследований из незападных академических традиций, включая отечественные. Верификация полных текстов всех 50 источников была частичной, что не позволяет гарантировать стопроцентную точность передачи содержания каждой работы. Наконец, стремительность изменений в области генеративного ИИ означает, что часть приводимых данных может устаревать быстрее, чем обычно для педагогических систематических обзоров.</w:t>
      </w:r>
    </w:p>
    <w:p>
      <w:pPr>
        <w:spacing w:before="200" w:after="120"/>
        <w:jc w:val="left"/>
      </w:pPr>
      <w:r>
        <w:rPr>
          <w:rFonts w:ascii="Times New Roman" w:hAnsi="Times New Roman" w:cs="Times New Roman"/>
          <w:b/>
          <w:sz w:val="26"/>
        </w:rPr>
        <w:t>5. Заключение</w:t>
      </w:r>
    </w:p>
    <w:p>
      <w:pPr>
        <w:spacing w:before="0" w:after="120"/>
        <w:ind w:firstLine="709"/>
        <w:jc w:val="both"/>
      </w:pPr>
      <w:r>
        <w:rPr>
          <w:rFonts w:ascii="Times New Roman" w:hAnsi="Times New Roman" w:cs="Times New Roman"/>
          <w:sz w:val="24"/>
        </w:rPr>
        <w:t>Систематический обзор 50 зарубежных источников 2020–2025 годов позволяет сформулировать выводы в соответствии с каждой из поставленных задач, и в совокупности эти выводы складываются в картину, выходящую за рамки общего тезиса об «ИИ как полезном инструменте».</w:t>
      </w:r>
    </w:p>
    <w:p>
      <w:pPr>
        <w:spacing w:before="0" w:after="120"/>
        <w:ind w:firstLine="709"/>
        <w:jc w:val="both"/>
      </w:pPr>
      <w:r>
        <w:rPr>
          <w:rFonts w:ascii="Times New Roman" w:hAnsi="Times New Roman" w:cs="Times New Roman"/>
          <w:sz w:val="24"/>
        </w:rPr>
        <w:t>Применительно к первой задаче, связанной с систематизацией направлений, установлено, что зарубежные исследования охватывают пять тематических блоков. Наибольший массив эмпирических данных накоплен по применению ИИ в письменной речи, тогда как устноречевая практика с ИИ-чатботами и особенно подготовка преподавателей к ИИ-насыщенной среде остаются относительно менее исследованными. Это распределение само по себе является педагогически значимым результатом обзора.</w:t>
      </w:r>
    </w:p>
    <w:p>
      <w:pPr>
        <w:spacing w:before="0" w:after="120"/>
        <w:ind w:firstLine="709"/>
        <w:jc w:val="both"/>
      </w:pPr>
      <w:r>
        <w:rPr>
          <w:rFonts w:ascii="Times New Roman" w:hAnsi="Times New Roman" w:cs="Times New Roman"/>
          <w:sz w:val="24"/>
        </w:rPr>
        <w:t>Второй вывод, отвечающий на вопрос о педагогических эффектах и условиях, прослеживается во всех рассмотренных направлениях как сквозная закономерность. Педагогическая эффективность ИИ-инструментов определяется не их технологическими характеристиками, а качеством дидактического контекста, в который они встроены. Среди рассмотренных исследований нами не обнаружено ни одной работы, которая подтверждала бы возможность или целесообразность замены преподавателя; напротив, данные последовательно указывают на возрастание требований к педагогическому мастерству по мере усложнения технологической составляющей обучения.</w:t>
      </w:r>
    </w:p>
    <w:p>
      <w:pPr>
        <w:spacing w:before="0" w:after="120"/>
        <w:ind w:firstLine="709"/>
        <w:jc w:val="both"/>
      </w:pPr>
      <w:r>
        <w:rPr>
          <w:rFonts w:ascii="Times New Roman" w:hAnsi="Times New Roman" w:cs="Times New Roman"/>
          <w:sz w:val="24"/>
        </w:rPr>
        <w:t>Трансформация роли преподавателя, которой посвящена третья задача, разворачивается в направлении, которое можно охарактеризовать как профессиональное усложнение без упрощения. Преподаватель приобретает функции фасилитатора учебного опыта, критического посредника между студентом и ИИ-инструментом и проектировщика педагогических сред с генеративными технологиями, что требует более глубокой методической рефлексии, нежели традиционная модель передачи знания.</w:t>
      </w:r>
    </w:p>
    <w:p>
      <w:pPr>
        <w:spacing w:before="0" w:after="120"/>
        <w:ind w:firstLine="709"/>
        <w:jc w:val="both"/>
      </w:pPr>
      <w:r>
        <w:rPr>
          <w:rFonts w:ascii="Times New Roman" w:hAnsi="Times New Roman" w:cs="Times New Roman"/>
          <w:sz w:val="24"/>
        </w:rPr>
        <w:t>Четвёртый вывод, соответствующий финальной задаче, связан с условиями и барьерами адаптации. Российский педагогический вуз располагает собственным ресурсом в виде развитой коммуникативно-деятельностной традиции и высокого уровня методической рефлексии. Три направления с наибольшим потенциалом адаптации, а именно ИИ-поддержка письменной речи, расширение внеаудиторной устноречевой практики и подготовка будущих учителей к работе в ИИ-насыщенной среде, объединены общей логикой, согласно которой ИИ выступает инструментом расширения образовательных возможностей, а не их замещения.</w:t>
      </w:r>
    </w:p>
    <w:p>
      <w:pPr>
        <w:spacing w:before="0" w:after="120"/>
        <w:ind w:firstLine="709"/>
        <w:jc w:val="both"/>
      </w:pPr>
      <w:r>
        <w:rPr>
          <w:rFonts w:ascii="Times New Roman" w:hAnsi="Times New Roman" w:cs="Times New Roman"/>
          <w:sz w:val="24"/>
        </w:rPr>
        <w:t>Ограничения настоящего обзора, прежде всего частичная воспроизводимость отбора, языковая избирательность корпуса и высокая скорость изменений в области генеративного ИИ, определяют направления дальнейших исследований. Приоритетными среди них представляются апробация конкретных моделей интеграции ИИ в программы подготовки учителей английского языка в российских педагогических вузах и педагогически ориентированное изучение возможностей отечественных ИИ-сервисов, потенциал которых пока фактически не исследован.</w:t>
      </w:r>
    </w:p>
    <w:p>
      <w:pPr>
        <w:spacing w:before="200" w:after="120"/>
        <w:jc w:val="left"/>
      </w:pPr>
      <w:r>
        <w:rPr>
          <w:rFonts w:ascii="Times New Roman" w:hAnsi="Times New Roman" w:cs="Times New Roman"/>
          <w:b/>
          <w:sz w:val="26"/>
        </w:rPr>
        <w:t>Список литературы</w:t>
      </w:r>
    </w:p>
    <w:p>
      <w:pPr>
        <w:spacing w:before="0" w:after="120"/>
        <w:ind w:firstLine="709"/>
        <w:jc w:val="both"/>
      </w:pPr>
      <w:r>
        <w:rPr>
          <w:rFonts w:ascii="Times New Roman" w:hAnsi="Times New Roman" w:cs="Times New Roman"/>
          <w:sz w:val="24"/>
        </w:rPr>
        <w:t>1. Huang X., Zou D., Cheng G., Chen X., Xie H. How does artificial intelligence empower EFL teaching and learning nowadays? A review on artificial intelligence in the EFL context // Frontiers in Psychology. 2022. URL: https://pmc.ncbi.nlm.nih.gov/articles/PMC9709327/ (дата обращения: 22.06.2026).</w:t>
      </w:r>
    </w:p>
    <w:p>
      <w:pPr>
        <w:spacing w:before="0" w:after="120"/>
        <w:ind w:firstLine="709"/>
        <w:jc w:val="both"/>
      </w:pPr>
      <w:r>
        <w:rPr>
          <w:rFonts w:ascii="Times New Roman" w:hAnsi="Times New Roman" w:cs="Times New Roman"/>
          <w:sz w:val="24"/>
        </w:rPr>
        <w:t>2. Aydın Ö., Karaarslan E. Investigating the integration of artificial intelligence in English as foreign language classes for enhancing learners' affective factors: a systematic review // Heliyon. 2024. Vol. 10, No. 9. URL: https://pmc.ncbi.nlm.nih.gov/articles/PMC11109823/ (дата обращения: 22.06.2026).</w:t>
      </w:r>
    </w:p>
    <w:p>
      <w:pPr>
        <w:spacing w:before="0" w:after="120"/>
        <w:ind w:firstLine="709"/>
        <w:jc w:val="both"/>
      </w:pPr>
      <w:r>
        <w:rPr>
          <w:rFonts w:ascii="Times New Roman" w:hAnsi="Times New Roman" w:cs="Times New Roman"/>
          <w:sz w:val="24"/>
        </w:rPr>
        <w:t>3. Jeon J. Artificial intelligence in ESL/EFL education: evidence from recent reviews (2024–2025) // International Journal of Learning, Teaching and Educational Research. 2025. URL: https://ijlter.org/index.php/ijlter/article/view/14625 (дата обращения: 22.06.2026).</w:t>
      </w:r>
    </w:p>
    <w:p>
      <w:pPr>
        <w:spacing w:before="0" w:after="120"/>
        <w:ind w:firstLine="709"/>
        <w:jc w:val="both"/>
      </w:pPr>
      <w:r>
        <w:rPr>
          <w:rFonts w:ascii="Times New Roman" w:hAnsi="Times New Roman" w:cs="Times New Roman"/>
          <w:sz w:val="24"/>
        </w:rPr>
        <w:t>4. AlBlooshi S. Artificial intelligence in higher education, opportunities, and challenges: a review // Frontiers in Education. 2025. DOI: 10.3389/feduc.2025.1683968 (дата обращения: 22.06.2026).</w:t>
      </w:r>
    </w:p>
    <w:p>
      <w:pPr>
        <w:spacing w:before="0" w:after="120"/>
        <w:ind w:firstLine="709"/>
        <w:jc w:val="both"/>
      </w:pPr>
      <w:r>
        <w:rPr>
          <w:rFonts w:ascii="Times New Roman" w:hAnsi="Times New Roman" w:cs="Times New Roman"/>
          <w:sz w:val="24"/>
        </w:rPr>
        <w:t>5. British Council. Artificial intelligence in English language teaching: a systematic review. London: British Council, 2023. URL: https://www.britishcouncil.org/sites/default/files/ai_in_english_language_teaching_systematic_review.pdf (дата обращения: 22.06.2026).</w:t>
      </w:r>
    </w:p>
    <w:p>
      <w:pPr>
        <w:spacing w:before="0" w:after="120"/>
        <w:ind w:firstLine="709"/>
        <w:jc w:val="both"/>
      </w:pPr>
      <w:r>
        <w:rPr>
          <w:rFonts w:ascii="Times New Roman" w:hAnsi="Times New Roman" w:cs="Times New Roman"/>
          <w:sz w:val="24"/>
        </w:rPr>
        <w:t>6. Godwin-Jones R. Artificial intelligence and language learning: affordances and challenges // Language Learning and Technology. 2024. Vol. 28, No. 2. URL: https://godwinjones.com/godwin-jones_ai_llt.pdf (дата обращения: 22.06.2026).</w:t>
      </w:r>
    </w:p>
    <w:p>
      <w:pPr>
        <w:spacing w:before="0" w:after="120"/>
        <w:ind w:firstLine="709"/>
        <w:jc w:val="both"/>
      </w:pPr>
      <w:r>
        <w:rPr>
          <w:rFonts w:ascii="Times New Roman" w:hAnsi="Times New Roman" w:cs="Times New Roman"/>
          <w:sz w:val="24"/>
        </w:rPr>
        <w:t>7. Godwin-Jones R. Emerging spaces for language learning: AI bots, ambient intelligence, and the metaverse // Language Learning and Technology. 2023. Vol. 27, No. 2. P. 6–27. URL: https://www.lltjournal.org/item/10125-73501/ (дата обращения: 22.06.2026).</w:t>
      </w:r>
    </w:p>
    <w:p>
      <w:pPr>
        <w:spacing w:before="0" w:after="120"/>
        <w:ind w:firstLine="709"/>
        <w:jc w:val="both"/>
      </w:pPr>
      <w:r>
        <w:rPr>
          <w:rFonts w:ascii="Times New Roman" w:hAnsi="Times New Roman" w:cs="Times New Roman"/>
          <w:sz w:val="24"/>
        </w:rPr>
        <w:t>8. Godwin-Jones R. Language teacher preparation for an AI world: a human ecological perspective // Language Learning and Technology. 2025. URL: https://godwinjones.com/godwin-jones_language_teacher_prep.pdf (дата обращения: 22.06.2026).</w:t>
      </w:r>
    </w:p>
    <w:p>
      <w:pPr>
        <w:spacing w:before="0" w:after="120"/>
        <w:ind w:firstLine="709"/>
        <w:jc w:val="both"/>
      </w:pPr>
      <w:r>
        <w:rPr>
          <w:rFonts w:ascii="Times New Roman" w:hAnsi="Times New Roman" w:cs="Times New Roman"/>
          <w:sz w:val="24"/>
        </w:rPr>
        <w:t>9. Bui T. et al. Two years of innovation: a systematic review of empirical generative AI research in language learning and teaching // Computers in Human Behavior: Artificial Intelligence. 2025. DOI: 10.1016/j.chbah.2025.100852 (дата обращения: 22.06.2026).</w:t>
      </w:r>
    </w:p>
    <w:p>
      <w:pPr>
        <w:spacing w:before="0" w:after="120"/>
        <w:ind w:firstLine="709"/>
        <w:jc w:val="both"/>
      </w:pPr>
      <w:r>
        <w:rPr>
          <w:rFonts w:ascii="Times New Roman" w:hAnsi="Times New Roman" w:cs="Times New Roman"/>
          <w:sz w:val="24"/>
        </w:rPr>
        <w:t>10. Kostka I., Toncelli R. Exploring applications of ChatGPT to English language teaching: opportunities, challenges, and recommendations // TESL-EJ. 2023. Vol. 27, No. 3. DOI: 10.55593/ej.27107int (дата обращения: 22.06.2026).</w:t>
      </w:r>
    </w:p>
    <w:p>
      <w:pPr>
        <w:spacing w:before="0" w:after="120"/>
        <w:ind w:firstLine="709"/>
        <w:jc w:val="both"/>
      </w:pPr>
      <w:r>
        <w:rPr>
          <w:rFonts w:ascii="Times New Roman" w:hAnsi="Times New Roman" w:cs="Times New Roman"/>
          <w:sz w:val="24"/>
        </w:rPr>
        <w:t>11. Van Horn K. R. ChatGPT in English language learning: exploring perceptions and promoting autonomy in a university EFL context // TESL-EJ. 2024. Vol. 28, No. 1. URL: https://tesl-ej.org/wordpress/issues/volume28/ej109/ej109a8/ (дата обращения: 22.06.2026).</w:t>
      </w:r>
    </w:p>
    <w:p>
      <w:pPr>
        <w:spacing w:before="0" w:after="120"/>
        <w:ind w:firstLine="709"/>
        <w:jc w:val="both"/>
      </w:pPr>
      <w:r>
        <w:rPr>
          <w:rFonts w:ascii="Times New Roman" w:hAnsi="Times New Roman" w:cs="Times New Roman"/>
          <w:sz w:val="24"/>
        </w:rPr>
        <w:t>12. Bekteshi E. et al. Generative AI in English language teaching: students' voices, teachers' reactions, and needs // TESL-EJ. 2025. Vol. 29, No. 3. URL: https://tesl-ej.org/wordpress/issues/volume29/ej115/ej115int3/ (дата обращения: 22.06.2026).</w:t>
      </w:r>
    </w:p>
    <w:p>
      <w:pPr>
        <w:spacing w:before="0" w:after="120"/>
        <w:ind w:firstLine="709"/>
        <w:jc w:val="both"/>
      </w:pPr>
      <w:r>
        <w:rPr>
          <w:rFonts w:ascii="Times New Roman" w:hAnsi="Times New Roman" w:cs="Times New Roman"/>
          <w:sz w:val="24"/>
        </w:rPr>
        <w:t>13. Huang W. et al. An exploratory study of EFL learners' use of ChatGPT for language learning tasks // Languages. 2023. Vol. 8, No. 3. P. 212. DOI: 10.3390/languages8030212 (дата обращения: 22.06.2026).</w:t>
      </w:r>
    </w:p>
    <w:p>
      <w:pPr>
        <w:spacing w:before="0" w:after="120"/>
        <w:ind w:firstLine="709"/>
        <w:jc w:val="both"/>
      </w:pPr>
      <w:r>
        <w:rPr>
          <w:rFonts w:ascii="Times New Roman" w:hAnsi="Times New Roman" w:cs="Times New Roman"/>
          <w:sz w:val="24"/>
        </w:rPr>
        <w:t>14. Xiao Y., Zhi Y. Embracing the disrupted language teaching and learning field: analyzing YouTube content creation related to ChatGPT // Languages. 2023. Vol. 8, No. 3. P. 197. DOI: 10.3390/languages8030197 (дата обращения: 22.06.2026).</w:t>
      </w:r>
    </w:p>
    <w:p>
      <w:pPr>
        <w:spacing w:before="0" w:after="120"/>
        <w:ind w:firstLine="709"/>
        <w:jc w:val="both"/>
      </w:pPr>
      <w:r>
        <w:rPr>
          <w:rFonts w:ascii="Times New Roman" w:hAnsi="Times New Roman" w:cs="Times New Roman"/>
          <w:sz w:val="24"/>
        </w:rPr>
        <w:t>15. Alotaibi N. et al. ChatGPT in ESL higher education: enhancing writing, engagement, and learning outcomes // Information. 2025. Vol. 16, No. 4. P. 316. DOI: 10.3390/info16040316 (дата обращения: 22.06.2026).</w:t>
      </w:r>
    </w:p>
    <w:p>
      <w:pPr>
        <w:spacing w:before="0" w:after="120"/>
        <w:ind w:firstLine="709"/>
        <w:jc w:val="both"/>
      </w:pPr>
      <w:r>
        <w:rPr>
          <w:rFonts w:ascii="Times New Roman" w:hAnsi="Times New Roman" w:cs="Times New Roman"/>
          <w:sz w:val="24"/>
        </w:rPr>
        <w:t>16. Sallam M. et al. Higher education students' perceptions of ChatGPT: a global study of early reactions // PLOS ONE. 2025. DOI: 10.1371/journal.pone.0315011 (дата обращения: 22.06.2026).</w:t>
      </w:r>
    </w:p>
    <w:p>
      <w:pPr>
        <w:spacing w:before="0" w:after="120"/>
        <w:ind w:firstLine="709"/>
        <w:jc w:val="both"/>
      </w:pPr>
      <w:r>
        <w:rPr>
          <w:rFonts w:ascii="Times New Roman" w:hAnsi="Times New Roman" w:cs="Times New Roman"/>
          <w:sz w:val="24"/>
        </w:rPr>
        <w:t>17. Zhang Y. et al. Perceptions vs. practices: academic integrity and actual ChatGPT use among EFL students // Frontiers in Psychology. 2025. URL: https://pmc.ncbi.nlm.nih.gov/articles/PMC13044046/ (дата обращения: 22.06.2026).</w:t>
      </w:r>
    </w:p>
    <w:p>
      <w:pPr>
        <w:spacing w:before="0" w:after="120"/>
        <w:ind w:firstLine="709"/>
        <w:jc w:val="both"/>
      </w:pPr>
      <w:r>
        <w:rPr>
          <w:rFonts w:ascii="Times New Roman" w:hAnsi="Times New Roman" w:cs="Times New Roman"/>
          <w:sz w:val="24"/>
        </w:rPr>
        <w:t>18. Kohnke L. et al. Potentials and implications of ChatGPT for ESL writing instruction // The International Review of Research in Open and Distributed Learning. 2023. URL: https://www.irrodl.org/index.php/irrodl/article/view/7820 (дата обращения: 22.06.2026).</w:t>
      </w:r>
    </w:p>
    <w:p>
      <w:pPr>
        <w:spacing w:before="0" w:after="120"/>
        <w:ind w:firstLine="709"/>
        <w:jc w:val="both"/>
      </w:pPr>
      <w:r>
        <w:rPr>
          <w:rFonts w:ascii="Times New Roman" w:hAnsi="Times New Roman" w:cs="Times New Roman"/>
          <w:sz w:val="24"/>
        </w:rPr>
        <w:t>19. Chen Y. et al. How to align large language models for teaching English? Designing an LLM-based chatbot for EFL conversation. arXiv: 2409.04987. 2024. URL: https://arxiv.org/pdf/2409.04987 (дата обращения: 22.06.2026).</w:t>
      </w:r>
    </w:p>
    <w:p>
      <w:pPr>
        <w:spacing w:before="0" w:after="120"/>
        <w:ind w:firstLine="709"/>
        <w:jc w:val="both"/>
      </w:pPr>
      <w:r>
        <w:rPr>
          <w:rFonts w:ascii="Times New Roman" w:hAnsi="Times New Roman" w:cs="Times New Roman"/>
          <w:sz w:val="24"/>
        </w:rPr>
        <w:t>20. Liu M. et al. From process to product: writing engagement and performance of EFL learners under computer-generated feedback instruction // Frontiers in Psychology. 2023. URL: https://pmc.ncbi.nlm.nih.gov/articles/PMC10701688/ (дата обращения: 22.06.2026).</w:t>
      </w:r>
    </w:p>
    <w:p>
      <w:pPr>
        <w:spacing w:before="0" w:after="120"/>
        <w:ind w:firstLine="709"/>
        <w:jc w:val="both"/>
      </w:pPr>
      <w:r>
        <w:rPr>
          <w:rFonts w:ascii="Times New Roman" w:hAnsi="Times New Roman" w:cs="Times New Roman"/>
          <w:sz w:val="24"/>
        </w:rPr>
        <w:t>21. Wang Q. et al. Enhancing EFL writing revision practices: the impact of AI- and teacher-generated feedback // Education Sciences. 2025. Vol. 15, No. 2. P. 232. DOI: 10.3390/educsci15020232 (дата обращения: 22.06.2026).</w:t>
      </w:r>
    </w:p>
    <w:p>
      <w:pPr>
        <w:spacing w:before="0" w:after="120"/>
        <w:ind w:firstLine="709"/>
        <w:jc w:val="both"/>
      </w:pPr>
      <w:r>
        <w:rPr>
          <w:rFonts w:ascii="Times New Roman" w:hAnsi="Times New Roman" w:cs="Times New Roman"/>
          <w:sz w:val="24"/>
        </w:rPr>
        <w:t>22. Li X. et al. A qualitative approach to EFL postgraduates' GenAI-assisted research writing // Education Sciences. 2025. Vol. 15, No. 11. P. 1521. DOI: 10.3390/educsci15111521 (дата обращения: 22.06.2026).</w:t>
      </w:r>
    </w:p>
    <w:p>
      <w:pPr>
        <w:spacing w:before="0" w:after="120"/>
        <w:ind w:firstLine="709"/>
        <w:jc w:val="both"/>
      </w:pPr>
      <w:r>
        <w:rPr>
          <w:rFonts w:ascii="Times New Roman" w:hAnsi="Times New Roman" w:cs="Times New Roman"/>
          <w:sz w:val="24"/>
        </w:rPr>
        <w:t>23. Xu Z. et al. Writing accuracy: how AI-assisted writing instruction supports EFL undergraduates // Information. 2025. Vol. 17, No. 2. P. 157. DOI: 10.3390/info17020157 (дата обращения: 22.06.2026).</w:t>
      </w:r>
    </w:p>
    <w:p>
      <w:pPr>
        <w:spacing w:before="0" w:after="120"/>
        <w:ind w:firstLine="709"/>
        <w:jc w:val="both"/>
      </w:pPr>
      <w:r>
        <w:rPr>
          <w:rFonts w:ascii="Times New Roman" w:hAnsi="Times New Roman" w:cs="Times New Roman"/>
          <w:sz w:val="24"/>
        </w:rPr>
        <w:t>24. Guo Y. et al. Exploring the effectiveness of ChatGPT-based feedback compared with teacher feedback. arXiv: 2309.01645. 2023. URL: https://arxiv.org/pdf/2309.01645 (дата обращения: 22.06.2026).</w:t>
      </w:r>
    </w:p>
    <w:p>
      <w:pPr>
        <w:spacing w:before="0" w:after="120"/>
        <w:ind w:firstLine="709"/>
        <w:jc w:val="both"/>
      </w:pPr>
      <w:r>
        <w:rPr>
          <w:rFonts w:ascii="Times New Roman" w:hAnsi="Times New Roman" w:cs="Times New Roman"/>
          <w:sz w:val="24"/>
        </w:rPr>
        <w:t>25. Zhang R. et al. Harnessing LLMs for multi-dimensional writing assessment // Heliyon. 2024. URL: https://pmc.ncbi.nlm.nih.gov/articles/PMC11305227/ (дата обращения: 22.06.2026).</w:t>
      </w:r>
    </w:p>
    <w:p>
      <w:pPr>
        <w:spacing w:before="0" w:after="120"/>
        <w:ind w:firstLine="709"/>
        <w:jc w:val="both"/>
      </w:pPr>
      <w:r>
        <w:rPr>
          <w:rFonts w:ascii="Times New Roman" w:hAnsi="Times New Roman" w:cs="Times New Roman"/>
          <w:sz w:val="24"/>
        </w:rPr>
        <w:t>26. Okonkwo C. et al. The active learning and GenAI synergy framework: ethical integration of generative AI in EFL/ESL writing. 2025. URL: https://pmc.ncbi.nlm.nih.gov/articles/PMC12961280/ (дата обращения: 22.06.2026).</w:t>
      </w:r>
    </w:p>
    <w:p>
      <w:pPr>
        <w:spacing w:before="0" w:after="120"/>
        <w:ind w:firstLine="709"/>
        <w:jc w:val="both"/>
      </w:pPr>
      <w:r>
        <w:rPr>
          <w:rFonts w:ascii="Times New Roman" w:hAnsi="Times New Roman" w:cs="Times New Roman"/>
          <w:sz w:val="24"/>
        </w:rPr>
        <w:t>27. Chen L. et al. CHOP: integrating ChatGPT into EFL oral presentation practice. arXiv: 2407.07393. 2024. URL: https://arxiv.org/pdf/2407.07393 (дата обращения: 22.06.2026).</w:t>
      </w:r>
    </w:p>
    <w:p>
      <w:pPr>
        <w:spacing w:before="0" w:after="120"/>
        <w:ind w:firstLine="709"/>
        <w:jc w:val="both"/>
      </w:pPr>
      <w:r>
        <w:rPr>
          <w:rFonts w:ascii="Times New Roman" w:hAnsi="Times New Roman" w:cs="Times New Roman"/>
          <w:sz w:val="24"/>
        </w:rPr>
        <w:t>28. Du J., Daniel B. K. Transforming language education: a systematic review of AI-powered chatbots for EFL speaking practice // Computers and Education: Artificial Intelligence. 2024. Vol. 6. P. 100230. DOI: 10.1016/j.caeai.2024.100230 (дата обращения: 22.06.2026).</w:t>
      </w:r>
    </w:p>
    <w:p>
      <w:pPr>
        <w:spacing w:before="0" w:after="120"/>
        <w:ind w:firstLine="709"/>
        <w:jc w:val="both"/>
      </w:pPr>
      <w:r>
        <w:rPr>
          <w:rFonts w:ascii="Times New Roman" w:hAnsi="Times New Roman" w:cs="Times New Roman"/>
          <w:sz w:val="24"/>
        </w:rPr>
        <w:t>29. Yang J. et al. Investigating the role of AI-powered conversation bots in enhancing L2 speaking skills // Humanities and Social Sciences Communications. 2025. Vol. 12. DOI: 10.1057/s41599-025-05550-z (дата обращения: 22.06.2026).</w:t>
      </w:r>
    </w:p>
    <w:p>
      <w:pPr>
        <w:spacing w:before="0" w:after="120"/>
        <w:ind w:firstLine="709"/>
        <w:jc w:val="both"/>
      </w:pPr>
      <w:r>
        <w:rPr>
          <w:rFonts w:ascii="Times New Roman" w:hAnsi="Times New Roman" w:cs="Times New Roman"/>
          <w:sz w:val="24"/>
        </w:rPr>
        <w:t>30. Li H. et al. Reducing anxiety and enhancing performance: AI chatbots vs. human facilitation in EFL speaking // Frontiers in Psychology. 2025. DOI: 10.3389/fpsyg.2025.1745942 (дата обращения: 22.06.2026).</w:t>
      </w:r>
    </w:p>
    <w:p>
      <w:pPr>
        <w:spacing w:before="0" w:after="120"/>
        <w:ind w:firstLine="709"/>
        <w:jc w:val="both"/>
      </w:pPr>
      <w:r>
        <w:rPr>
          <w:rFonts w:ascii="Times New Roman" w:hAnsi="Times New Roman" w:cs="Times New Roman"/>
          <w:sz w:val="24"/>
        </w:rPr>
        <w:t>31. Wang X. et al. AI-driven chatbots in second language education: a systematic review // Computers and Education: Artificial Intelligence. 2025. DOI: 10.1016/j.caeai.2025.100086 (дата обращения: 22.06.2026).</w:t>
      </w:r>
    </w:p>
    <w:p>
      <w:pPr>
        <w:spacing w:before="0" w:after="120"/>
        <w:ind w:firstLine="709"/>
        <w:jc w:val="both"/>
      </w:pPr>
      <w:r>
        <w:rPr>
          <w:rFonts w:ascii="Times New Roman" w:hAnsi="Times New Roman" w:cs="Times New Roman"/>
          <w:sz w:val="24"/>
        </w:rPr>
        <w:t>32. Xu H. et al. Artificial intelligence in language learning: biometric feedback and adaptive reading // Humanities and Social Sciences Communications. 2025. DOI: 10.1057/s41599-025-04878-w (дата обращения: 22.06.2026).</w:t>
      </w:r>
    </w:p>
    <w:p>
      <w:pPr>
        <w:spacing w:before="0" w:after="120"/>
        <w:ind w:firstLine="709"/>
        <w:jc w:val="both"/>
      </w:pPr>
      <w:r>
        <w:rPr>
          <w:rFonts w:ascii="Times New Roman" w:hAnsi="Times New Roman" w:cs="Times New Roman"/>
          <w:sz w:val="24"/>
        </w:rPr>
        <w:t>33. Zhou A. et al. The impact of chatbots based on large language models on second language vocabulary acquisition // Heliyon. 2024. URL: https://pmc.ncbi.nlm.nih.gov/articles/PMC10850600/ (дата обращения: 22.06.2026).</w:t>
      </w:r>
    </w:p>
    <w:p>
      <w:pPr>
        <w:spacing w:before="0" w:after="120"/>
        <w:ind w:firstLine="709"/>
        <w:jc w:val="both"/>
      </w:pPr>
      <w:r>
        <w:rPr>
          <w:rFonts w:ascii="Times New Roman" w:hAnsi="Times New Roman" w:cs="Times New Roman"/>
          <w:sz w:val="24"/>
        </w:rPr>
        <w:t>34. Huang J. et al. Artificial intelligence in language instruction: impact on achievement, L2 motivation, and self-regulated learning // Frontiers in Psychology. 2023. URL: https://pmc.ncbi.nlm.nih.gov/articles/PMC10658009/ (дата обращения: 22.06.2026).</w:t>
      </w:r>
    </w:p>
    <w:p>
      <w:pPr>
        <w:spacing w:before="0" w:after="120"/>
        <w:ind w:firstLine="709"/>
        <w:jc w:val="both"/>
      </w:pPr>
      <w:r>
        <w:rPr>
          <w:rFonts w:ascii="Times New Roman" w:hAnsi="Times New Roman" w:cs="Times New Roman"/>
          <w:sz w:val="24"/>
        </w:rPr>
        <w:t>35. Lin C. et al. AI-empowered applications effects on EFL learners' engagement in the classroom and academic procrastination // BMC Psychology. 2024. Vol. 12. Art. 739. URL: https://pmc.ncbi.nlm.nih.gov/articles/PMC11656581/ (дата обращения: 22.06.2026).</w:t>
      </w:r>
    </w:p>
    <w:p>
      <w:pPr>
        <w:spacing w:before="0" w:after="120"/>
        <w:ind w:firstLine="709"/>
        <w:jc w:val="both"/>
      </w:pPr>
      <w:r>
        <w:rPr>
          <w:rFonts w:ascii="Times New Roman" w:hAnsi="Times New Roman" w:cs="Times New Roman"/>
          <w:sz w:val="24"/>
        </w:rPr>
        <w:t>36. Fan J. et al. From literacy to learning: sequential mediation of attitudes and enjoyment in AI-assisted EFL education // Heliyon. 2024. DOI: 10.1016/j.heliyon.2024.e37158 (дата обращения: 22.06.2026).</w:t>
      </w:r>
    </w:p>
    <w:p>
      <w:pPr>
        <w:spacing w:before="0" w:after="120"/>
        <w:ind w:firstLine="709"/>
        <w:jc w:val="both"/>
      </w:pPr>
      <w:r>
        <w:rPr>
          <w:rFonts w:ascii="Times New Roman" w:hAnsi="Times New Roman" w:cs="Times New Roman"/>
          <w:sz w:val="24"/>
        </w:rPr>
        <w:t>37. Ge L. et al. Beyond tool use: how ecological coupling configures AI's empowerment for language learning engagement // Frontiers in Psychology. 2026. DOI: 10.3389/fpsyg.2026.1747355 (дата обращения: 22.06.2026).</w:t>
      </w:r>
    </w:p>
    <w:p>
      <w:pPr>
        <w:spacing w:before="0" w:after="120"/>
        <w:ind w:firstLine="709"/>
        <w:jc w:val="both"/>
      </w:pPr>
      <w:r>
        <w:rPr>
          <w:rFonts w:ascii="Times New Roman" w:hAnsi="Times New Roman" w:cs="Times New Roman"/>
          <w:sz w:val="24"/>
        </w:rPr>
        <w:t>38. Ma Y. et al. The human touch in AI: optimizing language learning through self-determination theory and teacher scaffolding // Frontiers in Psychology. 2025. DOI: 10.3389/fpsyg.2025.1568239 (дата обращения: 22.06.2026).</w:t>
      </w:r>
    </w:p>
    <w:p>
      <w:pPr>
        <w:spacing w:before="0" w:after="120"/>
        <w:ind w:firstLine="709"/>
        <w:jc w:val="both"/>
      </w:pPr>
      <w:r>
        <w:rPr>
          <w:rFonts w:ascii="Times New Roman" w:hAnsi="Times New Roman" w:cs="Times New Roman"/>
          <w:sz w:val="24"/>
        </w:rPr>
        <w:t>39. Huang Y., Chen H., Hu C. L2 growth mindset in AI-mediated language learning: effects of perceived usability and presence of generative AI chatbots // Frontiers in Psychology. 2025. URL: https://pmc.ncbi.nlm.nih.gov/articles/PMC12634586/ (дата обращения: 22.06.2026).</w:t>
      </w:r>
    </w:p>
    <w:p>
      <w:pPr>
        <w:spacing w:before="0" w:after="120"/>
        <w:ind w:firstLine="709"/>
        <w:jc w:val="both"/>
      </w:pPr>
      <w:r>
        <w:rPr>
          <w:rFonts w:ascii="Times New Roman" w:hAnsi="Times New Roman" w:cs="Times New Roman"/>
          <w:sz w:val="24"/>
        </w:rPr>
        <w:t>40. Pan Y. et al. Effects of perceived teacher support and growth language mindset on learner well-being in AI-integrated environment // Frontiers in Psychology. 2025. DOI: 10.3389/fpsyg.2025.1660462 (дата обращения: 22.06.2026).</w:t>
      </w:r>
    </w:p>
    <w:p>
      <w:pPr>
        <w:spacing w:before="0" w:after="120"/>
        <w:ind w:firstLine="709"/>
        <w:jc w:val="both"/>
      </w:pPr>
      <w:r>
        <w:rPr>
          <w:rFonts w:ascii="Times New Roman" w:hAnsi="Times New Roman" w:cs="Times New Roman"/>
          <w:sz w:val="24"/>
        </w:rPr>
        <w:t>41. Chen H. et al. Empowering EFL teachers' perceptions of generative AI-mediated self-professionalism // PLOS ONE. 2025. DOI: 10.1371/journal.pone.0326735 (дата обращения: 22.06.2026).</w:t>
      </w:r>
    </w:p>
    <w:p>
      <w:pPr>
        <w:spacing w:before="0" w:after="120"/>
        <w:ind w:firstLine="709"/>
        <w:jc w:val="both"/>
      </w:pPr>
      <w:r>
        <w:rPr>
          <w:rFonts w:ascii="Times New Roman" w:hAnsi="Times New Roman" w:cs="Times New Roman"/>
          <w:sz w:val="24"/>
        </w:rPr>
        <w:t>42. Almegren A. et al. AI powered ELT: instructors' transformative roles and opportunities // PLOS ONE. 2025. DOI: 10.1371/journal.pone.0324910 (дата обращения: 22.06.2026).</w:t>
      </w:r>
    </w:p>
    <w:p>
      <w:pPr>
        <w:spacing w:before="0" w:after="120"/>
        <w:ind w:firstLine="709"/>
        <w:jc w:val="both"/>
      </w:pPr>
      <w:r>
        <w:rPr>
          <w:rFonts w:ascii="Times New Roman" w:hAnsi="Times New Roman" w:cs="Times New Roman"/>
          <w:sz w:val="24"/>
        </w:rPr>
        <w:t>43. Zaimoğlu S. et al. Teacher cognition and practices in using generative AI tools to support student engagement in EFL higher-education contexts // Behavioural Sciences. 2025. DOI: 10.3390/bs15091202 (дата обращения: 22.06.2026).</w:t>
      </w:r>
    </w:p>
    <w:p>
      <w:pPr>
        <w:spacing w:before="0" w:after="120"/>
        <w:ind w:firstLine="709"/>
        <w:jc w:val="both"/>
      </w:pPr>
      <w:r>
        <w:rPr>
          <w:rFonts w:ascii="Times New Roman" w:hAnsi="Times New Roman" w:cs="Times New Roman"/>
          <w:sz w:val="24"/>
        </w:rPr>
        <w:t>44. García-Díaz J. A. et al. Learning English with AI for prospective teachers: a systematic review // Frontiers in Education. 2024. DOI: 10.3389/feduc.2024.1490067 (дата обращения: 22.06.2026).</w:t>
      </w:r>
    </w:p>
    <w:p>
      <w:pPr>
        <w:spacing w:before="0" w:after="120"/>
        <w:ind w:firstLine="709"/>
        <w:jc w:val="both"/>
      </w:pPr>
      <w:r>
        <w:rPr>
          <w:rFonts w:ascii="Times New Roman" w:hAnsi="Times New Roman" w:cs="Times New Roman"/>
          <w:sz w:val="24"/>
        </w:rPr>
        <w:t>45. Li X. et al. The efficacy of AI-powered scaffolding in individual EFL acquisition efficiency in tertiary educational context // Frontiers in Psychology. 2025. DOI: 10.3389/fpsyg.2025.1613285 (дата обращения: 22.06.2026).</w:t>
      </w:r>
    </w:p>
    <w:p>
      <w:pPr>
        <w:spacing w:before="0" w:after="120"/>
        <w:ind w:firstLine="709"/>
        <w:jc w:val="both"/>
      </w:pPr>
      <w:r>
        <w:rPr>
          <w:rFonts w:ascii="Times New Roman" w:hAnsi="Times New Roman" w:cs="Times New Roman"/>
          <w:sz w:val="24"/>
        </w:rPr>
        <w:t>46. Pham T. et al. Ethical use of ChatGPT in education: best practices to combat AI-induced plagiarism // Frontiers in Education. 2024. DOI: 10.3389/feduc.2024.1465703 (дата обращения: 22.06.2026).</w:t>
      </w:r>
    </w:p>
    <w:p>
      <w:pPr>
        <w:spacing w:before="0" w:after="120"/>
        <w:ind w:firstLine="709"/>
        <w:jc w:val="both"/>
      </w:pPr>
      <w:r>
        <w:rPr>
          <w:rFonts w:ascii="Times New Roman" w:hAnsi="Times New Roman" w:cs="Times New Roman"/>
          <w:sz w:val="24"/>
        </w:rPr>
        <w:t>47. Bekteshi E. Generative AI in language education: bridging the divide // ERIC. 2023. URL: https://files.eric.ed.gov/fulltext/EJ1472502.pdf (дата обращения: 22.06.2026).</w:t>
      </w:r>
    </w:p>
    <w:p>
      <w:pPr>
        <w:spacing w:before="0" w:after="120"/>
        <w:ind w:firstLine="709"/>
        <w:jc w:val="both"/>
      </w:pPr>
      <w:r>
        <w:rPr>
          <w:rFonts w:ascii="Times New Roman" w:hAnsi="Times New Roman" w:cs="Times New Roman"/>
          <w:sz w:val="24"/>
        </w:rPr>
        <w:t>48. Kohnke L. et al. Generative AI in English language teaching // ERIC. 2023. URL: https://files.eric.ed.gov/fulltext/EJ1488670.pdf (дата обращения: 22.06.2026).</w:t>
      </w:r>
    </w:p>
    <w:p>
      <w:pPr>
        <w:spacing w:before="0" w:after="120"/>
        <w:ind w:firstLine="709"/>
        <w:jc w:val="both"/>
      </w:pPr>
      <w:r>
        <w:rPr>
          <w:rFonts w:ascii="Times New Roman" w:hAnsi="Times New Roman" w:cs="Times New Roman"/>
          <w:sz w:val="24"/>
        </w:rPr>
        <w:t>49. Xiao F. et al. Exploring the landscape of generative AI (ChatGPT)-powered writing instruction in EFL education: a scoping review // RELC Journal. 2025. DOI: 10.1177/20965311241310881 (дата обращения: 22.06.2026).</w:t>
      </w:r>
    </w:p>
    <w:p>
      <w:pPr>
        <w:spacing w:before="0" w:after="120"/>
        <w:ind w:firstLine="709"/>
        <w:jc w:val="both"/>
      </w:pPr>
      <w:r>
        <w:rPr>
          <w:rFonts w:ascii="Times New Roman" w:hAnsi="Times New Roman" w:cs="Times New Roman"/>
          <w:sz w:val="24"/>
        </w:rPr>
        <w:t>50. García-Díaz J. A. et al. Artificial intelligence in language learning: a twenty-year scoping review // Innovation in Language Learning and Teaching. 2024. DOI: 10.1080/29984475.2026.2647961 (дата обращения: 22.06.2026).</w:t>
      </w:r>
    </w:p>
    <w:sectPr w:rsidR="00FC693F" w:rsidRPr="0006063C" w:rsidSect="00034616">
      <w:pgSz w:w="12240" w:h="15840"/>
      <w:pgMar w:top="1134" w:right="850" w:bottom="1134"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