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cs="Times New Roman"/>
          <w:b/>
          <w:sz w:val="28"/>
        </w:rPr>
        <w:t>Зарубежный опыт интеграции искусственного интеллекта в методику преподавания английского языка: систематический обзор и перспективы адаптации в российском педагогическом вузе</w:t>
      </w:r>
    </w:p>
    <w:p>
      <w:pPr>
        <w:spacing w:before="200" w:after="120"/>
        <w:jc w:val="left"/>
      </w:pPr>
      <w:r>
        <w:rPr>
          <w:rFonts w:ascii="Times New Roman" w:hAnsi="Times New Roman" w:cs="Times New Roman"/>
          <w:b/>
          <w:sz w:val="26"/>
        </w:rPr>
        <w:t>Аннотация</w:t>
      </w:r>
    </w:p>
    <w:p>
      <w:pPr>
        <w:spacing w:before="0" w:after="120"/>
        <w:ind w:firstLine="709"/>
        <w:jc w:val="both"/>
      </w:pPr>
      <w:r>
        <w:rPr>
          <w:rFonts w:ascii="Times New Roman" w:hAnsi="Times New Roman" w:cs="Times New Roman"/>
          <w:sz w:val="24"/>
        </w:rPr>
        <w:t>В статье представлен систематический обзор зарубежных исследований 2020–2025 годов, посвящённых интеграции технологий искусственного интеллекта (ИИ) в методику преподавания английского языка в высшей школе. Целью исследования является анализ актуальных направлений применения ИИ в иноязычном образовании за рубежом и определение перспектив их адаптации в условиях российского педагогического вуза. В ходе систематического поиска по базам данных открытого доступа (PubMed Central, MDPI, Language Learning and Technology, TESL-EJ, Frontiers, ERIC, IRRODL, arXiv) было отобрано 50 источников, удовлетворяющих критериям релевантности, рецензируемости и открытого доступа. Анализ источников проводился по пяти тематическим направлениям. Первое направление посвящено ИИ в развитии письменной речи, второе охватывает применение ИИ-чатботов в устноречевой практике, третье связано с адаптивным обучением и персонализацией образовательных траекторий, четвёртое изучает трансформацию профессиональной роли преподавателя, пятое анализирует этические риски и педагогические ограничения. Установлено, что зарубежная практика демонстрирует значительный дидактический потенциал ИИ-инструментов при условии их методически обоснованной интеграции в учебный процесс. Определены педагогические условия, возможности и барьеры адаптации зарубежного опыта применительно к специфике российского педагогического вуза. Результаты исследования могут быть использованы при разработке учебных программ, методических рекомендаций и программ повышения квалификации преподавателей английского языка педагогических вузов.</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Ключевые слова.</w:t>
      </w:r>
      <w:r>
        <w:rPr>
          <w:rFonts w:ascii="Times New Roman" w:hAnsi="Times New Roman" w:cs="Times New Roman"/>
          <w:sz w:val="24"/>
        </w:rPr>
        <w:t xml:space="preserve"> Искусственный интеллект, методика преподавания английского языка, педагогический вуз, систематический обзор, иноязычное образование, ChatGPT, генеративный ИИ, компьютерное обучение языкам, адаптивное обучение.</w:t>
      </w:r>
    </w:p>
    <w:p>
      <w:pPr>
        <w:spacing w:before="200" w:after="120"/>
        <w:jc w:val="left"/>
      </w:pPr>
      <w:r>
        <w:rPr>
          <w:rFonts w:ascii="Times New Roman" w:hAnsi="Times New Roman" w:cs="Times New Roman"/>
          <w:b/>
          <w:sz w:val="26"/>
        </w:rPr>
        <w:t>Abstract</w:t>
      </w:r>
    </w:p>
    <w:p>
      <w:pPr>
        <w:spacing w:before="0" w:after="120"/>
        <w:ind w:firstLine="709"/>
        <w:jc w:val="both"/>
      </w:pPr>
      <w:r>
        <w:rPr>
          <w:rFonts w:ascii="Times New Roman" w:hAnsi="Times New Roman" w:cs="Times New Roman"/>
          <w:sz w:val="24"/>
        </w:rPr>
        <w:t>The article presents a systematic review of foreign research published between 2020 and 2025 on the integration of artificial intelligence (AI) technologies into English language teaching methodology in higher education. The purpose of the study is to analyze current trends in AI application in foreign language education abroad and to identify prospects for their adaptation in the context of Russian pedagogical universities. A systematic search across open-access databases (PubMed Central, MDPI, Language Learning and Technology, TESL-EJ, Frontiers, ERIC, IRRODL, arXiv) yielded 50 sources meeting the criteria of relevance, peer-review status, and open access. The analysis was conducted across five thematic directions, namely AI in writing development, AI chatbots and oral speech practice, adaptive learning and personalization of educational trajectories, transformation of the teacher's professional role, and ethical risks and pedagogical limitations. It is established that foreign practice demonstrates considerable didactic potential of AI tools, provided they are integrated in a methodologically grounded manner. Pedagogical conditions, opportunities, and barriers for adapting foreign experience to the specifics of a Russian pedagogical university are identified. The findings may be used in curriculum development, methodological guidelines, and professional development programs for English language teachers at pedagogical universities.</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Keywords.</w:t>
      </w:r>
      <w:r>
        <w:rPr>
          <w:rFonts w:ascii="Times New Roman" w:hAnsi="Times New Roman" w:cs="Times New Roman"/>
          <w:sz w:val="24"/>
        </w:rPr>
        <w:t xml:space="preserve"> Artificial intelligence, English language teaching methodology, pedagogical university, systematic review, foreign language education, ChatGPT, generative AI, computer-assisted language learning, adaptive learning.</w:t>
      </w:r>
    </w:p>
    <w:p>
      <w:pPr>
        <w:spacing w:before="200" w:after="120"/>
        <w:jc w:val="left"/>
      </w:pPr>
      <w:r>
        <w:rPr>
          <w:rFonts w:ascii="Times New Roman" w:hAnsi="Times New Roman" w:cs="Times New Roman"/>
          <w:b/>
          <w:sz w:val="26"/>
        </w:rPr>
        <w:t>1. Введение</w:t>
      </w:r>
    </w:p>
    <w:p>
      <w:pPr>
        <w:spacing w:before="0" w:after="120"/>
        <w:ind w:firstLine="709"/>
        <w:jc w:val="both"/>
      </w:pPr>
      <w:r>
        <w:rPr>
          <w:rFonts w:ascii="Times New Roman" w:hAnsi="Times New Roman" w:cs="Times New Roman"/>
          <w:sz w:val="24"/>
        </w:rPr>
        <w:t>Стремительное развитие технологий искусственного интеллекта в первой половине 2020-х годов кардинально изменило контекст иноязычного образования в мировой педагогической практике. Появление генеративных языковых моделей, прежде всего ChatGPT в ноябре 2022 года, ознаменовало качественный сдвиг в возможностях ИИ применительно к обучению языкам: от вспомогательных инструментов проверки грамматики до полноценных собеседников, способных создавать персонализированные учебные материалы, давать развёрнутую обратную связь и имитировать реальные коммуникативные ситуации [10, 13].</w:t>
      </w:r>
    </w:p>
    <w:p>
      <w:pPr>
        <w:spacing w:before="0" w:after="120"/>
        <w:ind w:firstLine="709"/>
        <w:jc w:val="both"/>
      </w:pPr>
      <w:r>
        <w:rPr>
          <w:rFonts w:ascii="Times New Roman" w:hAnsi="Times New Roman" w:cs="Times New Roman"/>
          <w:sz w:val="24"/>
        </w:rPr>
        <w:t>В мировой науке наблюдается экспоненциальный рост публикаций по данной тематике. Если в 2021 году число рецензируемых работ об ИИ в обучении языкам составляло единицы, то к 2024 году оно превысило 150 статей в год только в индексируемых базах данных [9]. Это свидетельствует как об актуальности проблематики, так и о необходимости её систематического осмысления.</w:t>
      </w:r>
    </w:p>
    <w:p>
      <w:pPr>
        <w:spacing w:before="0" w:after="120"/>
        <w:ind w:firstLine="709"/>
        <w:jc w:val="both"/>
      </w:pPr>
      <w:r>
        <w:rPr>
          <w:rFonts w:ascii="Times New Roman" w:hAnsi="Times New Roman" w:cs="Times New Roman"/>
          <w:sz w:val="24"/>
        </w:rPr>
        <w:t>Российская система педагогического образования в данном отношении находится в особом положении. С одной стороны, отечественные педагогические вузы испытывают устойчивый запрос на модернизацию методики преподавания иностранных языков в соответствии с требованиями ФГОС ВО нового поколения, предусматривающими формирование цифровых и коммуникативных компетенций. С другой стороны, систематического анализа зарубежного опыта интеграции ИИ в методику преподавания английского языка применительно к условиям российского педагогического вуза до настоящего времени не проводилось, что обусловливает значимое «белое пятно» в отечественной педагогической науке.</w:t>
      </w:r>
    </w:p>
    <w:p>
      <w:pPr>
        <w:spacing w:before="0" w:after="120"/>
        <w:ind w:firstLine="709"/>
        <w:jc w:val="both"/>
      </w:pPr>
      <w:r>
        <w:rPr>
          <w:rFonts w:ascii="Times New Roman" w:hAnsi="Times New Roman" w:cs="Times New Roman"/>
          <w:sz w:val="24"/>
        </w:rPr>
        <w:t xml:space="preserve">Обозначенное противоречие между накопленным за рубежом опытом методически обоснованного применения ИИ в иноязычном образовании и отсутствием его систематического анализа в отечественном контексте определяет </w:t>
      </w:r>
      <w:r>
        <w:rPr>
          <w:rFonts w:ascii="Times New Roman" w:hAnsi="Times New Roman" w:cs="Times New Roman"/>
          <w:b/>
          <w:sz w:val="24"/>
        </w:rPr>
        <w:t>актуальность</w:t>
      </w:r>
      <w:r>
        <w:rPr>
          <w:rFonts w:ascii="Times New Roman" w:hAnsi="Times New Roman" w:cs="Times New Roman"/>
          <w:sz w:val="24"/>
        </w:rPr>
        <w:t xml:space="preserve"> настоящего исследования.</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Цель исследования</w:t>
      </w:r>
      <w:r>
        <w:rPr>
          <w:rFonts w:ascii="Times New Roman" w:hAnsi="Times New Roman" w:cs="Times New Roman"/>
          <w:sz w:val="24"/>
        </w:rPr>
        <w:t xml:space="preserve"> состоит в том, чтобы на основе систематического обзора зарубежной литературы 2020–2025 годов выявить ключевые направления, педагогические условия и результаты интеграции ИИ в методику преподавания английского языка в зарубежной высшей школе и определить перспективы адаптации данного опыта в российском педагогическом вузе.</w:t>
      </w:r>
    </w:p>
    <w:p>
      <w:pPr>
        <w:spacing w:before="0" w:after="120"/>
        <w:ind w:firstLine="709"/>
        <w:jc w:val="both"/>
      </w:pPr>
      <w:r>
        <w:rPr>
          <w:rFonts w:ascii="Times New Roman" w:hAnsi="Times New Roman" w:cs="Times New Roman"/>
          <w:sz w:val="24"/>
        </w:rPr>
        <w:t xml:space="preserve">Для достижения цели были поставлены следующие </w:t>
      </w:r>
      <w:r>
        <w:rPr>
          <w:rFonts w:ascii="Times New Roman" w:hAnsi="Times New Roman" w:cs="Times New Roman"/>
          <w:b/>
          <w:sz w:val="24"/>
        </w:rPr>
        <w:t>задачи</w:t>
      </w:r>
      <w:r>
        <w:rPr>
          <w:rFonts w:ascii="Times New Roman" w:hAnsi="Times New Roman" w:cs="Times New Roman"/>
          <w:sz w:val="24"/>
        </w:rPr>
        <w:t>. Первая предполагает определение и систематизацию основных направлений применения ИИ в обучении английскому языку согласно зарубежным исследованиям 2020–2025 годов. Вторая задача связана с анализом педагогических эффектов, условий и ограничений применения ИИ-инструментов в иноязычном образовании. Третья задача направлена на выявление специфики трансформации роли преподавателя в ИИ-насыщенной образовательной среде. Четвёртая задача состоит в определении педагогических условий и барьеров адаптации зарубежного опыта в системе российского педагогического образования.</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Научная новизна</w:t>
      </w:r>
      <w:r>
        <w:rPr>
          <w:rFonts w:ascii="Times New Roman" w:hAnsi="Times New Roman" w:cs="Times New Roman"/>
          <w:sz w:val="24"/>
        </w:rPr>
        <w:t xml:space="preserve"> исследования состоит в том, что впервые в отечественной педагогической науке представлен систематический обзор зарубежного опыта интеграции ИИ в методику преподавания английского языка с позиций применимости в российском педагогическом вузе, а также разработана адаптационная модель, учитывающая институциональные, нормативные и дидактические особенности отечественного педагогического образования.</w:t>
      </w:r>
    </w:p>
    <w:p>
      <w:pPr>
        <w:spacing w:before="200" w:after="120"/>
        <w:jc w:val="left"/>
      </w:pPr>
      <w:r>
        <w:rPr>
          <w:rFonts w:ascii="Times New Roman" w:hAnsi="Times New Roman" w:cs="Times New Roman"/>
          <w:b/>
          <w:sz w:val="26"/>
        </w:rPr>
        <w:t>2. Методология исследования</w:t>
      </w:r>
    </w:p>
    <w:p>
      <w:pPr>
        <w:spacing w:before="160" w:after="80"/>
        <w:jc w:val="left"/>
      </w:pPr>
      <w:r>
        <w:rPr>
          <w:rFonts w:ascii="Times New Roman" w:hAnsi="Times New Roman" w:cs="Times New Roman"/>
          <w:b/>
          <w:sz w:val="24"/>
        </w:rPr>
        <w:t>2.1. Дизайн исследования</w:t>
      </w:r>
    </w:p>
    <w:p>
      <w:pPr>
        <w:spacing w:before="0" w:after="120"/>
        <w:ind w:firstLine="709"/>
        <w:jc w:val="both"/>
      </w:pPr>
      <w:r>
        <w:rPr>
          <w:rFonts w:ascii="Times New Roman" w:hAnsi="Times New Roman" w:cs="Times New Roman"/>
          <w:sz w:val="24"/>
        </w:rPr>
        <w:t>Исследование выполнено в форме систематического обзора литературы. В качестве методологической основы использован подход, принятый в международной практике проведения систематических обзоров (systematic review), предполагающий прозрачность критериев отбора источников, воспроизводимость поискового протокола и структурированность анализа данных [3, 5].</w:t>
      </w:r>
    </w:p>
    <w:p>
      <w:pPr>
        <w:spacing w:before="160" w:after="80"/>
        <w:jc w:val="left"/>
      </w:pPr>
      <w:r>
        <w:rPr>
          <w:rFonts w:ascii="Times New Roman" w:hAnsi="Times New Roman" w:cs="Times New Roman"/>
          <w:b/>
          <w:sz w:val="24"/>
        </w:rPr>
        <w:t>2.2. Критерии включения и исключения</w:t>
      </w:r>
    </w:p>
    <w:p>
      <w:pPr>
        <w:spacing w:before="0" w:after="120"/>
        <w:ind w:firstLine="709"/>
        <w:jc w:val="both"/>
      </w:pPr>
      <w:r>
        <w:rPr>
          <w:rFonts w:ascii="Times New Roman" w:hAnsi="Times New Roman" w:cs="Times New Roman"/>
          <w:sz w:val="24"/>
        </w:rPr>
        <w:t>В обзор включались источники, отвечающие следующим требованиям. По периоду публикации в выборку входили работы 2020–2025 годов. По типу публикации учитывались рецензируемые научные статьи, систематические обзоры и метаанализы. По тематической релевантности отбирались источники, посвящённые применению ИИ в обучении английскому языку как иностранному или второму (EFL/ESL) в контексте высшего образования. Обязательным условием являлось наличие открытого доступа к полному тексту (open access). Языком публикации выступал английский.</w:t>
      </w:r>
    </w:p>
    <w:p>
      <w:pPr>
        <w:spacing w:before="0" w:after="120"/>
        <w:ind w:firstLine="709"/>
        <w:jc w:val="both"/>
      </w:pPr>
      <w:r>
        <w:rPr>
          <w:rFonts w:ascii="Times New Roman" w:hAnsi="Times New Roman" w:cs="Times New Roman"/>
          <w:sz w:val="24"/>
        </w:rPr>
        <w:t>Из обзора исключались источники следующих категорий. Не рассматривались публикации без рецензирования, в том числе блоги и материалы конференций без научной рецензии. Исключались исследования, посвящённые исключительно школьному образованию (K-12) без учёта вузовского контекста. Не принимались технические публикации об алгоритмах ИИ без педагогической составляющей. Отклонялись также источники, недоступные в открытом доступе.</w:t>
      </w:r>
    </w:p>
    <w:p>
      <w:pPr>
        <w:spacing w:before="160" w:after="80"/>
        <w:jc w:val="left"/>
      </w:pPr>
      <w:r>
        <w:rPr>
          <w:rFonts w:ascii="Times New Roman" w:hAnsi="Times New Roman" w:cs="Times New Roman"/>
          <w:b/>
          <w:sz w:val="24"/>
        </w:rPr>
        <w:t>2.3. Источники поиска</w:t>
      </w:r>
    </w:p>
    <w:p>
      <w:pPr>
        <w:spacing w:before="0" w:after="120"/>
        <w:ind w:firstLine="709"/>
        <w:jc w:val="both"/>
      </w:pPr>
      <w:r>
        <w:rPr>
          <w:rFonts w:ascii="Times New Roman" w:hAnsi="Times New Roman" w:cs="Times New Roman"/>
          <w:sz w:val="24"/>
        </w:rPr>
        <w:t xml:space="preserve">Поиск осуществлялся по нескольким базам данных и платформам открытого доступа. Первой из них являлась </w:t>
      </w:r>
      <w:r>
        <w:rPr>
          <w:rFonts w:ascii="Times New Roman" w:hAnsi="Times New Roman" w:cs="Times New Roman"/>
          <w:b/>
          <w:sz w:val="24"/>
        </w:rPr>
        <w:t>PubMed Central (PMC)</w:t>
      </w:r>
      <w:r>
        <w:rPr>
          <w:rFonts w:ascii="Times New Roman" w:hAnsi="Times New Roman" w:cs="Times New Roman"/>
          <w:sz w:val="24"/>
        </w:rPr>
        <w:t xml:space="preserve">, использовавшаяся для поиска в мультидисциплинарных журналах открытого доступа, в том числе Heliyon, Frontiers in Psychology и Frontiers in Education. Второй платформой выступало </w:t>
      </w:r>
      <w:r>
        <w:rPr>
          <w:rFonts w:ascii="Times New Roman" w:hAnsi="Times New Roman" w:cs="Times New Roman"/>
          <w:b/>
          <w:sz w:val="24"/>
        </w:rPr>
        <w:t>MDPI</w:t>
      </w:r>
      <w:r>
        <w:rPr>
          <w:rFonts w:ascii="Times New Roman" w:hAnsi="Times New Roman" w:cs="Times New Roman"/>
          <w:sz w:val="24"/>
        </w:rPr>
        <w:t xml:space="preserve">, представленное журналами Languages, Education Sciences, Information и Sustainability. Третьим ресурсом стал </w:t>
      </w:r>
      <w:r>
        <w:rPr>
          <w:rFonts w:ascii="Times New Roman" w:hAnsi="Times New Roman" w:cs="Times New Roman"/>
          <w:b/>
          <w:sz w:val="24"/>
        </w:rPr>
        <w:t>Language Learning and Technology (LLT)</w:t>
      </w:r>
      <w:r>
        <w:rPr>
          <w:rFonts w:ascii="Times New Roman" w:hAnsi="Times New Roman" w:cs="Times New Roman"/>
          <w:sz w:val="24"/>
        </w:rPr>
        <w:t xml:space="preserve">, являющийся ведущим реферируемым журналом по компьютерному обучению языкам открытого доступа с импакт-фактором 5,6 за 2024 год. В число источников также вошёл </w:t>
      </w:r>
      <w:r>
        <w:rPr>
          <w:rFonts w:ascii="Times New Roman" w:hAnsi="Times New Roman" w:cs="Times New Roman"/>
          <w:b/>
          <w:sz w:val="24"/>
        </w:rPr>
        <w:t>TESL-EJ</w:t>
      </w:r>
      <w:r>
        <w:rPr>
          <w:rFonts w:ascii="Times New Roman" w:hAnsi="Times New Roman" w:cs="Times New Roman"/>
          <w:sz w:val="24"/>
        </w:rPr>
        <w:t xml:space="preserve"> как электронный журнал открытого доступа по методике преподавания английского языка, </w:t>
      </w:r>
      <w:r>
        <w:rPr>
          <w:rFonts w:ascii="Times New Roman" w:hAnsi="Times New Roman" w:cs="Times New Roman"/>
          <w:b/>
          <w:sz w:val="24"/>
        </w:rPr>
        <w:t>ERIC</w:t>
      </w:r>
      <w:r>
        <w:rPr>
          <w:rFonts w:ascii="Times New Roman" w:hAnsi="Times New Roman" w:cs="Times New Roman"/>
          <w:sz w:val="24"/>
        </w:rPr>
        <w:t xml:space="preserve"> в качестве образовательной базы данных открытого доступа, </w:t>
      </w:r>
      <w:r>
        <w:rPr>
          <w:rFonts w:ascii="Times New Roman" w:hAnsi="Times New Roman" w:cs="Times New Roman"/>
          <w:b/>
          <w:sz w:val="24"/>
        </w:rPr>
        <w:t>IRRODL</w:t>
      </w:r>
      <w:r>
        <w:rPr>
          <w:rFonts w:ascii="Times New Roman" w:hAnsi="Times New Roman" w:cs="Times New Roman"/>
          <w:sz w:val="24"/>
        </w:rPr>
        <w:t xml:space="preserve"> (International Review of Research in Open and Distributed Learning), репозиторий препринтов </w:t>
      </w:r>
      <w:r>
        <w:rPr>
          <w:rFonts w:ascii="Times New Roman" w:hAnsi="Times New Roman" w:cs="Times New Roman"/>
          <w:b/>
          <w:sz w:val="24"/>
        </w:rPr>
        <w:t>arXiv</w:t>
      </w:r>
      <w:r>
        <w:rPr>
          <w:rFonts w:ascii="Times New Roman" w:hAnsi="Times New Roman" w:cs="Times New Roman"/>
          <w:sz w:val="24"/>
        </w:rPr>
        <w:t xml:space="preserve"> и платформа </w:t>
      </w:r>
      <w:r>
        <w:rPr>
          <w:rFonts w:ascii="Times New Roman" w:hAnsi="Times New Roman" w:cs="Times New Roman"/>
          <w:b/>
          <w:sz w:val="24"/>
        </w:rPr>
        <w:t>Humanities and Social Sciences Communications</w:t>
      </w:r>
      <w:r>
        <w:rPr>
          <w:rFonts w:ascii="Times New Roman" w:hAnsi="Times New Roman" w:cs="Times New Roman"/>
          <w:sz w:val="24"/>
        </w:rPr>
        <w:t xml:space="preserve"> издательской группы Nature.</w:t>
      </w:r>
    </w:p>
    <w:p>
      <w:pPr>
        <w:spacing w:before="160" w:after="80"/>
        <w:jc w:val="left"/>
      </w:pPr>
      <w:r>
        <w:rPr>
          <w:rFonts w:ascii="Times New Roman" w:hAnsi="Times New Roman" w:cs="Times New Roman"/>
          <w:b/>
          <w:sz w:val="24"/>
        </w:rPr>
        <w:t>2.4. Поисковые запросы</w:t>
      </w:r>
    </w:p>
    <w:p>
      <w:pPr>
        <w:spacing w:before="0" w:after="120"/>
        <w:ind w:firstLine="709"/>
        <w:jc w:val="both"/>
      </w:pPr>
      <w:r>
        <w:rPr>
          <w:rFonts w:ascii="Times New Roman" w:hAnsi="Times New Roman" w:cs="Times New Roman"/>
          <w:sz w:val="24"/>
        </w:rPr>
        <w:t>Применялись следующие поисковые стратегии на английском языке. Использовались запросы «artificial intelligence English language teaching», «ChatGPT EFL OR ESL», «generative AI language learning higher education», «AI chatbot speaking EFL», «automated writing feedback EFL», «adaptive learning English university» и «teacher education artificial intelligence EFL».</w:t>
      </w:r>
    </w:p>
    <w:p>
      <w:pPr>
        <w:spacing w:before="160" w:after="80"/>
        <w:jc w:val="left"/>
      </w:pPr>
      <w:r>
        <w:rPr>
          <w:rFonts w:ascii="Times New Roman" w:hAnsi="Times New Roman" w:cs="Times New Roman"/>
          <w:b/>
          <w:sz w:val="24"/>
        </w:rPr>
        <w:t>2.5. Формирование выборки</w:t>
      </w:r>
    </w:p>
    <w:p>
      <w:pPr>
        <w:spacing w:before="0" w:after="120"/>
        <w:ind w:firstLine="709"/>
        <w:jc w:val="both"/>
      </w:pPr>
      <w:r>
        <w:rPr>
          <w:rFonts w:ascii="Times New Roman" w:hAnsi="Times New Roman" w:cs="Times New Roman"/>
          <w:sz w:val="24"/>
        </w:rPr>
        <w:t xml:space="preserve">В результате поиска было идентифицировано более 180 потенциально релевантных источников. После применения критериев включения и исключения, а также проверки открытого доступа к полным текстам итоговая выборка составила </w:t>
      </w:r>
      <w:r>
        <w:rPr>
          <w:rFonts w:ascii="Times New Roman" w:hAnsi="Times New Roman" w:cs="Times New Roman"/>
          <w:b/>
          <w:sz w:val="24"/>
        </w:rPr>
        <w:t>50 источников</w:t>
      </w:r>
      <w:r>
        <w:rPr>
          <w:rFonts w:ascii="Times New Roman" w:hAnsi="Times New Roman" w:cs="Times New Roman"/>
          <w:sz w:val="24"/>
        </w:rPr>
        <w:t>, распределённых по пяти тематическим направлениям. Распределение источников по блокам представлено в следующей таблице.</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cs="Times New Roman"/>
                <w:b/>
                <w:sz w:val="22"/>
              </w:rPr>
              <w:t>Тематический блок</w:t>
            </w:r>
          </w:p>
        </w:tc>
        <w:tc>
          <w:tcPr>
            <w:tcW w:type="dxa" w:w="4844"/>
          </w:tcPr>
          <w:p>
            <w:r>
              <w:rPr>
                <w:rFonts w:ascii="Times New Roman" w:hAnsi="Times New Roman" w:cs="Times New Roman"/>
                <w:b/>
                <w:sz w:val="22"/>
              </w:rPr>
              <w:t>Количество источников</w:t>
            </w:r>
          </w:p>
        </w:tc>
      </w:tr>
      <w:tr>
        <w:tc>
          <w:tcPr>
            <w:tcW w:type="dxa" w:w="4844"/>
          </w:tcPr>
          <w:p>
            <w:r>
              <w:rPr>
                <w:rFonts w:ascii="Times New Roman" w:hAnsi="Times New Roman" w:cs="Times New Roman"/>
                <w:sz w:val="22"/>
              </w:rPr>
              <w:t>ИИ в развитии письменной речи</w:t>
            </w:r>
          </w:p>
        </w:tc>
        <w:tc>
          <w:tcPr>
            <w:tcW w:type="dxa" w:w="4844"/>
          </w:tcPr>
          <w:p>
            <w:r>
              <w:rPr>
                <w:rFonts w:ascii="Times New Roman" w:hAnsi="Times New Roman" w:cs="Times New Roman"/>
                <w:sz w:val="22"/>
              </w:rPr>
              <w:t>11</w:t>
            </w:r>
          </w:p>
        </w:tc>
      </w:tr>
      <w:tr>
        <w:tc>
          <w:tcPr>
            <w:tcW w:type="dxa" w:w="4844"/>
          </w:tcPr>
          <w:p>
            <w:r>
              <w:rPr>
                <w:rFonts w:ascii="Times New Roman" w:hAnsi="Times New Roman" w:cs="Times New Roman"/>
                <w:sz w:val="22"/>
              </w:rPr>
              <w:t>ИИ-чатботы и устноречевая практика</w:t>
            </w:r>
          </w:p>
        </w:tc>
        <w:tc>
          <w:tcPr>
            <w:tcW w:type="dxa" w:w="4844"/>
          </w:tcPr>
          <w:p>
            <w:r>
              <w:rPr>
                <w:rFonts w:ascii="Times New Roman" w:hAnsi="Times New Roman" w:cs="Times New Roman"/>
                <w:sz w:val="22"/>
              </w:rPr>
              <w:t>8</w:t>
            </w:r>
          </w:p>
        </w:tc>
      </w:tr>
      <w:tr>
        <w:tc>
          <w:tcPr>
            <w:tcW w:type="dxa" w:w="4844"/>
          </w:tcPr>
          <w:p>
            <w:r>
              <w:rPr>
                <w:rFonts w:ascii="Times New Roman" w:hAnsi="Times New Roman" w:cs="Times New Roman"/>
                <w:sz w:val="22"/>
              </w:rPr>
              <w:t>Адаптивное обучение и персонализация</w:t>
            </w:r>
          </w:p>
        </w:tc>
        <w:tc>
          <w:tcPr>
            <w:tcW w:type="dxa" w:w="4844"/>
          </w:tcPr>
          <w:p>
            <w:r>
              <w:rPr>
                <w:rFonts w:ascii="Times New Roman" w:hAnsi="Times New Roman" w:cs="Times New Roman"/>
                <w:sz w:val="22"/>
              </w:rPr>
              <w:t>9</w:t>
            </w:r>
          </w:p>
        </w:tc>
      </w:tr>
      <w:tr>
        <w:tc>
          <w:tcPr>
            <w:tcW w:type="dxa" w:w="4844"/>
          </w:tcPr>
          <w:p>
            <w:r>
              <w:rPr>
                <w:rFonts w:ascii="Times New Roman" w:hAnsi="Times New Roman" w:cs="Times New Roman"/>
                <w:sz w:val="22"/>
              </w:rPr>
              <w:t>Роль преподавателя в ИИ-среде</w:t>
            </w:r>
          </w:p>
        </w:tc>
        <w:tc>
          <w:tcPr>
            <w:tcW w:type="dxa" w:w="4844"/>
          </w:tcPr>
          <w:p>
            <w:r>
              <w:rPr>
                <w:rFonts w:ascii="Times New Roman" w:hAnsi="Times New Roman" w:cs="Times New Roman"/>
                <w:sz w:val="22"/>
              </w:rPr>
              <w:t>10</w:t>
            </w:r>
          </w:p>
        </w:tc>
      </w:tr>
      <w:tr>
        <w:tc>
          <w:tcPr>
            <w:tcW w:type="dxa" w:w="4844"/>
          </w:tcPr>
          <w:p>
            <w:r>
              <w:rPr>
                <w:rFonts w:ascii="Times New Roman" w:hAnsi="Times New Roman" w:cs="Times New Roman"/>
                <w:sz w:val="22"/>
              </w:rPr>
              <w:t>Этические риски и ограничения</w:t>
            </w:r>
          </w:p>
        </w:tc>
        <w:tc>
          <w:tcPr>
            <w:tcW w:type="dxa" w:w="4844"/>
          </w:tcPr>
          <w:p>
            <w:r>
              <w:rPr>
                <w:rFonts w:ascii="Times New Roman" w:hAnsi="Times New Roman" w:cs="Times New Roman"/>
                <w:sz w:val="22"/>
              </w:rPr>
              <w:t>12</w:t>
            </w:r>
          </w:p>
        </w:tc>
      </w:tr>
    </w:tbl>
    <w:p/>
    <w:p>
      <w:pPr>
        <w:spacing w:before="200" w:after="120"/>
        <w:jc w:val="left"/>
      </w:pPr>
      <w:r>
        <w:rPr>
          <w:rFonts w:ascii="Times New Roman" w:hAnsi="Times New Roman" w:cs="Times New Roman"/>
          <w:b/>
          <w:sz w:val="26"/>
        </w:rPr>
        <w:t>3. Результаты: основные направления зарубежного опыта</w:t>
      </w:r>
    </w:p>
    <w:p>
      <w:pPr>
        <w:spacing w:before="160" w:after="80"/>
        <w:jc w:val="left"/>
      </w:pPr>
      <w:r>
        <w:rPr>
          <w:rFonts w:ascii="Times New Roman" w:hAnsi="Times New Roman" w:cs="Times New Roman"/>
          <w:b/>
          <w:sz w:val="24"/>
        </w:rPr>
        <w:t>3.1. Искусственный интеллект в развитии иноязычной письменной речи</w:t>
      </w:r>
    </w:p>
    <w:p>
      <w:pPr>
        <w:spacing w:before="0" w:after="120"/>
        <w:ind w:firstLine="709"/>
        <w:jc w:val="both"/>
      </w:pPr>
      <w:r>
        <w:rPr>
          <w:rFonts w:ascii="Times New Roman" w:hAnsi="Times New Roman" w:cs="Times New Roman"/>
          <w:sz w:val="24"/>
        </w:rPr>
        <w:t>Применение ИИ для развития письменной речи является наиболее исследованным направлением в зарубежной педагогической практике. Анализ источников позволяет выделить три основные линии. Первая связана с использованием инструментов автоматизированной оценки письменных работ (Automated Writing Evaluation, AWE). Вторая охватывает применение генеративного ИИ для предоставления обратной связи. Третья касается интеграции ИИ-ассистентов непосредственно в процесс создания текста.</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Автоматизированная оценка и обратная связь.</w:t>
      </w:r>
      <w:r>
        <w:rPr>
          <w:rFonts w:ascii="Times New Roman" w:hAnsi="Times New Roman" w:cs="Times New Roman"/>
          <w:sz w:val="24"/>
        </w:rPr>
        <w:t xml:space="preserve"> Ряд исследований свидетельствует о высоком педагогическом потенциале систем автоматизированной обратной связи по письменным работам студентов. Исследование Liu et al. [20], проведённое на базе китайского университета, показало, что студенты-иностранцы, обучавшиеся с применением компьютерной обратной связи, демонстрировали значимый прогресс не только в качестве финального текста, но и в самом процессе письма, в частности в стратегиях ревизии и вовлечённости в работу над текстом. Авторы подчёркивают, что ИИ-обратная связь обладает рядом преимуществ перед преподавательской, поскольку она является немедленной, единообразной и доступной вне аудитории.</w:t>
      </w:r>
    </w:p>
    <w:p>
      <w:pPr>
        <w:spacing w:before="0" w:after="120"/>
        <w:ind w:firstLine="709"/>
        <w:jc w:val="both"/>
      </w:pPr>
      <w:r>
        <w:rPr>
          <w:rFonts w:ascii="Times New Roman" w:hAnsi="Times New Roman" w:cs="Times New Roman"/>
          <w:sz w:val="24"/>
        </w:rPr>
        <w:t>Вместе с тем сопоставительное исследование Guo et al. [24] на материале перевода с китайского на английский показало неоднозначные результаты. Обратная связь ChatGPT значимо уступала преподавательской в точности лингвистических комментариев при работе со сложными дискурсивными ошибками, однако превосходила её по охвату и системности при работе с лексическими и грамматическими погрешностями. Авторы рекомендуют рассматривать ИИ-обратную связь как дополнение, а не замену преподавательской.</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Генеративный ИИ в процессе создания текста.</w:t>
      </w:r>
      <w:r>
        <w:rPr>
          <w:rFonts w:ascii="Times New Roman" w:hAnsi="Times New Roman" w:cs="Times New Roman"/>
          <w:sz w:val="24"/>
        </w:rPr>
        <w:t xml:space="preserve"> Wang et al. [21] изучали влияние последовательности ИИ-обратной связи и преподавательской обратной связи на пересмотр текстов студентами-иностранцами. Результаты показали, что оптимальной является модель, при которой ИИ-обратная связь предшествует преподавательской, а за ней следует самостоятельный пересмотр текста. В этом случае студенты демонстрировали наибольший прогресс в качестве письменных работ. Обратная последовательность оказывалась менее эффективной, поскольку студенты воспринимали ИИ-обратную связь как более авторитетную, не осмысляя её критически.</w:t>
      </w:r>
    </w:p>
    <w:p>
      <w:pPr>
        <w:spacing w:before="0" w:after="120"/>
        <w:ind w:firstLine="709"/>
        <w:jc w:val="both"/>
      </w:pPr>
      <w:r>
        <w:rPr>
          <w:rFonts w:ascii="Times New Roman" w:hAnsi="Times New Roman" w:cs="Times New Roman"/>
          <w:sz w:val="24"/>
        </w:rPr>
        <w:t>Zhang et al. [25] провели оценку надёжности многомерной оценки письменных работ с помощью больших языковых моделей. Результаты подтвердили высокую согласованность LLM-оценки с экспертными оценками по таким критериям, как лексическое разнообразие и грамматическая правильность. Вместе с тем были выявлены существенные расхождения в оценке когерентности и дискурсивной организации текста, что авторы объясняют принципиальными ограничениями текущих архитектур ИИ.</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Педагогические риски при интеграции ИИ в письмо.</w:t>
      </w:r>
      <w:r>
        <w:rPr>
          <w:rFonts w:ascii="Times New Roman" w:hAnsi="Times New Roman" w:cs="Times New Roman"/>
          <w:sz w:val="24"/>
        </w:rPr>
        <w:t xml:space="preserve"> Li et al. [22] в качественном исследовании с аспирантами выявили характерные паттерны использования генеративного ИИ при написании исследовательских работ. Студенты активно применяли ИИ для генерации идей, структурирования текста и устранения лексических лакун, однако нередко воспроизводили ИИ-генерированные формулировки без критического осмысления. Авторы квалифицируют это явление как угрозу развитию академической грамотности и предлагают модель «критического партнёрства» с ИИ, при которой студент осознанно управляет взаимодействием с инструментом.</w:t>
      </w:r>
    </w:p>
    <w:p>
      <w:pPr>
        <w:spacing w:before="0" w:after="120"/>
        <w:ind w:firstLine="709"/>
        <w:jc w:val="both"/>
      </w:pPr>
      <w:r>
        <w:rPr>
          <w:rFonts w:ascii="Times New Roman" w:hAnsi="Times New Roman" w:cs="Times New Roman"/>
          <w:sz w:val="24"/>
        </w:rPr>
        <w:t>Xu et al. [23] сосредоточились на точности письменной речи студентов-иностранцев при работе с ИИ-чатботом WritePro на базе GPT-4. Результаты демонстрируют статистически значимый прогресс в грамматической правильности и лексическом разнообразии у экспериментальной группы по сравнению с контрольной, получавшей традиционную преподавательскую обратную связь. Авторы указывают, что ключевым педагогическим условием эффективности является не сам ИИ-инструмент, а методическое сопровождение его использования со стороны преподавателя.</w:t>
      </w:r>
    </w:p>
    <w:p>
      <w:pPr>
        <w:spacing w:before="0" w:after="120"/>
        <w:ind w:firstLine="709"/>
        <w:jc w:val="both"/>
      </w:pPr>
      <w:r>
        <w:rPr>
          <w:rFonts w:ascii="Times New Roman" w:hAnsi="Times New Roman" w:cs="Times New Roman"/>
          <w:sz w:val="24"/>
        </w:rPr>
        <w:t>Таким образом, зарубежный опыт свидетельствует о значимом дидактическом потенциале ИИ в развитии письменной речи при условии его интеграции в структурированный педагогический процесс, а не замены им традиционного обучения.</w:t>
      </w:r>
    </w:p>
    <w:p>
      <w:pPr>
        <w:spacing w:before="160" w:after="80"/>
        <w:jc w:val="left"/>
      </w:pPr>
      <w:r>
        <w:rPr>
          <w:rFonts w:ascii="Times New Roman" w:hAnsi="Times New Roman" w:cs="Times New Roman"/>
          <w:b/>
          <w:sz w:val="24"/>
        </w:rPr>
        <w:t>3.2. ИИ-чатботы и развитие устноречевых умений</w:t>
      </w:r>
    </w:p>
    <w:p>
      <w:pPr>
        <w:spacing w:before="0" w:after="120"/>
        <w:ind w:firstLine="709"/>
        <w:jc w:val="both"/>
      </w:pPr>
      <w:r>
        <w:rPr>
          <w:rFonts w:ascii="Times New Roman" w:hAnsi="Times New Roman" w:cs="Times New Roman"/>
          <w:sz w:val="24"/>
        </w:rPr>
        <w:t>Второе по масштабу исследовательское направление связано с применением ИИ-чатботов для развития навыков говорения и снижения речевой тревожности у студентов-иностранцев. Ключевым преимуществом ИИ-собеседников по сравнению с традиционными форматами устной практики является их доступность вне учебного времени, отсутствие оценивающего человеческого партнёра и возможность многократного повторения.</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Эффективность чатботов для развития устной речи.</w:t>
      </w:r>
      <w:r>
        <w:rPr>
          <w:rFonts w:ascii="Times New Roman" w:hAnsi="Times New Roman" w:cs="Times New Roman"/>
          <w:sz w:val="24"/>
        </w:rPr>
        <w:t xml:space="preserve"> Систематический обзор Du and Daniel [28] охватил эмпирические исследования применения ИИ-чатботов для практики говорения на английском языке. Авторы установили, что диалоговые чатботы положительно влияют на беглость речи, готовность к общению (willingness to communicate) и уверенность студентов, однако их эффективность существенно варьируется в зависимости от дизайна задания и степени педагогической поддержки. Исследование выявило значимый пробел в том, что большинство существующих чатботов не обеспечивают обратную связь по дискурсивным и прагматическим аспектам речи, ограничиваясь грамматикой и лексикой.</w:t>
      </w:r>
    </w:p>
    <w:p>
      <w:pPr>
        <w:spacing w:before="0" w:after="120"/>
        <w:ind w:firstLine="709"/>
        <w:jc w:val="both"/>
      </w:pPr>
      <w:r>
        <w:rPr>
          <w:rFonts w:ascii="Times New Roman" w:hAnsi="Times New Roman" w:cs="Times New Roman"/>
          <w:sz w:val="24"/>
        </w:rPr>
        <w:t>Yang et al. [29] в смешанном исследовании с использованием платформы Mondly продемонстрировали, что регулярное взаимодействие с ИИ-собеседником значимо снижает иноязычную тревожность. Авторы интерпретируют этот результат через концепцию «безопасного пространства для практики», в котором отсутствие социального оценивания позволяет студентам более свободно рисковать в плане языка по сравнению с взаимодействием с преподавателем или носителем языка.</w:t>
      </w:r>
    </w:p>
    <w:p>
      <w:pPr>
        <w:spacing w:before="0" w:after="120"/>
        <w:ind w:firstLine="709"/>
        <w:jc w:val="both"/>
      </w:pPr>
      <w:r>
        <w:rPr>
          <w:rFonts w:ascii="Times New Roman" w:hAnsi="Times New Roman" w:cs="Times New Roman"/>
          <w:sz w:val="24"/>
        </w:rPr>
        <w:t>Li et al. [30] провели сравнительное исследование влияния ИИ-чатбота и преподавателя-фасилитатора на результаты устного оценивания. Результаты показали, что студенты, подготовленные с помощью ИИ-чатбота, демонстрировали сопоставимые или более высокие баллы в тестах, хотя их речь характеризовалась менее богатым лексическим репертуаром по сравнению с группой, работавшей с преподавателем. Авторы делают вывод о взаимодополняемости ИИ и человеческого педагогического взаимодействия.</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Специализированные инструменты.</w:t>
      </w:r>
      <w:r>
        <w:rPr>
          <w:rFonts w:ascii="Times New Roman" w:hAnsi="Times New Roman" w:cs="Times New Roman"/>
          <w:sz w:val="24"/>
        </w:rPr>
        <w:t xml:space="preserve"> Отдельного внимания заслуживает исследование возможностей ChatGPT непосредственно для устноречевых задач. В работе Chen et al. [27] описана система CHOP (ChatGPT for Oral Presentation Practice), интегрированная в подготовку презентаций на английском языке. Студенты, работавшие с CHOP, значительно улучшили структурированность выступлений и языковую корректность по сравнению с контрольной группой, хотя авторы фиксируют риск чрезмерной зависимости от ИИ-подсказок при формулировании идей.</w:t>
      </w:r>
    </w:p>
    <w:p>
      <w:pPr>
        <w:spacing w:before="0" w:after="120"/>
        <w:ind w:firstLine="709"/>
        <w:jc w:val="both"/>
      </w:pPr>
      <w:r>
        <w:rPr>
          <w:rFonts w:ascii="Times New Roman" w:hAnsi="Times New Roman" w:cs="Times New Roman"/>
          <w:sz w:val="24"/>
        </w:rPr>
        <w:t>Xu et al. [32] исследовали влияние биометрической обратной связи на основе ИИ на качество чтения и понимания, фиксируя данные об окулометрии и когнитивной нагрузке. Полученные результаты открывают возможности для создания адаптивных систем, учитывающих индивидуальные когнитивные характеристики студента.</w:t>
      </w:r>
    </w:p>
    <w:p>
      <w:pPr>
        <w:spacing w:before="160" w:after="80"/>
        <w:jc w:val="left"/>
      </w:pPr>
      <w:r>
        <w:rPr>
          <w:rFonts w:ascii="Times New Roman" w:hAnsi="Times New Roman" w:cs="Times New Roman"/>
          <w:b/>
          <w:sz w:val="24"/>
        </w:rPr>
        <w:t>3.3. Адаптивное обучение и персонализация образовательных траекторий</w:t>
      </w:r>
    </w:p>
    <w:p>
      <w:pPr>
        <w:spacing w:before="0" w:after="120"/>
        <w:ind w:firstLine="709"/>
        <w:jc w:val="both"/>
      </w:pPr>
      <w:r>
        <w:rPr>
          <w:rFonts w:ascii="Times New Roman" w:hAnsi="Times New Roman" w:cs="Times New Roman"/>
          <w:sz w:val="24"/>
        </w:rPr>
        <w:t>Одним из наиболее технологически зрелых направлений применения ИИ в иноязычном образовании является создание адаптивных обучающих систем, способных подстраивать содержание, темп и формат подачи материала под индивидуальные потребности студента.</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Влияние на учебные достижения и мотивацию.</w:t>
      </w:r>
      <w:r>
        <w:rPr>
          <w:rFonts w:ascii="Times New Roman" w:hAnsi="Times New Roman" w:cs="Times New Roman"/>
          <w:sz w:val="24"/>
        </w:rPr>
        <w:t xml:space="preserve"> Масштабное исследование Huang et al. [34] установило, что применение ИИ-опосредованного обучения английскому языку значимо положительно сказывается на трёх взаимосвязанных переменных, а именно на академических достижениях, иноязычной мотивации (L2 motivation) и самостоятельном регулировании учебной деятельности. При этом авторы обнаружили, что наибольший прогресс наблюдался у студентов с исходно низким уровнем языковой подготовки, что свидетельствует о компенсаторном потенциале ИИ применительно к академически уязвимым группам.</w:t>
      </w:r>
    </w:p>
    <w:p>
      <w:pPr>
        <w:spacing w:before="0" w:after="120"/>
        <w:ind w:firstLine="709"/>
        <w:jc w:val="both"/>
      </w:pPr>
      <w:r>
        <w:rPr>
          <w:rFonts w:ascii="Times New Roman" w:hAnsi="Times New Roman" w:cs="Times New Roman"/>
          <w:sz w:val="24"/>
        </w:rPr>
        <w:t>Аналогичные результаты получены в исследовании Lin et al. [35]: применение ИИ-приложений в аудиторной работе коррелировало с повышением вовлечённости и снижением академической прокрастинации у студентов. Авторы связывают этот эффект с геймификационными и адаптивными характеристиками ИИ-платформ, обеспечивающими немедленное подкрепление.</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Персонализация и самостоятельность.</w:t>
      </w:r>
      <w:r>
        <w:rPr>
          <w:rFonts w:ascii="Times New Roman" w:hAnsi="Times New Roman" w:cs="Times New Roman"/>
          <w:sz w:val="24"/>
        </w:rPr>
        <w:t xml:space="preserve"> Wei et al. [36] на основе модели последовательной медиации показали, что путь от ИИ-грамотности студента к устойчивому намерению использовать ИИ в обучении опосредован через позитивные установки к ИИ и получаемое от взаимодействия с ним удовольствие. Этот результат имеет важное педагогическое значение: он означает, что простое внедрение ИИ-инструментов недостаточно и что необходимо целенаправленное формирование позитивного и критического отношения к ним.</w:t>
      </w:r>
    </w:p>
    <w:p>
      <w:pPr>
        <w:spacing w:before="0" w:after="120"/>
        <w:ind w:firstLine="709"/>
        <w:jc w:val="both"/>
      </w:pPr>
      <w:r>
        <w:rPr>
          <w:rFonts w:ascii="Times New Roman" w:hAnsi="Times New Roman" w:cs="Times New Roman"/>
          <w:sz w:val="24"/>
        </w:rPr>
        <w:t>Liu et al. [38] разработали теоретическую рамку на основе теории самодетерминации, объясняющую, при каких условиях ИИ-поддержка в обучении языку усиливает автономию студента, а при каких подавляет её. Ключевым педагогическим условием авторы называют поддерживающие «строительные леса» (scaffolding) со стороны преподавателя, направляющего взаимодействие студента с ИИ таким образом, чтобы оно служило расширению, а не замещению самостоятельного речевого усилия.</w:t>
      </w:r>
    </w:p>
    <w:p>
      <w:pPr>
        <w:spacing w:before="160" w:after="80"/>
        <w:jc w:val="left"/>
      </w:pPr>
      <w:r>
        <w:rPr>
          <w:rFonts w:ascii="Times New Roman" w:hAnsi="Times New Roman" w:cs="Times New Roman"/>
          <w:b/>
          <w:sz w:val="24"/>
        </w:rPr>
        <w:t>3.4. Трансформация роли преподавателя в условиях ИИ</w:t>
      </w:r>
    </w:p>
    <w:p>
      <w:pPr>
        <w:spacing w:before="0" w:after="120"/>
        <w:ind w:firstLine="709"/>
        <w:jc w:val="both"/>
      </w:pPr>
      <w:r>
        <w:rPr>
          <w:rFonts w:ascii="Times New Roman" w:hAnsi="Times New Roman" w:cs="Times New Roman"/>
          <w:sz w:val="24"/>
        </w:rPr>
        <w:t>Среди всех тематических направлений именно трансформация профессиональной роли преподавателя иностранного языка в условиях распространения ИИ является наиболее полемичным и динамично развивающимся. Зарубежные исследования демонстрируют спектр позиций от технологического оптимизма до обоснованного скептицизма.</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Новые профессиональные роли.</w:t>
      </w:r>
      <w:r>
        <w:rPr>
          <w:rFonts w:ascii="Times New Roman" w:hAnsi="Times New Roman" w:cs="Times New Roman"/>
          <w:sz w:val="24"/>
        </w:rPr>
        <w:t xml:space="preserve"> Zhao et al. [42] выделили четыре трансформированные роли преподавателя английского языка в ИИ-насыщенной среде. Первая представляет собой роль эволюционирующего фасилитатора. Вторая соответствует специалисту по смешанному обучению. Третья связана с функцией гибкого дизайнера учебных материалов. Четвёртая роль предполагает позицию творческого промпт-инженера. Авторы подчёркивают, что ни одна из этих ролей не предполагает сокращения профессиональной нагрузки, напротив, они требуют более высокого уровня педагогической рефлексии и технологической компетентности.</w:t>
      </w:r>
    </w:p>
    <w:p>
      <w:pPr>
        <w:spacing w:before="0" w:after="120"/>
        <w:ind w:firstLine="709"/>
        <w:jc w:val="both"/>
      </w:pPr>
      <w:r>
        <w:rPr>
          <w:rFonts w:ascii="Times New Roman" w:hAnsi="Times New Roman" w:cs="Times New Roman"/>
          <w:sz w:val="24"/>
        </w:rPr>
        <w:t>Исследование восприятия преподавателями ИИ как инструмента профессионального саморазвития [41] показало, что педагоги, освоившие практики взаимодействия с генеративным ИИ, воспринимают его прежде всего как инструмент для дифференциации инструкции и сокращения рутинных задач. Педагоги же с низким уровнем технологической компетентности склонны видеть в нём угрозу профессиональной идентичности.</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Когнитивные практики и педагогическое мышление.</w:t>
      </w:r>
      <w:r>
        <w:rPr>
          <w:rFonts w:ascii="Times New Roman" w:hAnsi="Times New Roman" w:cs="Times New Roman"/>
          <w:sz w:val="24"/>
        </w:rPr>
        <w:t xml:space="preserve"> Sun et al. [43] провели качественное исследование реальных практик преподавателей английского языка в вузе, применяющих ИИ для поддержания вовлечённости студентов. Результаты показали значительную вариативность. Педагоги с развитыми рефлексивными практиками использовали ИИ как инструмент создания дифференцированных заданий. Педагоги с ограниченным педагогическим опытом использовали его преимущественно для генерации стандартных упражнений, что не давало значимого педагогического эффекта. Авторы делают вывод о том, что педагогическое мышление является более значимой переменной, чем технологический инструментарий.</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Подготовка будущих учителей.</w:t>
      </w:r>
      <w:r>
        <w:rPr>
          <w:rFonts w:ascii="Times New Roman" w:hAnsi="Times New Roman" w:cs="Times New Roman"/>
          <w:sz w:val="24"/>
        </w:rPr>
        <w:t xml:space="preserve"> García-Díaz et al. [44] в систематическом обзоре, посвящённом подготовке учителей иностранного языка к работе с ИИ, констатировали, что большинство программ педагогического образования за рубежом до сих пор не включают систематической подготовки к профессиональной деятельности в условиях ИИ-насыщенной среды. Авторы предложили концептуальную рамку ИИ-компетентности будущего учителя иностранного языка.</w:t>
      </w:r>
    </w:p>
    <w:p>
      <w:pPr>
        <w:spacing w:before="0" w:after="120"/>
        <w:ind w:firstLine="709"/>
        <w:jc w:val="both"/>
      </w:pPr>
      <w:r>
        <w:rPr>
          <w:rFonts w:ascii="Times New Roman" w:hAnsi="Times New Roman" w:cs="Times New Roman"/>
          <w:sz w:val="24"/>
        </w:rPr>
        <w:t>Godwin-Jones [8] формулирует концепцию «экологической перспективы» в подготовке языкового педагога к работе с ИИ. Согласно этой концепции, преподаватель должен рассматривать ИИ не как набор инструментов, а как новый экологический контекст языкового образования, требующий переосмысления дидактических целей, методов оценивания и принципов организации учебной деятельности.</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Эмоциональное благополучие и поддержка.</w:t>
      </w:r>
      <w:r>
        <w:rPr>
          <w:rFonts w:ascii="Times New Roman" w:hAnsi="Times New Roman" w:cs="Times New Roman"/>
          <w:sz w:val="24"/>
        </w:rPr>
        <w:t xml:space="preserve"> Wang et al. [40] обнаружили, что воспринимаемая поддержка преподавателя и наличие установки на рост (growth mindset) применительно к языку значимо опосредуют связь между интеграцией ИИ в обучение и субъективным благополучием студентов. Этот результат свидетельствует о том, что человеческий педагогический компонент остаётся незаменимым даже в высокотехнологичных образовательных средах.</w:t>
      </w:r>
    </w:p>
    <w:p>
      <w:pPr>
        <w:spacing w:before="160" w:after="80"/>
        <w:jc w:val="left"/>
      </w:pPr>
      <w:r>
        <w:rPr>
          <w:rFonts w:ascii="Times New Roman" w:hAnsi="Times New Roman" w:cs="Times New Roman"/>
          <w:b/>
          <w:sz w:val="24"/>
        </w:rPr>
        <w:t>3.5. Этические риски и педагогические ограничения</w:t>
      </w:r>
    </w:p>
    <w:p>
      <w:pPr>
        <w:spacing w:before="0" w:after="120"/>
        <w:ind w:firstLine="709"/>
        <w:jc w:val="both"/>
      </w:pPr>
      <w:r>
        <w:rPr>
          <w:rFonts w:ascii="Times New Roman" w:hAnsi="Times New Roman" w:cs="Times New Roman"/>
          <w:sz w:val="24"/>
        </w:rPr>
        <w:t>Параллельно с исследованиями, фиксирующими педагогические возможности ИИ, в зарубежной литературе активно развивается критическое направление, посвящённое рискам и ограничениям его применения в иноязычном образовании.</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Академическая честность.</w:t>
      </w:r>
      <w:r>
        <w:rPr>
          <w:rFonts w:ascii="Times New Roman" w:hAnsi="Times New Roman" w:cs="Times New Roman"/>
          <w:sz w:val="24"/>
        </w:rPr>
        <w:t xml:space="preserve"> Zhang et al. [17] изучали расхождение между декларируемыми и реальными практиками использования ChatGPT среди студентов-иностранцев в отношении академической честности. Результаты выявили значимый разрыв: студенты декларировали осознание норм академической честности, однако в реальной учебной практике нередко прибегали к использованию ИИ способами, которые сами квалифицировали как нарушение этих норм. Авторы интерпретируют это противоречие через концепцию «этической амбивалентности» и указывают на необходимость не запретительных, а педагогических стратегий работы с данной проблемой.</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Академическая зависимость и атрофия навыков.</w:t>
      </w:r>
      <w:r>
        <w:rPr>
          <w:rFonts w:ascii="Times New Roman" w:hAnsi="Times New Roman" w:cs="Times New Roman"/>
          <w:sz w:val="24"/>
        </w:rPr>
        <w:t xml:space="preserve"> Серьёзную обеспокоенность в зарубежной литературе вызывает риск чрезмерной зависимости от ИИ, способной затормозить развитие самостоятельной языковой компетенции. Li et al. [22] зафиксировали характерный паттерн когнитивной разгрузки: студенты, регулярно использующие ИИ для написания текстов, постепенно передавали ему всё более сложные когнитивные операции, включая не только редактирование, но и генерацию идей и аргументации. Авторы квалифицируют это явление как угрозу развитию критического мышления на иностранном языке.</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Этические рамки и рекомендации.</w:t>
      </w:r>
      <w:r>
        <w:rPr>
          <w:rFonts w:ascii="Times New Roman" w:hAnsi="Times New Roman" w:cs="Times New Roman"/>
          <w:sz w:val="24"/>
        </w:rPr>
        <w:t xml:space="preserve"> Pham et al. [46] представили практически ориентированные рекомендации по этически корректному применению ChatGPT в образовании. Авторы сформулировали принцип «осознанного партнёрства с ИИ» (mindful AI partnership), согласно которому студент должен понимать, что делает ИИ, уметь критически оценивать его результат и нести персональную ответственность за итоговый академический продукт.</w:t>
      </w:r>
    </w:p>
    <w:p>
      <w:pPr>
        <w:spacing w:before="0" w:after="120"/>
        <w:ind w:firstLine="709"/>
        <w:jc w:val="both"/>
      </w:pPr>
      <w:r>
        <w:rPr>
          <w:rFonts w:ascii="Times New Roman" w:hAnsi="Times New Roman" w:cs="Times New Roman"/>
          <w:sz w:val="24"/>
        </w:rPr>
        <w:t>Okonkwo et al. [26] разработали «Синергетическую рамку активного обучения и генеративного ИИ» (Active Learning and GenAI Synergy Framework) для ресурсно-ограниченных образовательных контекстов. В данной рамке ИИ выступает не как замена преподавателю, а как «когнитивный партнёр» студента, стимулирующий рефлексию, совместную генерацию идей и метакогнитивное осмысление учебного процесса.</w:t>
      </w:r>
    </w:p>
    <w:p>
      <w:pPr>
        <w:spacing w:before="0" w:after="120"/>
        <w:ind w:firstLine="709"/>
        <w:jc w:val="both"/>
      </w:pPr>
      <w:r>
        <w:rPr>
          <w:rFonts w:ascii="Times New Roman" w:hAnsi="Times New Roman" w:cs="Times New Roman"/>
          <w:sz w:val="24"/>
        </w:rPr>
      </w:r>
      <w:r>
        <w:rPr>
          <w:rFonts w:ascii="Times New Roman" w:hAnsi="Times New Roman" w:cs="Times New Roman"/>
          <w:b/>
          <w:sz w:val="24"/>
        </w:rPr>
        <w:t>Цифровое неравенство.</w:t>
      </w:r>
      <w:r>
        <w:rPr>
          <w:rFonts w:ascii="Times New Roman" w:hAnsi="Times New Roman" w:cs="Times New Roman"/>
          <w:sz w:val="24"/>
        </w:rPr>
        <w:t xml:space="preserve"> Ряд авторов указывает на риск углубления образовательного неравенства в связи с неравным доступом к качественным ИИ-инструментам [3, 5]. Студенты с ограниченными цифровыми ресурсами или в регионах с нестабильным интернет-соединением оказываются в заведомо менее выгодном положении. Этот аспект имеет прямое отношение к специфике российских регионов и периферийных педагогических вузов.</w:t>
      </w:r>
    </w:p>
    <w:p>
      <w:pPr>
        <w:spacing w:before="200" w:after="120"/>
        <w:jc w:val="left"/>
      </w:pPr>
      <w:r>
        <w:rPr>
          <w:rFonts w:ascii="Times New Roman" w:hAnsi="Times New Roman" w:cs="Times New Roman"/>
          <w:b/>
          <w:sz w:val="26"/>
        </w:rPr>
        <w:t>4. Перспективы адаптации зарубежного опыта в российском педагогическом вузе</w:t>
      </w:r>
    </w:p>
    <w:p>
      <w:pPr>
        <w:spacing w:before="160" w:after="80"/>
        <w:jc w:val="left"/>
      </w:pPr>
      <w:r>
        <w:rPr>
          <w:rFonts w:ascii="Times New Roman" w:hAnsi="Times New Roman" w:cs="Times New Roman"/>
          <w:b/>
          <w:sz w:val="24"/>
        </w:rPr>
        <w:t>4.1. Сравнительный анализ контекстов</w:t>
      </w:r>
    </w:p>
    <w:p>
      <w:pPr>
        <w:spacing w:before="0" w:after="120"/>
        <w:ind w:firstLine="709"/>
        <w:jc w:val="both"/>
      </w:pPr>
      <w:r>
        <w:rPr>
          <w:rFonts w:ascii="Times New Roman" w:hAnsi="Times New Roman" w:cs="Times New Roman"/>
          <w:sz w:val="24"/>
        </w:rPr>
        <w:t>Для корректной оценки применимости зарубежного опыта необходимо учитывать существенные различия между образовательными контекстами.</w:t>
      </w:r>
    </w:p>
    <w:p>
      <w:pPr>
        <w:spacing w:before="0" w:after="120"/>
        <w:ind w:firstLine="709"/>
        <w:jc w:val="both"/>
      </w:pPr>
      <w:r>
        <w:rPr>
          <w:rFonts w:ascii="Times New Roman" w:hAnsi="Times New Roman" w:cs="Times New Roman"/>
          <w:sz w:val="24"/>
        </w:rPr>
        <w:t>Большинство рассмотренных исследований выполнено в контексте университетов Китая, Тайваня, США, Великобритании, Южной Кореи и стран Ближнего Востока. Данные контексты, при всей их разнородности, объединяет ряд характеристик, в том числе развитая инфраструктура технологического доступа, сложившаяся культура самостоятельного обучения и системная работа по включению ИИ-грамотности в программы педагогической подготовки. Российский педагогический вуз обладает собственной спецификой, которая описывается в нескольких аспектах.</w:t>
      </w:r>
    </w:p>
    <w:p>
      <w:pPr>
        <w:spacing w:before="0" w:after="120"/>
        <w:ind w:firstLine="709"/>
        <w:jc w:val="both"/>
      </w:pPr>
      <w:r>
        <w:rPr>
          <w:rFonts w:ascii="Times New Roman" w:hAnsi="Times New Roman" w:cs="Times New Roman"/>
          <w:sz w:val="24"/>
        </w:rPr>
        <w:t>Первый аспект связан с нормативным контекстом. ФГОС ВО по направлению «Педагогическое образование» требует формирования цифровых компетенций, однако не содержит специфических указаний на ИИ-инструменты. Их педагогическая легитимизация во многом определяется позицией конкретного вуза и кафедры.</w:t>
      </w:r>
    </w:p>
    <w:p>
      <w:pPr>
        <w:spacing w:before="0" w:after="120"/>
        <w:ind w:firstLine="709"/>
        <w:jc w:val="both"/>
      </w:pPr>
      <w:r>
        <w:rPr>
          <w:rFonts w:ascii="Times New Roman" w:hAnsi="Times New Roman" w:cs="Times New Roman"/>
          <w:sz w:val="24"/>
        </w:rPr>
        <w:t>Второй аспект касается дидактической традиции. Отечественная методика преподавания иностранных языков опирается на развитую традицию коммуникативно-деятельностного подхода, в рамках которого роль преподавателя как организатора иноязычной коммуникации является центральной. Это создаёт как ресурсную базу в виде высокого уровня методической рефлексии преподавателей, так и потенциальное сопротивление технологической замене живого педагогического взаимодействия.</w:t>
      </w:r>
    </w:p>
    <w:p>
      <w:pPr>
        <w:spacing w:before="0" w:after="120"/>
        <w:ind w:firstLine="709"/>
        <w:jc w:val="both"/>
      </w:pPr>
      <w:r>
        <w:rPr>
          <w:rFonts w:ascii="Times New Roman" w:hAnsi="Times New Roman" w:cs="Times New Roman"/>
          <w:sz w:val="24"/>
        </w:rPr>
        <w:t>Третий аспект определяется языковым контекстом. Российские студенты педагогических вузов обучаются английскому языку как иностранному (EFL), а не как второму языку. Большинство рассмотренных исследований выполнено именно в контексте EFL, что обеспечивает достаточно высокий уровень переносимости результатов.</w:t>
      </w:r>
    </w:p>
    <w:p>
      <w:pPr>
        <w:spacing w:before="0" w:after="120"/>
        <w:ind w:firstLine="709"/>
        <w:jc w:val="both"/>
      </w:pPr>
      <w:r>
        <w:rPr>
          <w:rFonts w:ascii="Times New Roman" w:hAnsi="Times New Roman" w:cs="Times New Roman"/>
          <w:sz w:val="24"/>
        </w:rPr>
        <w:t>Четвёртый аспект обусловлен технологической инфраструктурой. Доступность ряда зарубежных ИИ-инструментов на территории России имеет нормативные и технологические ограничения. Это актуализирует вопрос об использовании отечественных аналогов и их педагогическом потенциале, пока не изученном в научной литературе.</w:t>
      </w:r>
    </w:p>
    <w:p>
      <w:pPr>
        <w:spacing w:before="160" w:after="80"/>
        <w:jc w:val="left"/>
      </w:pPr>
      <w:r>
        <w:rPr>
          <w:rFonts w:ascii="Times New Roman" w:hAnsi="Times New Roman" w:cs="Times New Roman"/>
          <w:b/>
          <w:sz w:val="24"/>
        </w:rPr>
        <w:t>4.2. Направления с высоким потенциалом адаптации</w:t>
      </w:r>
    </w:p>
    <w:p>
      <w:pPr>
        <w:spacing w:before="0" w:after="120"/>
        <w:ind w:firstLine="709"/>
        <w:jc w:val="both"/>
      </w:pPr>
      <w:r>
        <w:rPr>
          <w:rFonts w:ascii="Times New Roman" w:hAnsi="Times New Roman" w:cs="Times New Roman"/>
          <w:sz w:val="24"/>
        </w:rPr>
        <w:t>На основании анализа зарубежного опыта можно выделить три направления, обладающих наибольшим потенциалом адаптации в российском педагогическом вузе.</w:t>
      </w:r>
    </w:p>
    <w:p>
      <w:pPr>
        <w:spacing w:before="0" w:after="120"/>
        <w:ind w:firstLine="709"/>
        <w:jc w:val="both"/>
      </w:pPr>
      <w:r>
        <w:rPr>
          <w:rFonts w:ascii="Times New Roman" w:hAnsi="Times New Roman" w:cs="Times New Roman"/>
          <w:sz w:val="24"/>
        </w:rPr>
        <w:t xml:space="preserve">Первым направлением является </w:t>
      </w:r>
      <w:r>
        <w:rPr>
          <w:rFonts w:ascii="Times New Roman" w:hAnsi="Times New Roman" w:cs="Times New Roman"/>
          <w:b/>
          <w:sz w:val="24"/>
        </w:rPr>
        <w:t>ИИ-поддержка письменной речи</w:t>
      </w:r>
      <w:r>
        <w:rPr>
          <w:rFonts w:ascii="Times New Roman" w:hAnsi="Times New Roman" w:cs="Times New Roman"/>
          <w:sz w:val="24"/>
        </w:rPr>
        <w:t>. Инструменты автоматизированной обратной связи по письменным работам представляют собой наиболее методически зрелое и педагогически обоснованное направление. Их интеграция в курсы практики письменного перевода, академического письма и методики обучения письму потенциально высокоэффективна и не требует кардинальной перестройки дидактической системы. Педагогическим условием является методическое обучение студентов работе с ИИ-обратной связью как инструментом рефлексии, а не источником готовых решений.</w:t>
      </w:r>
    </w:p>
    <w:p>
      <w:pPr>
        <w:spacing w:before="0" w:after="120"/>
        <w:ind w:firstLine="709"/>
        <w:jc w:val="both"/>
      </w:pPr>
      <w:r>
        <w:rPr>
          <w:rFonts w:ascii="Times New Roman" w:hAnsi="Times New Roman" w:cs="Times New Roman"/>
          <w:sz w:val="24"/>
        </w:rPr>
        <w:t xml:space="preserve">Вторым направлением выступает </w:t>
      </w:r>
      <w:r>
        <w:rPr>
          <w:rFonts w:ascii="Times New Roman" w:hAnsi="Times New Roman" w:cs="Times New Roman"/>
          <w:b/>
          <w:sz w:val="24"/>
        </w:rPr>
        <w:t>расширение практики устной речи</w:t>
      </w:r>
      <w:r>
        <w:rPr>
          <w:rFonts w:ascii="Times New Roman" w:hAnsi="Times New Roman" w:cs="Times New Roman"/>
          <w:sz w:val="24"/>
        </w:rPr>
        <w:t>. Хроническая проблема недостаточного количества аудиторных часов на устноречевую практику в педвузе может быть частично решена за счёт ИИ-чатботов как инструментов внеаудиторной практики говорения. При этом принципиально важно соблюдение выявленного зарубежными исследованиями условия, согласно которому чатбот должен дополнять, но не вытеснять взаимодействие с преподавателем и аутентичными носителями языка.</w:t>
      </w:r>
    </w:p>
    <w:p>
      <w:pPr>
        <w:spacing w:before="0" w:after="120"/>
        <w:ind w:firstLine="709"/>
        <w:jc w:val="both"/>
      </w:pPr>
      <w:r>
        <w:rPr>
          <w:rFonts w:ascii="Times New Roman" w:hAnsi="Times New Roman" w:cs="Times New Roman"/>
          <w:sz w:val="24"/>
        </w:rPr>
        <w:t xml:space="preserve">Третьим направлением является </w:t>
      </w:r>
      <w:r>
        <w:rPr>
          <w:rFonts w:ascii="Times New Roman" w:hAnsi="Times New Roman" w:cs="Times New Roman"/>
          <w:b/>
          <w:sz w:val="24"/>
        </w:rPr>
        <w:t>подготовка студентов к профессиональной деятельности в ИИ-среде</w:t>
      </w:r>
      <w:r>
        <w:rPr>
          <w:rFonts w:ascii="Times New Roman" w:hAnsi="Times New Roman" w:cs="Times New Roman"/>
          <w:sz w:val="24"/>
        </w:rPr>
        <w:t>. Поскольку выпускники педагогического вуза будут работать в школах, где ИИ уже используется учащимися, важнейшим компонентом профессиональной подготовки становится формирование критической ИИ-компетентности будущего учителя. Это направление в наибольшей степени соответствует собственной логике педагогического вуза и не имеет аналогов в существующих российских программах педагогической подготовки.</w:t>
      </w:r>
    </w:p>
    <w:p>
      <w:pPr>
        <w:spacing w:before="160" w:after="80"/>
        <w:jc w:val="left"/>
      </w:pPr>
      <w:r>
        <w:rPr>
          <w:rFonts w:ascii="Times New Roman" w:hAnsi="Times New Roman" w:cs="Times New Roman"/>
          <w:b/>
          <w:sz w:val="24"/>
        </w:rPr>
        <w:t>4.3. Педагогические условия адаптации</w:t>
      </w:r>
    </w:p>
    <w:p>
      <w:pPr>
        <w:spacing w:before="0" w:after="120"/>
        <w:ind w:firstLine="709"/>
        <w:jc w:val="both"/>
      </w:pPr>
      <w:r>
        <w:rPr>
          <w:rFonts w:ascii="Times New Roman" w:hAnsi="Times New Roman" w:cs="Times New Roman"/>
          <w:sz w:val="24"/>
        </w:rPr>
        <w:t>Синтез данных систематического обзора позволяет сформулировать педагогические условия, необходимые для успешной адаптации зарубежного опыта в российском педагогическом вузе.</w:t>
      </w:r>
    </w:p>
    <w:p>
      <w:pPr>
        <w:spacing w:before="0" w:after="120"/>
        <w:ind w:firstLine="709"/>
        <w:jc w:val="both"/>
      </w:pPr>
      <w:r>
        <w:rPr>
          <w:rFonts w:ascii="Times New Roman" w:hAnsi="Times New Roman" w:cs="Times New Roman"/>
          <w:sz w:val="24"/>
        </w:rPr>
        <w:t xml:space="preserve">Первым условием является </w:t>
      </w:r>
      <w:r>
        <w:rPr>
          <w:rFonts w:ascii="Times New Roman" w:hAnsi="Times New Roman" w:cs="Times New Roman"/>
          <w:b/>
          <w:sz w:val="24"/>
        </w:rPr>
        <w:t>методическое сопровождение</w:t>
      </w:r>
      <w:r>
        <w:rPr>
          <w:rFonts w:ascii="Times New Roman" w:hAnsi="Times New Roman" w:cs="Times New Roman"/>
          <w:sz w:val="24"/>
        </w:rPr>
        <w:t>. Интеграция ИИ должна осуществляться в рамках методически структурированного процесса, а не как стихийное использование студентами. Преподаватель выступает «архитектором» ИИ-опосредованного учебного опыта.</w:t>
      </w:r>
    </w:p>
    <w:p>
      <w:pPr>
        <w:spacing w:before="0" w:after="120"/>
        <w:ind w:firstLine="709"/>
        <w:jc w:val="both"/>
      </w:pPr>
      <w:r>
        <w:rPr>
          <w:rFonts w:ascii="Times New Roman" w:hAnsi="Times New Roman" w:cs="Times New Roman"/>
          <w:sz w:val="24"/>
        </w:rPr>
        <w:t xml:space="preserve">Вторым условием служит </w:t>
      </w:r>
      <w:r>
        <w:rPr>
          <w:rFonts w:ascii="Times New Roman" w:hAnsi="Times New Roman" w:cs="Times New Roman"/>
          <w:b/>
          <w:sz w:val="24"/>
        </w:rPr>
        <w:t>формирование рефлексивных практик</w:t>
      </w:r>
      <w:r>
        <w:rPr>
          <w:rFonts w:ascii="Times New Roman" w:hAnsi="Times New Roman" w:cs="Times New Roman"/>
          <w:sz w:val="24"/>
        </w:rPr>
        <w:t>. Студенты должны целенаправленно обучаться критической оценке ИИ-результатов, их верификации и осознанному использованию в учебных целях.</w:t>
      </w:r>
    </w:p>
    <w:p>
      <w:pPr>
        <w:spacing w:before="0" w:after="120"/>
        <w:ind w:firstLine="709"/>
        <w:jc w:val="both"/>
      </w:pPr>
      <w:r>
        <w:rPr>
          <w:rFonts w:ascii="Times New Roman" w:hAnsi="Times New Roman" w:cs="Times New Roman"/>
          <w:sz w:val="24"/>
        </w:rPr>
        <w:t xml:space="preserve">Третьим условием выступает </w:t>
      </w:r>
      <w:r>
        <w:rPr>
          <w:rFonts w:ascii="Times New Roman" w:hAnsi="Times New Roman" w:cs="Times New Roman"/>
          <w:b/>
          <w:sz w:val="24"/>
        </w:rPr>
        <w:t>сохранение коммуникативного ядра</w:t>
      </w:r>
      <w:r>
        <w:rPr>
          <w:rFonts w:ascii="Times New Roman" w:hAnsi="Times New Roman" w:cs="Times New Roman"/>
          <w:sz w:val="24"/>
        </w:rPr>
        <w:t>. ИИ-инструменты должны использоваться для расширения возможностей иноязычной коммуникации, а не её замещения. Живое педагогическое взаимодействие остаётся незаменимым компонентом учебного процесса.</w:t>
      </w:r>
    </w:p>
    <w:p>
      <w:pPr>
        <w:spacing w:before="0" w:after="120"/>
        <w:ind w:firstLine="709"/>
        <w:jc w:val="both"/>
      </w:pPr>
      <w:r>
        <w:rPr>
          <w:rFonts w:ascii="Times New Roman" w:hAnsi="Times New Roman" w:cs="Times New Roman"/>
          <w:sz w:val="24"/>
        </w:rPr>
        <w:t xml:space="preserve">Четвёртым условием является </w:t>
      </w:r>
      <w:r>
        <w:rPr>
          <w:rFonts w:ascii="Times New Roman" w:hAnsi="Times New Roman" w:cs="Times New Roman"/>
          <w:b/>
          <w:sz w:val="24"/>
        </w:rPr>
        <w:t>работа с этическими аспектами</w:t>
      </w:r>
      <w:r>
        <w:rPr>
          <w:rFonts w:ascii="Times New Roman" w:hAnsi="Times New Roman" w:cs="Times New Roman"/>
          <w:sz w:val="24"/>
        </w:rPr>
        <w:t>. Системная пропедевтика академической честности в контексте ИИ представляет собой необходимое условие педагогически ответственного применения технологий.</w:t>
      </w:r>
    </w:p>
    <w:p>
      <w:pPr>
        <w:spacing w:before="0" w:after="120"/>
        <w:ind w:firstLine="709"/>
        <w:jc w:val="both"/>
      </w:pPr>
      <w:r>
        <w:rPr>
          <w:rFonts w:ascii="Times New Roman" w:hAnsi="Times New Roman" w:cs="Times New Roman"/>
          <w:sz w:val="24"/>
        </w:rPr>
        <w:t xml:space="preserve">Пятым условием служит </w:t>
      </w:r>
      <w:r>
        <w:rPr>
          <w:rFonts w:ascii="Times New Roman" w:hAnsi="Times New Roman" w:cs="Times New Roman"/>
          <w:b/>
          <w:sz w:val="24"/>
        </w:rPr>
        <w:t>институциональная поддержка</w:t>
      </w:r>
      <w:r>
        <w:rPr>
          <w:rFonts w:ascii="Times New Roman" w:hAnsi="Times New Roman" w:cs="Times New Roman"/>
          <w:sz w:val="24"/>
        </w:rPr>
        <w:t>. Для устойчивой интеграции ИИ требуются чёткие институциональные политики вуза, программы повышения квалификации преподавателей и соответствующая технологическая инфраструктура.</w:t>
      </w:r>
    </w:p>
    <w:p>
      <w:pPr>
        <w:spacing w:before="200" w:after="120"/>
        <w:jc w:val="left"/>
      </w:pPr>
      <w:r>
        <w:rPr>
          <w:rFonts w:ascii="Times New Roman" w:hAnsi="Times New Roman" w:cs="Times New Roman"/>
          <w:b/>
          <w:sz w:val="26"/>
        </w:rPr>
        <w:t>5. Заключение</w:t>
      </w:r>
    </w:p>
    <w:p>
      <w:pPr>
        <w:spacing w:before="0" w:after="120"/>
        <w:ind w:firstLine="709"/>
        <w:jc w:val="both"/>
      </w:pPr>
      <w:r>
        <w:rPr>
          <w:rFonts w:ascii="Times New Roman" w:hAnsi="Times New Roman" w:cs="Times New Roman"/>
          <w:sz w:val="24"/>
        </w:rPr>
        <w:t>Настоящий систематический обзор 50 зарубежных источников 2020–2025 годов позволил выявить пять основных направлений интеграции ИИ в методику преподавания английского языка, а именно развитие письменной речи с ИИ-поддержкой, практику устной речи с ИИ-чатботами, адаптивное обучение и персонализацию траекторий, трансформацию роли преподавателя и управление этическими рисками.</w:t>
      </w:r>
    </w:p>
    <w:p>
      <w:pPr>
        <w:spacing w:before="0" w:after="120"/>
        <w:ind w:firstLine="709"/>
        <w:jc w:val="both"/>
      </w:pPr>
      <w:r>
        <w:rPr>
          <w:rFonts w:ascii="Times New Roman" w:hAnsi="Times New Roman" w:cs="Times New Roman"/>
          <w:sz w:val="24"/>
        </w:rPr>
        <w:t>Ключевым выводом обзора является то, что педагогическая эффективность ИИ-инструментов определяется не их технологическими характеристиками, а качеством методической интеграции в учебный процесс. Ни одно из рассмотренных исследований не свидетельствует о возможности или целесообразности замены преподавателя ИИ. Напротив, данные указывают на возрастание требований к педагогическому мастерству в условиях технологически насыщенной среды.</w:t>
      </w:r>
    </w:p>
    <w:p>
      <w:pPr>
        <w:spacing w:before="0" w:after="120"/>
        <w:ind w:firstLine="709"/>
        <w:jc w:val="both"/>
      </w:pPr>
      <w:r>
        <w:rPr>
          <w:rFonts w:ascii="Times New Roman" w:hAnsi="Times New Roman" w:cs="Times New Roman"/>
          <w:sz w:val="24"/>
        </w:rPr>
        <w:t>Применительно к российскому педагогическому вузу установлены три направления с высоким потенциалом адаптации. Это ИИ-поддержка письменной речи, расширение устноречевой практики и подготовка будущих учителей к профессиональной деятельности в ИИ-среде. Определены педагогические условия адаптации, включающие методическое сопровождение, формирование рефлексивных практик, сохранение коммуникативного ядра обучения, работу с этическими аспектами и институциональную поддержку.</w:t>
      </w:r>
    </w:p>
    <w:p>
      <w:pPr>
        <w:spacing w:before="0" w:after="120"/>
        <w:ind w:firstLine="709"/>
        <w:jc w:val="both"/>
      </w:pPr>
      <w:r>
        <w:rPr>
          <w:rFonts w:ascii="Times New Roman" w:hAnsi="Times New Roman" w:cs="Times New Roman"/>
          <w:sz w:val="24"/>
        </w:rPr>
        <w:t>Перспективы дальнейших исследований связаны с разработкой и апробацией конкретных моделей интеграции ИИ в учебный процесс российского педагогического вуза, проведением педагогических экспериментов с использованием отечественных ИИ-инструментов, а также с изучением готовности преподавателей педагогических вузов к работе в ИИ-насыщенной образовательной среде.</w:t>
      </w:r>
    </w:p>
    <w:p>
      <w:pPr>
        <w:spacing w:before="200" w:after="120"/>
        <w:jc w:val="left"/>
      </w:pPr>
      <w:r>
        <w:rPr>
          <w:rFonts w:ascii="Times New Roman" w:hAnsi="Times New Roman" w:cs="Times New Roman"/>
          <w:b/>
          <w:sz w:val="26"/>
        </w:rPr>
        <w:t>Список литературы</w:t>
      </w:r>
    </w:p>
    <w:p>
      <w:pPr>
        <w:spacing w:before="0" w:after="120"/>
        <w:ind w:firstLine="709"/>
        <w:jc w:val="both"/>
      </w:pPr>
      <w:r>
        <w:rPr>
          <w:rFonts w:ascii="Times New Roman" w:hAnsi="Times New Roman" w:cs="Times New Roman"/>
          <w:sz w:val="24"/>
        </w:rPr>
        <w:t>1. Huang, X., Zou, D., Cheng, G., Chen, X., &amp; Xie, H. (2022). How does artificial intelligence empower EFL teaching and learning nowadays? A review on artificial intelligence in the EFL context. Frontiers in Psychology. https://pmc.ncbi.nlm.nih.gov/articles/PMC9709327/</w:t>
      </w:r>
    </w:p>
    <w:p>
      <w:pPr>
        <w:spacing w:before="0" w:after="120"/>
        <w:ind w:firstLine="709"/>
        <w:jc w:val="both"/>
      </w:pPr>
      <w:r>
        <w:rPr>
          <w:rFonts w:ascii="Times New Roman" w:hAnsi="Times New Roman" w:cs="Times New Roman"/>
          <w:sz w:val="24"/>
        </w:rPr>
        <w:t>2. Aydın, Ö., &amp; Karaarslan, E. (2024). Investigating the integration of artificial intelligence in English as foreign language classes for enhancing learners' affective factors: A systematic review. Heliyon, 10(9). https://pmc.ncbi.nlm.nih.gov/articles/PMC11109823/</w:t>
      </w:r>
    </w:p>
    <w:p>
      <w:pPr>
        <w:spacing w:before="0" w:after="120"/>
        <w:ind w:firstLine="709"/>
        <w:jc w:val="both"/>
      </w:pPr>
      <w:r>
        <w:rPr>
          <w:rFonts w:ascii="Times New Roman" w:hAnsi="Times New Roman" w:cs="Times New Roman"/>
          <w:sz w:val="24"/>
        </w:rPr>
        <w:t>3. Jeon, J. (2025). Artificial intelligence in ESL/EFL education: Evidence from recent reviews (2024–2025). International Journal of Learning, Teaching and Educational Research. https://ijlter.org/index.php/ijlter/article/view/14625</w:t>
      </w:r>
    </w:p>
    <w:p>
      <w:pPr>
        <w:spacing w:before="0" w:after="120"/>
        <w:ind w:firstLine="709"/>
        <w:jc w:val="both"/>
      </w:pPr>
      <w:r>
        <w:rPr>
          <w:rFonts w:ascii="Times New Roman" w:hAnsi="Times New Roman" w:cs="Times New Roman"/>
          <w:sz w:val="24"/>
        </w:rPr>
        <w:t>4. Crompton, H., &amp; Burke, D. (2024). AI and English language teaching: Affordances and challenges. British Journal of Educational Technology, 55(1). https://doi.org/10.1111/bjet.13460</w:t>
      </w:r>
    </w:p>
    <w:p>
      <w:pPr>
        <w:spacing w:before="0" w:after="120"/>
        <w:ind w:firstLine="709"/>
        <w:jc w:val="both"/>
      </w:pPr>
      <w:r>
        <w:rPr>
          <w:rFonts w:ascii="Times New Roman" w:hAnsi="Times New Roman" w:cs="Times New Roman"/>
          <w:sz w:val="24"/>
        </w:rPr>
        <w:t>5. British Council. (2023). Artificial intelligence in English language teaching: A systematic review. https://www.britishcouncil.org/sites/default/files/ai_in_english_language_teaching_systematic_review.pdf</w:t>
      </w:r>
    </w:p>
    <w:p>
      <w:pPr>
        <w:spacing w:before="0" w:after="120"/>
        <w:ind w:firstLine="709"/>
        <w:jc w:val="both"/>
      </w:pPr>
      <w:r>
        <w:rPr>
          <w:rFonts w:ascii="Times New Roman" w:hAnsi="Times New Roman" w:cs="Times New Roman"/>
          <w:sz w:val="24"/>
        </w:rPr>
        <w:t>6. Godwin-Jones, R. (2024). Artificial intelligence and language learning: Affordances and challenges. Language Learning and Technology, 28(2). https://godwinjones.com/godwin-jones_ai_llt.pdf</w:t>
      </w:r>
    </w:p>
    <w:p>
      <w:pPr>
        <w:spacing w:before="0" w:after="120"/>
        <w:ind w:firstLine="709"/>
        <w:jc w:val="both"/>
      </w:pPr>
      <w:r>
        <w:rPr>
          <w:rFonts w:ascii="Times New Roman" w:hAnsi="Times New Roman" w:cs="Times New Roman"/>
          <w:sz w:val="24"/>
        </w:rPr>
        <w:t>7. Godwin-Jones, R. (2023). Emerging spaces for language learning: AI bots, ambient intelligence, and the metaverse. Language Learning and Technology, 27(2), 6–27.</w:t>
      </w:r>
    </w:p>
    <w:p>
      <w:pPr>
        <w:spacing w:before="0" w:after="120"/>
        <w:ind w:firstLine="709"/>
        <w:jc w:val="both"/>
      </w:pPr>
      <w:r>
        <w:rPr>
          <w:rFonts w:ascii="Times New Roman" w:hAnsi="Times New Roman" w:cs="Times New Roman"/>
          <w:sz w:val="24"/>
        </w:rPr>
        <w:t>8. Godwin-Jones, R. (2025). Language teacher preparation for an AI world: A human ecological perspective. Language Learning and Technology. https://godwinjones.com/godwin-jones_language_teacher_prep.pdf</w:t>
      </w:r>
    </w:p>
    <w:p>
      <w:pPr>
        <w:spacing w:before="0" w:after="120"/>
        <w:ind w:firstLine="709"/>
        <w:jc w:val="both"/>
      </w:pPr>
      <w:r>
        <w:rPr>
          <w:rFonts w:ascii="Times New Roman" w:hAnsi="Times New Roman" w:cs="Times New Roman"/>
          <w:sz w:val="24"/>
        </w:rPr>
        <w:t>9. Bui, T. et al. (2025). Two years of innovation: A systematic review of empirical generative AI research in language learning and teaching. Computers in Human Behavior: Artificial Intelligence. https://doi.org/10.1016/j.chbah.2025.100852</w:t>
      </w:r>
    </w:p>
    <w:p>
      <w:pPr>
        <w:spacing w:before="0" w:after="120"/>
        <w:ind w:firstLine="709"/>
        <w:jc w:val="both"/>
      </w:pPr>
      <w:r>
        <w:rPr>
          <w:rFonts w:ascii="Times New Roman" w:hAnsi="Times New Roman" w:cs="Times New Roman"/>
          <w:sz w:val="24"/>
        </w:rPr>
        <w:t>10. Kostka, I., &amp; Toncelli, R. (2023). Exploring applications of ChatGPT to English language teaching: Opportunities, challenges, and recommendations. TESL-EJ, 27(3). https://doi.org/10.55593/ej.27107int</w:t>
      </w:r>
    </w:p>
    <w:p>
      <w:pPr>
        <w:spacing w:before="0" w:after="120"/>
        <w:ind w:firstLine="709"/>
        <w:jc w:val="both"/>
      </w:pPr>
      <w:r>
        <w:rPr>
          <w:rFonts w:ascii="Times New Roman" w:hAnsi="Times New Roman" w:cs="Times New Roman"/>
          <w:sz w:val="24"/>
        </w:rPr>
        <w:t>11. Van Horn, K. R. (2024). ChatGPT in English language learning: Exploring perceptions and promoting autonomy in a university EFL context. TESL-EJ, 28(1). https://tesl-ej.org/wordpress/issues/volume28/ej109/ej109a8/</w:t>
      </w:r>
    </w:p>
    <w:p>
      <w:pPr>
        <w:spacing w:before="0" w:after="120"/>
        <w:ind w:firstLine="709"/>
        <w:jc w:val="both"/>
      </w:pPr>
      <w:r>
        <w:rPr>
          <w:rFonts w:ascii="Times New Roman" w:hAnsi="Times New Roman" w:cs="Times New Roman"/>
          <w:sz w:val="24"/>
        </w:rPr>
        <w:t>12. Bekteshi, E. et al. (2025). Generative AI in English language teaching: Students' voices, teachers' reactions, and needs. TESL-EJ, 29(3). https://tesl-ej.org/wordpress/issues/volume29/ej115/ej115int3/</w:t>
      </w:r>
    </w:p>
    <w:p>
      <w:pPr>
        <w:spacing w:before="0" w:after="120"/>
        <w:ind w:firstLine="709"/>
        <w:jc w:val="both"/>
      </w:pPr>
      <w:r>
        <w:rPr>
          <w:rFonts w:ascii="Times New Roman" w:hAnsi="Times New Roman" w:cs="Times New Roman"/>
          <w:sz w:val="24"/>
        </w:rPr>
        <w:t>13. Huang, W. et al. (2023). An exploratory study of EFL learners' use of ChatGPT for language learning tasks. Languages, 8(3), 212. https://doi.org/10.3390/languages8030212</w:t>
      </w:r>
    </w:p>
    <w:p>
      <w:pPr>
        <w:spacing w:before="0" w:after="120"/>
        <w:ind w:firstLine="709"/>
        <w:jc w:val="both"/>
      </w:pPr>
      <w:r>
        <w:rPr>
          <w:rFonts w:ascii="Times New Roman" w:hAnsi="Times New Roman" w:cs="Times New Roman"/>
          <w:sz w:val="24"/>
        </w:rPr>
        <w:t>14. Xiao, Y., &amp; Zhi, Y. (2023). Embracing the disrupted language teaching and learning field: Analyzing YouTube content creation related to ChatGPT. Languages, 8(3), 197. https://doi.org/10.3390/languages8030197</w:t>
      </w:r>
    </w:p>
    <w:p>
      <w:pPr>
        <w:spacing w:before="0" w:after="120"/>
        <w:ind w:firstLine="709"/>
        <w:jc w:val="both"/>
      </w:pPr>
      <w:r>
        <w:rPr>
          <w:rFonts w:ascii="Times New Roman" w:hAnsi="Times New Roman" w:cs="Times New Roman"/>
          <w:sz w:val="24"/>
        </w:rPr>
        <w:t>15. Alotaibi, N. et al. (2025). ChatGPT in ESL higher education: Enhancing writing, engagement, and learning outcomes. Information, 16(4), 316. https://doi.org/10.3390/info16040316</w:t>
      </w:r>
    </w:p>
    <w:p>
      <w:pPr>
        <w:spacing w:before="0" w:after="120"/>
        <w:ind w:firstLine="709"/>
        <w:jc w:val="both"/>
      </w:pPr>
      <w:r>
        <w:rPr>
          <w:rFonts w:ascii="Times New Roman" w:hAnsi="Times New Roman" w:cs="Times New Roman"/>
          <w:sz w:val="24"/>
        </w:rPr>
        <w:t>16. Sallam, M. et al. (2025). Higher education students' perceptions of ChatGPT: A global study of early reactions. https://pmc.ncbi.nlm.nih.gov/articles/PMC11798494/</w:t>
      </w:r>
    </w:p>
    <w:p>
      <w:pPr>
        <w:spacing w:before="0" w:after="120"/>
        <w:ind w:firstLine="709"/>
        <w:jc w:val="both"/>
      </w:pPr>
      <w:r>
        <w:rPr>
          <w:rFonts w:ascii="Times New Roman" w:hAnsi="Times New Roman" w:cs="Times New Roman"/>
          <w:sz w:val="24"/>
        </w:rPr>
        <w:t>17. Zhang, Y. et al. (2025). Perceptions vs. practices: Academic integrity and actual ChatGPT use among EFL students. https://pmc.ncbi.nlm.nih.gov/articles/PMC13044046/</w:t>
      </w:r>
    </w:p>
    <w:p>
      <w:pPr>
        <w:spacing w:before="0" w:after="120"/>
        <w:ind w:firstLine="709"/>
        <w:jc w:val="both"/>
      </w:pPr>
      <w:r>
        <w:rPr>
          <w:rFonts w:ascii="Times New Roman" w:hAnsi="Times New Roman" w:cs="Times New Roman"/>
          <w:sz w:val="24"/>
        </w:rPr>
        <w:t>18. Kohnke, L. et al. (2023). Potentials and implications of ChatGPT for ESL writing instruction. The International Review of Research in Open and Distributed Learning. https://www.irrodl.org/index.php/irrodl/article/view/7820</w:t>
      </w:r>
    </w:p>
    <w:p>
      <w:pPr>
        <w:spacing w:before="0" w:after="120"/>
        <w:ind w:firstLine="709"/>
        <w:jc w:val="both"/>
      </w:pPr>
      <w:r>
        <w:rPr>
          <w:rFonts w:ascii="Times New Roman" w:hAnsi="Times New Roman" w:cs="Times New Roman"/>
          <w:sz w:val="24"/>
        </w:rPr>
        <w:t>19. Chen, Y. et al. (2024). How to align large language models for teaching English? Designing an LLM-based chatbot for EFL conversation. arXiv:2409.04987. https://arxiv.org/pdf/2409.04987</w:t>
      </w:r>
    </w:p>
    <w:p>
      <w:pPr>
        <w:spacing w:before="0" w:after="120"/>
        <w:ind w:firstLine="709"/>
        <w:jc w:val="both"/>
      </w:pPr>
      <w:r>
        <w:rPr>
          <w:rFonts w:ascii="Times New Roman" w:hAnsi="Times New Roman" w:cs="Times New Roman"/>
          <w:sz w:val="24"/>
        </w:rPr>
        <w:t>20. Liu, M. et al. (2023). From process to product: Writing engagement and performance of EFL learners under computer-generated feedback instruction. Frontiers in Psychology. https://pmc.ncbi.nlm.nih.gov/articles/PMC10701688/</w:t>
      </w:r>
    </w:p>
    <w:p>
      <w:pPr>
        <w:spacing w:before="0" w:after="120"/>
        <w:ind w:firstLine="709"/>
        <w:jc w:val="both"/>
      </w:pPr>
      <w:r>
        <w:rPr>
          <w:rFonts w:ascii="Times New Roman" w:hAnsi="Times New Roman" w:cs="Times New Roman"/>
          <w:sz w:val="24"/>
        </w:rPr>
        <w:t>21. Wang, Q. et al. (2025). Enhancing EFL writing revision practices: The impact of AI- and teacher-generated feedback. Education Sciences, 15(2), 232. https://doi.org/10.3390/educsci15020232</w:t>
      </w:r>
    </w:p>
    <w:p>
      <w:pPr>
        <w:spacing w:before="0" w:after="120"/>
        <w:ind w:firstLine="709"/>
        <w:jc w:val="both"/>
      </w:pPr>
      <w:r>
        <w:rPr>
          <w:rFonts w:ascii="Times New Roman" w:hAnsi="Times New Roman" w:cs="Times New Roman"/>
          <w:sz w:val="24"/>
        </w:rPr>
        <w:t>22. Li, X. et al. (2025). A qualitative approach to EFL postgraduates' GenAI-assisted research writing. Education Sciences, 15(11), 1521. https://doi.org/10.3390/educsci15111521</w:t>
      </w:r>
    </w:p>
    <w:p>
      <w:pPr>
        <w:spacing w:before="0" w:after="120"/>
        <w:ind w:firstLine="709"/>
        <w:jc w:val="both"/>
      </w:pPr>
      <w:r>
        <w:rPr>
          <w:rFonts w:ascii="Times New Roman" w:hAnsi="Times New Roman" w:cs="Times New Roman"/>
          <w:sz w:val="24"/>
        </w:rPr>
        <w:t>23. Xu, Z. et al. (2025). Writing accuracy: How AI-assisted writing instruction supports EFL undergraduates. Information, 17(2), 157. https://doi.org/10.3390/info17020157</w:t>
      </w:r>
    </w:p>
    <w:p>
      <w:pPr>
        <w:spacing w:before="0" w:after="120"/>
        <w:ind w:firstLine="709"/>
        <w:jc w:val="both"/>
      </w:pPr>
      <w:r>
        <w:rPr>
          <w:rFonts w:ascii="Times New Roman" w:hAnsi="Times New Roman" w:cs="Times New Roman"/>
          <w:sz w:val="24"/>
        </w:rPr>
        <w:t>24. Guo, Y. et al. (2023). Exploring the effectiveness of ChatGPT-based feedback compared with teacher feedback. arXiv:2309.01645. https://arxiv.org/pdf/2309.01645</w:t>
      </w:r>
    </w:p>
    <w:p>
      <w:pPr>
        <w:spacing w:before="0" w:after="120"/>
        <w:ind w:firstLine="709"/>
        <w:jc w:val="both"/>
      </w:pPr>
      <w:r>
        <w:rPr>
          <w:rFonts w:ascii="Times New Roman" w:hAnsi="Times New Roman" w:cs="Times New Roman"/>
          <w:sz w:val="24"/>
        </w:rPr>
        <w:t>25. Zhang, R. et al. (2024). Harnessing LLMs for multi-dimensional writing assessment. Heliyon. https://pmc.ncbi.nlm.nih.gov/articles/PMC11305227/</w:t>
      </w:r>
    </w:p>
    <w:p>
      <w:pPr>
        <w:spacing w:before="0" w:after="120"/>
        <w:ind w:firstLine="709"/>
        <w:jc w:val="both"/>
      </w:pPr>
      <w:r>
        <w:rPr>
          <w:rFonts w:ascii="Times New Roman" w:hAnsi="Times New Roman" w:cs="Times New Roman"/>
          <w:sz w:val="24"/>
        </w:rPr>
        <w:t>26. Okonkwo, C. et al. (2025). The active learning and GenAI synergy framework: Ethical integration of generative AI in EFL/ESL writing. https://pmc.ncbi.nlm.nih.gov/articles/PMC12961280/</w:t>
      </w:r>
    </w:p>
    <w:p>
      <w:pPr>
        <w:spacing w:before="0" w:after="120"/>
        <w:ind w:firstLine="709"/>
        <w:jc w:val="both"/>
      </w:pPr>
      <w:r>
        <w:rPr>
          <w:rFonts w:ascii="Times New Roman" w:hAnsi="Times New Roman" w:cs="Times New Roman"/>
          <w:sz w:val="24"/>
        </w:rPr>
        <w:t>27. Chen, L. et al. (2024). CHOP: Integrating ChatGPT into EFL oral presentation practice. arXiv:2407.07393. https://arxiv.org/pdf/2407.07393</w:t>
      </w:r>
    </w:p>
    <w:p>
      <w:pPr>
        <w:spacing w:before="0" w:after="120"/>
        <w:ind w:firstLine="709"/>
        <w:jc w:val="both"/>
      </w:pPr>
      <w:r>
        <w:rPr>
          <w:rFonts w:ascii="Times New Roman" w:hAnsi="Times New Roman" w:cs="Times New Roman"/>
          <w:sz w:val="24"/>
        </w:rPr>
        <w:t>28. Du, J., &amp; Daniel, B. K. (2024). Transforming language education: A systematic review of AI-powered chatbots for EFL speaking practice. Computers and Education: Artificial Intelligence, 6, 100230. https://doi.org/10.1016/j.caeai.2024.100230</w:t>
      </w:r>
    </w:p>
    <w:p>
      <w:pPr>
        <w:spacing w:before="0" w:after="120"/>
        <w:ind w:firstLine="709"/>
        <w:jc w:val="both"/>
      </w:pPr>
      <w:r>
        <w:rPr>
          <w:rFonts w:ascii="Times New Roman" w:hAnsi="Times New Roman" w:cs="Times New Roman"/>
          <w:sz w:val="24"/>
        </w:rPr>
        <w:t>29. Yang, J. et al. (2025). Investigating the role of AI-powered conversation bots in enhancing L2 speaking skills. Humanities and Social Sciences Communications, 12. https://doi.org/10.1057/s41599-025-05550-z</w:t>
      </w:r>
    </w:p>
    <w:p>
      <w:pPr>
        <w:spacing w:before="0" w:after="120"/>
        <w:ind w:firstLine="709"/>
        <w:jc w:val="both"/>
      </w:pPr>
      <w:r>
        <w:rPr>
          <w:rFonts w:ascii="Times New Roman" w:hAnsi="Times New Roman" w:cs="Times New Roman"/>
          <w:sz w:val="24"/>
        </w:rPr>
        <w:t>30. Li, H. et al. (2025). Reducing anxiety and enhancing performance: AI chatbots vs. human facilitation in EFL speaking. Frontiers in Psychology. https://doi.org/10.3389/fpsyg.2025.1745942</w:t>
      </w:r>
    </w:p>
    <w:p>
      <w:pPr>
        <w:spacing w:before="0" w:after="120"/>
        <w:ind w:firstLine="709"/>
        <w:jc w:val="both"/>
      </w:pPr>
      <w:r>
        <w:rPr>
          <w:rFonts w:ascii="Times New Roman" w:hAnsi="Times New Roman" w:cs="Times New Roman"/>
          <w:sz w:val="24"/>
        </w:rPr>
        <w:t>31. Wang, X. et al. (2025). AI-driven chatbots in second language education: A systematic review. Computers and Education: Artificial Intelligence. https://doi.org/10.1016/j.caeai.2025.100086</w:t>
      </w:r>
    </w:p>
    <w:p>
      <w:pPr>
        <w:spacing w:before="0" w:after="120"/>
        <w:ind w:firstLine="709"/>
        <w:jc w:val="both"/>
      </w:pPr>
      <w:r>
        <w:rPr>
          <w:rFonts w:ascii="Times New Roman" w:hAnsi="Times New Roman" w:cs="Times New Roman"/>
          <w:sz w:val="24"/>
        </w:rPr>
        <w:t>32. Xu, H. et al. (2025). Artificial intelligence in language learning: Biometric feedback and adaptive reading. Humanities and Social Sciences Communications. https://doi.org/10.1057/s41599-025-04878-w</w:t>
      </w:r>
    </w:p>
    <w:p>
      <w:pPr>
        <w:spacing w:before="0" w:after="120"/>
        <w:ind w:firstLine="709"/>
        <w:jc w:val="both"/>
      </w:pPr>
      <w:r>
        <w:rPr>
          <w:rFonts w:ascii="Times New Roman" w:hAnsi="Times New Roman" w:cs="Times New Roman"/>
          <w:sz w:val="24"/>
        </w:rPr>
        <w:t>33. Zhou, A. et al. (2024). The impact of chatbots based on large language models on second language vocabulary acquisition. Heliyon. https://pmc.ncbi.nlm.nih.gov/articles/PMC10850600/</w:t>
      </w:r>
    </w:p>
    <w:p>
      <w:pPr>
        <w:spacing w:before="0" w:after="120"/>
        <w:ind w:firstLine="709"/>
        <w:jc w:val="both"/>
      </w:pPr>
      <w:r>
        <w:rPr>
          <w:rFonts w:ascii="Times New Roman" w:hAnsi="Times New Roman" w:cs="Times New Roman"/>
          <w:sz w:val="24"/>
        </w:rPr>
        <w:t>34. Huang, J. et al. (2023). Artificial intelligence in language instruction: Impact on achievement, L2 motivation, and self-regulated learning. Frontiers in Psychology. https://pmc.ncbi.nlm.nih.gov/articles/PMC10658009/</w:t>
      </w:r>
    </w:p>
    <w:p>
      <w:pPr>
        <w:spacing w:before="0" w:after="120"/>
        <w:ind w:firstLine="709"/>
        <w:jc w:val="both"/>
      </w:pPr>
      <w:r>
        <w:rPr>
          <w:rFonts w:ascii="Times New Roman" w:hAnsi="Times New Roman" w:cs="Times New Roman"/>
          <w:sz w:val="24"/>
        </w:rPr>
        <w:t>35. Lin, C. et al. (2024). AI-empowered applications effects on EFL learners' engagement and academic procrastination. https://pmc.ncbi.nlm.nih.gov/articles/PMC11656581/</w:t>
      </w:r>
    </w:p>
    <w:p>
      <w:pPr>
        <w:spacing w:before="0" w:after="120"/>
        <w:ind w:firstLine="709"/>
        <w:jc w:val="both"/>
      </w:pPr>
      <w:r>
        <w:rPr>
          <w:rFonts w:ascii="Times New Roman" w:hAnsi="Times New Roman" w:cs="Times New Roman"/>
          <w:sz w:val="24"/>
        </w:rPr>
        <w:t>36. Wei, X. et al. (2024). From literacy to learning: Sequential mediation of attitudes and enjoyment in AI-assisted EFL education. https://pmc.ncbi.nlm.nih.gov/articles/PMC11402731/</w:t>
      </w:r>
    </w:p>
    <w:p>
      <w:pPr>
        <w:spacing w:before="0" w:after="120"/>
        <w:ind w:firstLine="709"/>
        <w:jc w:val="both"/>
      </w:pPr>
      <w:r>
        <w:rPr>
          <w:rFonts w:ascii="Times New Roman" w:hAnsi="Times New Roman" w:cs="Times New Roman"/>
          <w:sz w:val="24"/>
        </w:rPr>
        <w:t>37. Chen, S. et al. (2025). Beyond tool use: How ecological coupling configures AI's empowerment for language learning. https://pmc.ncbi.nlm.nih.gov/articles/PMC12872916/</w:t>
      </w:r>
    </w:p>
    <w:p>
      <w:pPr>
        <w:spacing w:before="0" w:after="120"/>
        <w:ind w:firstLine="709"/>
        <w:jc w:val="both"/>
      </w:pPr>
      <w:r>
        <w:rPr>
          <w:rFonts w:ascii="Times New Roman" w:hAnsi="Times New Roman" w:cs="Times New Roman"/>
          <w:sz w:val="24"/>
        </w:rPr>
        <w:t>38. Liu, J. et al. (2025). The human touch in AI: Self-determination theory and teacher scaffolding. https://pmc.ncbi.nlm.nih.gov/articles/PMC12268064/</w:t>
      </w:r>
    </w:p>
    <w:p>
      <w:pPr>
        <w:spacing w:before="0" w:after="120"/>
        <w:ind w:firstLine="709"/>
        <w:jc w:val="both"/>
      </w:pPr>
      <w:r>
        <w:rPr>
          <w:rFonts w:ascii="Times New Roman" w:hAnsi="Times New Roman" w:cs="Times New Roman"/>
          <w:sz w:val="24"/>
        </w:rPr>
        <w:t>39. Wang, Y. et al. (2025). Effects of teacher support and growth language mindset on learner well-being in AI environment. https://pmc.ncbi.nlm.nih.gov/articles/PMC12481513/</w:t>
      </w:r>
    </w:p>
    <w:p>
      <w:pPr>
        <w:spacing w:before="0" w:after="120"/>
        <w:ind w:firstLine="709"/>
        <w:jc w:val="both"/>
      </w:pPr>
      <w:r>
        <w:rPr>
          <w:rFonts w:ascii="Times New Roman" w:hAnsi="Times New Roman" w:cs="Times New Roman"/>
          <w:sz w:val="24"/>
        </w:rPr>
        <w:t>40. Wang, Y. et al. (2025). Effects of perceived teacher support on learner well-being in AI-integrated environment. https://pmc.ncbi.nlm.nih.gov/articles/PMC12481513/</w:t>
      </w:r>
    </w:p>
    <w:p>
      <w:pPr>
        <w:spacing w:before="0" w:after="120"/>
        <w:ind w:firstLine="709"/>
        <w:jc w:val="both"/>
      </w:pPr>
      <w:r>
        <w:rPr>
          <w:rFonts w:ascii="Times New Roman" w:hAnsi="Times New Roman" w:cs="Times New Roman"/>
          <w:sz w:val="24"/>
        </w:rPr>
        <w:t>41. Chen, H. et al. (2025). Empowering EFL teachers' perceptions of generative AI-mediated self-professionalism. https://pmc.ncbi.nlm.nih.gov/articles/PMC12185028/</w:t>
      </w:r>
    </w:p>
    <w:p>
      <w:pPr>
        <w:spacing w:before="0" w:after="120"/>
        <w:ind w:firstLine="709"/>
        <w:jc w:val="both"/>
      </w:pPr>
      <w:r>
        <w:rPr>
          <w:rFonts w:ascii="Times New Roman" w:hAnsi="Times New Roman" w:cs="Times New Roman"/>
          <w:sz w:val="24"/>
        </w:rPr>
        <w:t>42. Zhao, L. et al. (2025). AI powered ELT: Instructors' transformative roles and opportunities. https://pmc.ncbi.nlm.nih.gov/articles/PMC12121750/</w:t>
      </w:r>
    </w:p>
    <w:p>
      <w:pPr>
        <w:spacing w:before="0" w:after="120"/>
        <w:ind w:firstLine="709"/>
        <w:jc w:val="both"/>
      </w:pPr>
      <w:r>
        <w:rPr>
          <w:rFonts w:ascii="Times New Roman" w:hAnsi="Times New Roman" w:cs="Times New Roman"/>
          <w:sz w:val="24"/>
        </w:rPr>
        <w:t>43. Sun, Z. et al. (2025). Teacher cognition and practices in using generative AI in EFL higher education. https://pmc.ncbi.nlm.nih.gov/articles/PMC12466831/</w:t>
      </w:r>
    </w:p>
    <w:p>
      <w:pPr>
        <w:spacing w:before="0" w:after="120"/>
        <w:ind w:firstLine="709"/>
        <w:jc w:val="both"/>
      </w:pPr>
      <w:r>
        <w:rPr>
          <w:rFonts w:ascii="Times New Roman" w:hAnsi="Times New Roman" w:cs="Times New Roman"/>
          <w:sz w:val="24"/>
        </w:rPr>
        <w:t>44. García-Díaz, J. A. et al. (2024). Learning English with AI for prospective teachers: A systematic review. Frontiers in Education. https://doi.org/10.3389/feduc.2024.1490067</w:t>
      </w:r>
    </w:p>
    <w:p>
      <w:pPr>
        <w:spacing w:before="0" w:after="120"/>
        <w:ind w:firstLine="709"/>
        <w:jc w:val="both"/>
      </w:pPr>
      <w:r>
        <w:rPr>
          <w:rFonts w:ascii="Times New Roman" w:hAnsi="Times New Roman" w:cs="Times New Roman"/>
          <w:sz w:val="24"/>
        </w:rPr>
        <w:t>45. Li, X. et al. (2025). The efficacy of AI-powered scaffolding in EFL acquisition in tertiary education. https://pmc.ncbi.nlm.nih.gov/articles/PMC12836060/</w:t>
      </w:r>
    </w:p>
    <w:p>
      <w:pPr>
        <w:spacing w:before="0" w:after="120"/>
        <w:ind w:firstLine="709"/>
        <w:jc w:val="both"/>
      </w:pPr>
      <w:r>
        <w:rPr>
          <w:rFonts w:ascii="Times New Roman" w:hAnsi="Times New Roman" w:cs="Times New Roman"/>
          <w:sz w:val="24"/>
        </w:rPr>
        <w:t>46. Pham, T. et al. (2024). Ethical use of ChatGPT in education: Best practices to combat AI-induced plagiarism. Frontiers in Education. https://doi.org/10.3389/feduc.2024.1465703</w:t>
      </w:r>
    </w:p>
    <w:p>
      <w:pPr>
        <w:spacing w:before="0" w:after="120"/>
        <w:ind w:firstLine="709"/>
        <w:jc w:val="both"/>
      </w:pPr>
      <w:r>
        <w:rPr>
          <w:rFonts w:ascii="Times New Roman" w:hAnsi="Times New Roman" w:cs="Times New Roman"/>
          <w:sz w:val="24"/>
        </w:rPr>
        <w:t>47. Bekteshi, E. (2023). Generative AI in language education: Bridging the divide. ERIC. https://files.eric.ed.gov/fulltext/EJ1472502.pdf</w:t>
      </w:r>
    </w:p>
    <w:p>
      <w:pPr>
        <w:spacing w:before="0" w:after="120"/>
        <w:ind w:firstLine="709"/>
        <w:jc w:val="both"/>
      </w:pPr>
      <w:r>
        <w:rPr>
          <w:rFonts w:ascii="Times New Roman" w:hAnsi="Times New Roman" w:cs="Times New Roman"/>
          <w:sz w:val="24"/>
        </w:rPr>
        <w:t>48. Kohnke, L. et al. (2023). Generative AI in English language teaching. ERIC. https://files.eric.ed.gov/fulltext/EJ1488670.pdf</w:t>
      </w:r>
    </w:p>
    <w:p>
      <w:pPr>
        <w:spacing w:before="0" w:after="120"/>
        <w:ind w:firstLine="709"/>
        <w:jc w:val="both"/>
      </w:pPr>
      <w:r>
        <w:rPr>
          <w:rFonts w:ascii="Times New Roman" w:hAnsi="Times New Roman" w:cs="Times New Roman"/>
          <w:sz w:val="24"/>
        </w:rPr>
        <w:t>49. Xiao, F. et al. (2025). Exploring the landscape of generative AI (ChatGPT)-powered writing instruction in EFL education: A scoping review. RELC Journal. https://doi.org/10.1177/20965311241310881</w:t>
      </w:r>
    </w:p>
    <w:p>
      <w:pPr>
        <w:spacing w:before="0" w:after="120"/>
        <w:ind w:firstLine="709"/>
        <w:jc w:val="both"/>
      </w:pPr>
      <w:r>
        <w:rPr>
          <w:rFonts w:ascii="Times New Roman" w:hAnsi="Times New Roman" w:cs="Times New Roman"/>
          <w:sz w:val="24"/>
        </w:rPr>
        <w:t>50. García-Díaz, J. A. et al. (2024). Artificial intelligence in language learning: A twenty-year scoping review. Innovation in Language Learning and Teaching. https://doi.org/10.1080/29984475.2026.2647961</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