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709"/>
        <w:jc w:val="both"/>
      </w:pPr>
      <w:r>
        <w:rPr>
          <w:rFonts w:ascii="Times New Roman" w:hAnsi="Times New Roman" w:cs="Times New Roman"/>
          <w:sz w:val="24"/>
        </w:rPr>
        <w:t>УДК 372.881.111.1:004.8</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[Фамилия Имя Отчество]</w:t>
      </w:r>
      <w:r>
        <w:rPr>
          <w:rFonts w:ascii="Times New Roman" w:hAnsi="Times New Roman" w:cs="Times New Roman"/>
          <w:sz w:val="24"/>
        </w:rPr>
      </w:r>
    </w:p>
    <w:p>
      <w:pPr>
        <w:spacing w:before="0" w:after="120"/>
        <w:ind w:firstLine="709"/>
        <w:jc w:val="both"/>
      </w:pPr>
      <w:r>
        <w:rPr>
          <w:rFonts w:ascii="Times New Roman" w:hAnsi="Times New Roman" w:cs="Times New Roman"/>
          <w:sz w:val="24"/>
        </w:rPr>
        <w:t>[Должность, учёная степень, учёное звание], [наименование организации], г. [Город], Россия.</w:t>
      </w:r>
    </w:p>
    <w:p>
      <w:pPr>
        <w:spacing w:before="0" w:after="120"/>
        <w:ind w:firstLine="709"/>
        <w:jc w:val="both"/>
      </w:pPr>
      <w:r>
        <w:rPr>
          <w:rFonts w:ascii="Times New Roman" w:hAnsi="Times New Roman" w:cs="Times New Roman"/>
          <w:sz w:val="24"/>
        </w:rPr>
        <w:t>ORCID: 0000-0000-0000-0000</w:t>
      </w:r>
    </w:p>
    <w:p>
      <w:pPr>
        <w:spacing w:before="0" w:after="120"/>
        <w:ind w:firstLine="709"/>
        <w:jc w:val="both"/>
      </w:pPr>
      <w:r>
        <w:rPr>
          <w:rFonts w:ascii="Times New Roman" w:hAnsi="Times New Roman" w:cs="Times New Roman"/>
          <w:sz w:val="24"/>
        </w:rPr>
        <w:t>e-mail: author@organization.ru</w:t>
      </w:r>
    </w:p>
    <w:p>
      <w:pPr>
        <w:spacing w:before="240" w:after="240"/>
        <w:jc w:val="center"/>
      </w:pPr>
      <w:r>
        <w:rPr>
          <w:rFonts w:ascii="Times New Roman" w:hAnsi="Times New Roman" w:cs="Times New Roman"/>
          <w:b/>
          <w:sz w:val="28"/>
        </w:rPr>
        <w:t>Зарубежный опыт интеграции искусственного интеллекта в методику преподавания английского языка. Систематический обзор и перспективы адаптации в российском педагогическом вузе</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Foreign Experience of Integrating Artificial Intelligence into English Language Teaching Methodology. A Systematic Review and Prospects for Adaptation in Russian Pedagogical Universities</w:t>
      </w:r>
      <w:r>
        <w:rPr>
          <w:rFonts w:ascii="Times New Roman" w:hAnsi="Times New Roman" w:cs="Times New Roman"/>
          <w:sz w:val="24"/>
        </w:rPr>
      </w:r>
    </w:p>
    <w:p>
      <w:pPr>
        <w:spacing w:before="200" w:after="120"/>
        <w:jc w:val="left"/>
      </w:pPr>
      <w:r>
        <w:rPr>
          <w:rFonts w:ascii="Times New Roman" w:hAnsi="Times New Roman" w:cs="Times New Roman"/>
          <w:b/>
          <w:sz w:val="26"/>
        </w:rPr>
        <w:t>Аннотация</w:t>
      </w:r>
    </w:p>
    <w:p>
      <w:pPr>
        <w:spacing w:before="0" w:after="120"/>
        <w:ind w:firstLine="709"/>
        <w:jc w:val="both"/>
      </w:pPr>
      <w:r>
        <w:rPr>
          <w:rFonts w:ascii="Times New Roman" w:hAnsi="Times New Roman" w:cs="Times New Roman"/>
          <w:sz w:val="24"/>
        </w:rPr>
        <w:t>В статье представлен систематический обзор зарубежных исследований 2020–2025 годов по интеграции технологий искусственного интеллекта (ИИ) в методику преподавания английского языка в высшей школе. Анализ 50 источников открытого доступа, охватывавших базы данных PubMed Central, MDPI, Language Learning and Technology, TESL-EJ, Frontiers, ERIC, IRRODL и arXiv, проводился по пяти тематическим блокам. Среди них ИИ в развитии письменной речи, применение ИИ-чатботов в устноречевой практике, адаптивное обучение и персонализация образовательных траекторий, трансформация профессиональной роли преподавателя, этические риски и педагогические ограничения. Установлено, что дидактический потенциал ИИ-инструментов реализуется лишь при их методически обоснованной интеграции. Ни одно из рассмотренных исследований не подтверждает возможности или целесообразности замены преподавателя. Для российского педагогического вуза выделены три направления с наибольшим потенциалом адаптации, а именно ИИ-поддержка письменной речи, расширение внеаудиторной устноречевой практики и подготовка будущих учителей к работе в ИИ-насыщенной образовательной среде. Определены педагогические условия успешной адаптации и ограничения переносимости зарубежного опыта. Результаты могут применяться при проектировании учебных программ, разработке методических рекомендаций и программ повышения квалификации преподавателей английского языка педагогических вузов.</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Ключевые слова.</w:t>
      </w:r>
      <w:r>
        <w:rPr>
          <w:rFonts w:ascii="Times New Roman" w:hAnsi="Times New Roman" w:cs="Times New Roman"/>
          <w:sz w:val="24"/>
        </w:rPr>
        <w:t xml:space="preserve"> Искусственный интеллект, методика преподавания английского языка, педагогический вуз, систематический обзор, иноязычное образование, ChatGPT, генеративный ИИ, компьютерное обучение языкам, адаптивное обучение.</w:t>
      </w:r>
    </w:p>
    <w:p>
      <w:pPr>
        <w:spacing w:before="200" w:after="120"/>
        <w:jc w:val="left"/>
      </w:pPr>
      <w:r>
        <w:rPr>
          <w:rFonts w:ascii="Times New Roman" w:hAnsi="Times New Roman" w:cs="Times New Roman"/>
          <w:b/>
          <w:sz w:val="26"/>
        </w:rPr>
        <w:t>Abstract</w:t>
      </w:r>
    </w:p>
    <w:p>
      <w:pPr>
        <w:spacing w:before="0" w:after="120"/>
        <w:ind w:firstLine="709"/>
        <w:jc w:val="both"/>
      </w:pPr>
      <w:r>
        <w:rPr>
          <w:rFonts w:ascii="Times New Roman" w:hAnsi="Times New Roman" w:cs="Times New Roman"/>
          <w:sz w:val="24"/>
        </w:rPr>
        <w:t>The article presents a systematic review of foreign research (2020–2025) on the integration of artificial intelligence (AI) technologies into English language teaching methodology in higher education. Fifty open-access sources drawn from PubMed Central, MDPI, Language Learning and Technology, TESL-EJ, Frontiers, ERIC, IRRODL, and arXiv were analyzed across five thematic directions, namely AI in writing development, AI chatbots and oral speech practice, adaptive learning and personalization of educational trajectories, transformation of the teacher's professional role, and ethical risks and pedagogical limitations. The review establishes that the didactic potential of AI tools is realized only when their integration is methodologically grounded; none of the reviewed studies confirms either the feasibility or desirability of replacing the teacher. Three directions are identified as having the highest adaptation potential for Russian pedagogical universities, namely AI-supported writing instruction, expansion of out-of-class oral practice, and preparing future teachers to work in AI-saturated educational environments. Pedagogical conditions for successful adaptation and limitations on the transferability of foreign experience are identified. The findings may inform curriculum design, methodological guidelines, and professional development programs for English language teachers at pedagogical universities.</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Keywords.</w:t>
      </w:r>
      <w:r>
        <w:rPr>
          <w:rFonts w:ascii="Times New Roman" w:hAnsi="Times New Roman" w:cs="Times New Roman"/>
          <w:sz w:val="24"/>
        </w:rPr>
        <w:t xml:space="preserve"> Artificial intelligence, English language teaching methodology, pedagogical university, systematic review, foreign language education, ChatGPT, generative AI, computer-assisted language learning, adaptive learning.</w:t>
      </w:r>
    </w:p>
    <w:p>
      <w:pPr>
        <w:spacing w:before="200" w:after="120"/>
        <w:jc w:val="left"/>
      </w:pPr>
      <w:r>
        <w:rPr>
          <w:rFonts w:ascii="Times New Roman" w:hAnsi="Times New Roman" w:cs="Times New Roman"/>
          <w:b/>
          <w:sz w:val="26"/>
        </w:rPr>
        <w:t>1. Введение</w:t>
      </w:r>
    </w:p>
    <w:p>
      <w:pPr>
        <w:spacing w:before="0" w:after="120"/>
        <w:ind w:firstLine="709"/>
        <w:jc w:val="both"/>
      </w:pPr>
      <w:r>
        <w:rPr>
          <w:rFonts w:ascii="Times New Roman" w:hAnsi="Times New Roman" w:cs="Times New Roman"/>
          <w:sz w:val="24"/>
        </w:rPr>
        <w:t>К середине 2020-х годов искусственный интеллект перестал быть инструментом будущего в иноязычном образовании. Он стал обстоятельством настоящего, с которым педагогическая практика обязана считаться. Появление ChatGPT в ноябре 2022 года лишь обнажило процессы, шедшие медленнее на протяжении нескольких предшествующих лет, а именно постепенное проникновение генеративных языковых моделей, систем автоматизированной оценки письменных работ и разговорных чатботов в повседневную учебную деятельность студентов [10, 13]. Всё это произошло независимо от того, были ли преподаватели готовы к подобному повороту.</w:t>
      </w:r>
    </w:p>
    <w:p>
      <w:pPr>
        <w:spacing w:before="0" w:after="120"/>
        <w:ind w:firstLine="709"/>
        <w:jc w:val="both"/>
      </w:pPr>
      <w:r>
        <w:rPr>
          <w:rFonts w:ascii="Times New Roman" w:hAnsi="Times New Roman" w:cs="Times New Roman"/>
          <w:sz w:val="24"/>
        </w:rPr>
        <w:t>В научной литературе этот сдвиг зафиксирован количественно. Если в 2021 году рецензируемые публикации об ИИ в обучении языкам исчислялись единицами, то к 2024 году только в индексируемых базах данных их выходило более 150 в год [9]. Такой темп роста означает, что систематическое осмысление накопленного опыта само по себе превратилось в самостоятельную исследовательскую задачу. В числе устойчивых тематических направлений, сложившихся в этой быстро растущей области, выделяются осмысление дидактических возможностей и ограничений ИИ в языковом образовании [6, 50], трансформация образовательных пространств в условиях распространения ИИ-агентов и диалоговых систем [7, 48], а также изучение установок и реальных практик студентов и преподавателей в отношении генеративного ИИ [11, 12, 15, 16].</w:t>
      </w:r>
    </w:p>
    <w:p>
      <w:pPr>
        <w:spacing w:before="0" w:after="120"/>
        <w:ind w:firstLine="709"/>
        <w:jc w:val="both"/>
      </w:pPr>
      <w:r>
        <w:rPr>
          <w:rFonts w:ascii="Times New Roman" w:hAnsi="Times New Roman" w:cs="Times New Roman"/>
          <w:sz w:val="24"/>
        </w:rPr>
        <w:t>Российская система педагогического образования сталкивается с этой ситуацией в специфических условиях. ФГОС ВО нового поколения закрепляет требование формирования цифровых компетенций, однако конкретных указаний на ИИ-инструменты не содержит, что порождает значительную неопределённость на уровне кафедр и учебных программ. При этом отечественных систематических обзоров, специально посвящённых зарубежному опыту интеграции ИИ именно в методику преподавания английского языка применительно к педагогическому вузу, до настоящего времени не появлялось. Это «белое пятно» и определяет актуальность настоящей работы.</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Цель исследования</w:t>
      </w:r>
      <w:r>
        <w:rPr>
          <w:rFonts w:ascii="Times New Roman" w:hAnsi="Times New Roman" w:cs="Times New Roman"/>
          <w:sz w:val="24"/>
        </w:rPr>
        <w:t xml:space="preserve"> состоит в том, чтобы на основе систематического обзора зарубежной литературы 2020–2025 годов выявить ключевые направления, педагогические условия и результаты интеграции ИИ в методику преподавания английского языка в зарубежной высшей школе, а также оценить перспективы адаптации этого опыта в российском педагогическом вузе.</w:t>
      </w:r>
    </w:p>
    <w:p>
      <w:pPr>
        <w:spacing w:before="0" w:after="120"/>
        <w:ind w:firstLine="709"/>
        <w:jc w:val="both"/>
      </w:pPr>
      <w:r>
        <w:rPr>
          <w:rFonts w:ascii="Times New Roman" w:hAnsi="Times New Roman" w:cs="Times New Roman"/>
          <w:sz w:val="24"/>
        </w:rPr>
        <w:t>Задачи исследования охватывают четыре аспекта. Первый предполагает систематизацию основных направлений применения ИИ в обучении английскому языку по данным зарубежных исследований 2020–2025 годов. Второй связан с анализом педагогических эффектов, условий и ограничений применения ИИ-инструментов. Третий касается характеристики трансформации роли преподавателя в ИИ-насыщенной образовательной среде. Четвёртый направлен на определение педагогических условий и барьеров адаптации зарубежного опыта в отечественном педагогическом образовании.</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Научная новизна</w:t>
      </w:r>
      <w:r>
        <w:rPr>
          <w:rFonts w:ascii="Times New Roman" w:hAnsi="Times New Roman" w:cs="Times New Roman"/>
          <w:sz w:val="24"/>
        </w:rPr>
        <w:t xml:space="preserve"> работы определяется тем, что данное исследование впервые систематизирует зарубежный опыт интеграции ИИ в методику преподавания английского языка именно с позиций применимости в условиях российского педагогического вуза. В отличие от более широких обзоров по ИИ в языковом образовании [1, 2], здесь предметом специального анализа становятся нормативный, дидактический и институциональный контексты, определяющие как возможности, так и пределы переносимости зарубежного опыта.</w:t>
      </w:r>
    </w:p>
    <w:p>
      <w:pPr>
        <w:spacing w:before="200" w:after="120"/>
        <w:jc w:val="left"/>
      </w:pPr>
      <w:r>
        <w:rPr>
          <w:rFonts w:ascii="Times New Roman" w:hAnsi="Times New Roman" w:cs="Times New Roman"/>
          <w:b/>
          <w:sz w:val="26"/>
        </w:rPr>
        <w:t>2. Материалы и методы</w:t>
      </w:r>
    </w:p>
    <w:p>
      <w:pPr>
        <w:spacing w:before="160" w:after="80"/>
        <w:jc w:val="left"/>
      </w:pPr>
      <w:r>
        <w:rPr>
          <w:rFonts w:ascii="Times New Roman" w:hAnsi="Times New Roman" w:cs="Times New Roman"/>
          <w:b/>
          <w:sz w:val="24"/>
        </w:rPr>
        <w:t>2.1. Дизайн исследования</w:t>
      </w:r>
    </w:p>
    <w:p>
      <w:pPr>
        <w:spacing w:before="0" w:after="120"/>
        <w:ind w:firstLine="709"/>
        <w:jc w:val="both"/>
      </w:pPr>
      <w:r>
        <w:rPr>
          <w:rFonts w:ascii="Times New Roman" w:hAnsi="Times New Roman" w:cs="Times New Roman"/>
          <w:sz w:val="24"/>
        </w:rPr>
        <w:t>Работа выполнена в формате систематического обзора с использованием общепринятых в международной практике принципов прозрачности критериев отбора, воспроизводимости поискового протокола и тематической структуризации данных [3, 5].</w:t>
      </w:r>
    </w:p>
    <w:p>
      <w:pPr>
        <w:spacing w:before="160" w:after="80"/>
        <w:jc w:val="left"/>
      </w:pPr>
      <w:r>
        <w:rPr>
          <w:rFonts w:ascii="Times New Roman" w:hAnsi="Times New Roman" w:cs="Times New Roman"/>
          <w:b/>
          <w:sz w:val="24"/>
        </w:rPr>
        <w:t>2.2. Критерии отбора источников</w:t>
      </w:r>
    </w:p>
    <w:p>
      <w:pPr>
        <w:spacing w:before="0" w:after="120"/>
        <w:ind w:firstLine="709"/>
        <w:jc w:val="both"/>
      </w:pPr>
      <w:r>
        <w:rPr>
          <w:rFonts w:ascii="Times New Roman" w:hAnsi="Times New Roman" w:cs="Times New Roman"/>
          <w:sz w:val="24"/>
        </w:rPr>
        <w:t>Включённые в обзор источники удовлетворяли пяти условиям. По периоду публикации в выборку входили работы 2020–2025 годов как наиболее релевантные для изучения современного состояния проблемы. По типу публикации учитывались рецензируемые научные статьи, систематические обзоры и метаанализы. По тематической направленности отбирались источники, посвящённые применению ИИ в обучении английскому языку как иностранному или второму (EFL/ESL) в контексте высшего образования. Обязательным условием служило наличие открытого доступа к полному тексту. Языком публикации выступал английский.</w:t>
      </w:r>
    </w:p>
    <w:p>
      <w:pPr>
        <w:spacing w:before="0" w:after="120"/>
        <w:ind w:firstLine="709"/>
        <w:jc w:val="both"/>
      </w:pPr>
      <w:r>
        <w:rPr>
          <w:rFonts w:ascii="Times New Roman" w:hAnsi="Times New Roman" w:cs="Times New Roman"/>
          <w:sz w:val="24"/>
        </w:rPr>
        <w:t>Из рассмотрения исключались материалы без научного рецензирования, в частности блоги и нерецензируемые конференционные тезисы. Не рассматривались исследования, ориентированные исключительно на школьный уровень (K-12), а также технические публикации об алгоритмах ИИ без педагогической составляющей. Источники, недоступные в открытом доступе, также не принимались.</w:t>
      </w:r>
    </w:p>
    <w:p>
      <w:pPr>
        <w:spacing w:before="160" w:after="80"/>
        <w:jc w:val="left"/>
      </w:pPr>
      <w:r>
        <w:rPr>
          <w:rFonts w:ascii="Times New Roman" w:hAnsi="Times New Roman" w:cs="Times New Roman"/>
          <w:b/>
          <w:sz w:val="24"/>
        </w:rPr>
        <w:t>2.3. Источники поиска и поисковые запросы</w:t>
      </w:r>
    </w:p>
    <w:p>
      <w:pPr>
        <w:spacing w:before="0" w:after="120"/>
        <w:ind w:firstLine="709"/>
        <w:jc w:val="both"/>
      </w:pPr>
      <w:r>
        <w:rPr>
          <w:rFonts w:ascii="Times New Roman" w:hAnsi="Times New Roman" w:cs="Times New Roman"/>
          <w:sz w:val="24"/>
        </w:rPr>
        <w:t>Поиск проводился по восьми ресурсам открытого доступа, объединённым в три группы. Мультидисциплинарные репозитории и платформы были представлены PubMed Central (PMC), Frontiers, IRRODL и репозиторием препринтов arXiv. Специализированные журналы по методике преподавания языков включали Language Learning and Technology (LLT, импакт-фактор 5,6 за 2024 год) и TESL-EJ. Тематические платформы охватывали MDPI (журналы Languages, Education Sciences, Information, Sustainability) и ERIC.</w:t>
      </w:r>
    </w:p>
    <w:p>
      <w:pPr>
        <w:spacing w:before="0" w:after="120"/>
        <w:ind w:firstLine="709"/>
        <w:jc w:val="both"/>
      </w:pPr>
      <w:r>
        <w:rPr>
          <w:rFonts w:ascii="Times New Roman" w:hAnsi="Times New Roman" w:cs="Times New Roman"/>
          <w:sz w:val="24"/>
        </w:rPr>
        <w:t>В качестве поисковых запросов на английском языке применялись формулировки «artificial intelligence English language teaching», «ChatGPT EFL OR ESL», «generative AI language learning higher education», «AI chatbot speaking EFL», «automated writing feedback EFL», «adaptive learning English university», «teacher education artificial intelligence EFL».</w:t>
      </w:r>
    </w:p>
    <w:p>
      <w:pPr>
        <w:spacing w:before="160" w:after="80"/>
        <w:jc w:val="left"/>
      </w:pPr>
      <w:r>
        <w:rPr>
          <w:rFonts w:ascii="Times New Roman" w:hAnsi="Times New Roman" w:cs="Times New Roman"/>
          <w:b/>
          <w:sz w:val="24"/>
        </w:rPr>
        <w:t>2.4. Формирование выборки</w:t>
      </w:r>
    </w:p>
    <w:p>
      <w:pPr>
        <w:spacing w:before="0" w:after="120"/>
        <w:ind w:firstLine="709"/>
        <w:jc w:val="both"/>
      </w:pPr>
      <w:r>
        <w:rPr>
          <w:rFonts w:ascii="Times New Roman" w:hAnsi="Times New Roman" w:cs="Times New Roman"/>
          <w:sz w:val="24"/>
        </w:rPr>
        <w:t>Первичный поиск идентифицировал более 180 потенциально релевантных публикаций. После последовательного применения критериев включения и исключения, а также проверки открытого доступа к полным текстам итоговая выборка составила 50 источников. В таблице 1 представлено их распределение по тематическим блокам.</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Таблица 1. Распределение источников по тематическим блокам</w:t>
      </w:r>
      <w:r>
        <w:rPr>
          <w:rFonts w:ascii="Times New Roman" w:hAnsi="Times New Roman" w:cs="Times New Roman"/>
          <w:sz w:val="24"/>
        </w:rPr>
      </w:r>
    </w:p>
    <w:tbl>
      <w:tblPr>
        <w:tblStyle w:val="TableGrid"/>
        <w:tblW w:type="auto" w:w="0"/>
        <w:tblLook w:firstColumn="1" w:firstRow="1" w:lastColumn="0" w:lastRow="0" w:noHBand="0" w:noVBand="1" w:val="04A0"/>
      </w:tblPr>
      <w:tblGrid>
        <w:gridCol w:w="4844"/>
        <w:gridCol w:w="4844"/>
      </w:tblGrid>
      <w:tr>
        <w:tc>
          <w:tcPr>
            <w:tcW w:type="dxa" w:w="4844"/>
          </w:tcPr>
          <w:p>
            <w:r>
              <w:rPr>
                <w:rFonts w:ascii="Times New Roman" w:hAnsi="Times New Roman" w:cs="Times New Roman"/>
                <w:b/>
                <w:sz w:val="22"/>
              </w:rPr>
              <w:t>Тематический блок</w:t>
            </w:r>
          </w:p>
        </w:tc>
        <w:tc>
          <w:tcPr>
            <w:tcW w:type="dxa" w:w="4844"/>
          </w:tcPr>
          <w:p>
            <w:r>
              <w:rPr>
                <w:rFonts w:ascii="Times New Roman" w:hAnsi="Times New Roman" w:cs="Times New Roman"/>
                <w:b/>
                <w:sz w:val="22"/>
              </w:rPr>
              <w:t>Количество источников</w:t>
            </w:r>
          </w:p>
        </w:tc>
      </w:tr>
      <w:tr>
        <w:tc>
          <w:tcPr>
            <w:tcW w:type="dxa" w:w="4844"/>
          </w:tcPr>
          <w:p>
            <w:r>
              <w:rPr>
                <w:rFonts w:ascii="Times New Roman" w:hAnsi="Times New Roman" w:cs="Times New Roman"/>
                <w:sz w:val="22"/>
              </w:rPr>
              <w:t>ИИ в развитии письменной речи</w:t>
            </w:r>
          </w:p>
        </w:tc>
        <w:tc>
          <w:tcPr>
            <w:tcW w:type="dxa" w:w="4844"/>
          </w:tcPr>
          <w:p>
            <w:r>
              <w:rPr>
                <w:rFonts w:ascii="Times New Roman" w:hAnsi="Times New Roman" w:cs="Times New Roman"/>
                <w:sz w:val="22"/>
              </w:rPr>
              <w:t>11</w:t>
            </w:r>
          </w:p>
        </w:tc>
      </w:tr>
      <w:tr>
        <w:tc>
          <w:tcPr>
            <w:tcW w:type="dxa" w:w="4844"/>
          </w:tcPr>
          <w:p>
            <w:r>
              <w:rPr>
                <w:rFonts w:ascii="Times New Roman" w:hAnsi="Times New Roman" w:cs="Times New Roman"/>
                <w:sz w:val="22"/>
              </w:rPr>
              <w:t>ИИ-чатботы и устноречевая практика</w:t>
            </w:r>
          </w:p>
        </w:tc>
        <w:tc>
          <w:tcPr>
            <w:tcW w:type="dxa" w:w="4844"/>
          </w:tcPr>
          <w:p>
            <w:r>
              <w:rPr>
                <w:rFonts w:ascii="Times New Roman" w:hAnsi="Times New Roman" w:cs="Times New Roman"/>
                <w:sz w:val="22"/>
              </w:rPr>
              <w:t>8</w:t>
            </w:r>
          </w:p>
        </w:tc>
      </w:tr>
      <w:tr>
        <w:tc>
          <w:tcPr>
            <w:tcW w:type="dxa" w:w="4844"/>
          </w:tcPr>
          <w:p>
            <w:r>
              <w:rPr>
                <w:rFonts w:ascii="Times New Roman" w:hAnsi="Times New Roman" w:cs="Times New Roman"/>
                <w:sz w:val="22"/>
              </w:rPr>
              <w:t>Адаптивное обучение и персонализация</w:t>
            </w:r>
          </w:p>
        </w:tc>
        <w:tc>
          <w:tcPr>
            <w:tcW w:type="dxa" w:w="4844"/>
          </w:tcPr>
          <w:p>
            <w:r>
              <w:rPr>
                <w:rFonts w:ascii="Times New Roman" w:hAnsi="Times New Roman" w:cs="Times New Roman"/>
                <w:sz w:val="22"/>
              </w:rPr>
              <w:t>9</w:t>
            </w:r>
          </w:p>
        </w:tc>
      </w:tr>
      <w:tr>
        <w:tc>
          <w:tcPr>
            <w:tcW w:type="dxa" w:w="4844"/>
          </w:tcPr>
          <w:p>
            <w:r>
              <w:rPr>
                <w:rFonts w:ascii="Times New Roman" w:hAnsi="Times New Roman" w:cs="Times New Roman"/>
                <w:sz w:val="22"/>
              </w:rPr>
              <w:t>Роль преподавателя в ИИ-среде</w:t>
            </w:r>
          </w:p>
        </w:tc>
        <w:tc>
          <w:tcPr>
            <w:tcW w:type="dxa" w:w="4844"/>
          </w:tcPr>
          <w:p>
            <w:r>
              <w:rPr>
                <w:rFonts w:ascii="Times New Roman" w:hAnsi="Times New Roman" w:cs="Times New Roman"/>
                <w:sz w:val="22"/>
              </w:rPr>
              <w:t>10</w:t>
            </w:r>
          </w:p>
        </w:tc>
      </w:tr>
      <w:tr>
        <w:tc>
          <w:tcPr>
            <w:tcW w:type="dxa" w:w="4844"/>
          </w:tcPr>
          <w:p>
            <w:r>
              <w:rPr>
                <w:rFonts w:ascii="Times New Roman" w:hAnsi="Times New Roman" w:cs="Times New Roman"/>
                <w:sz w:val="22"/>
              </w:rPr>
              <w:t>Этические риски и ограничения</w:t>
            </w:r>
          </w:p>
        </w:tc>
        <w:tc>
          <w:tcPr>
            <w:tcW w:type="dxa" w:w="4844"/>
          </w:tcPr>
          <w:p>
            <w:r>
              <w:rPr>
                <w:rFonts w:ascii="Times New Roman" w:hAnsi="Times New Roman" w:cs="Times New Roman"/>
                <w:sz w:val="22"/>
              </w:rPr>
              <w:t>12</w:t>
            </w:r>
          </w:p>
        </w:tc>
      </w:tr>
    </w:tbl>
    <w:p/>
    <w:p>
      <w:pPr>
        <w:spacing w:before="200" w:after="120"/>
        <w:jc w:val="left"/>
      </w:pPr>
      <w:r>
        <w:rPr>
          <w:rFonts w:ascii="Times New Roman" w:hAnsi="Times New Roman" w:cs="Times New Roman"/>
          <w:b/>
          <w:sz w:val="26"/>
        </w:rPr>
        <w:t>3. Результаты</w:t>
      </w:r>
    </w:p>
    <w:p>
      <w:pPr>
        <w:spacing w:before="160" w:after="80"/>
        <w:jc w:val="left"/>
      </w:pPr>
      <w:r>
        <w:rPr>
          <w:rFonts w:ascii="Times New Roman" w:hAnsi="Times New Roman" w:cs="Times New Roman"/>
          <w:b/>
          <w:sz w:val="24"/>
        </w:rPr>
        <w:t>3.1. Искусственный интеллект в развитии иноязычной письменной речи</w:t>
      </w:r>
    </w:p>
    <w:p>
      <w:pPr>
        <w:spacing w:before="0" w:after="120"/>
        <w:ind w:firstLine="709"/>
        <w:jc w:val="both"/>
      </w:pPr>
      <w:r>
        <w:rPr>
          <w:rFonts w:ascii="Times New Roman" w:hAnsi="Times New Roman" w:cs="Times New Roman"/>
          <w:sz w:val="24"/>
        </w:rPr>
        <w:t>Письменная речь остаётся наиболее изученным направлением в контексте ИИ в иноязычном образовании, и это закономерно. Именно здесь асинхронность, возможность многократной итерации и потребность в конкретной языковой обратной связи создают наиболее очевидную точку вхождения для ИИ-инструментов.</w:t>
      </w:r>
    </w:p>
    <w:p>
      <w:pPr>
        <w:spacing w:before="0" w:after="120"/>
        <w:ind w:firstLine="709"/>
        <w:jc w:val="both"/>
      </w:pPr>
      <w:r>
        <w:rPr>
          <w:rFonts w:ascii="Times New Roman" w:hAnsi="Times New Roman" w:cs="Times New Roman"/>
          <w:sz w:val="24"/>
        </w:rPr>
        <w:t>Работы по автоматизированной оценке письменных работ (Automated Writing Evaluation, AWE) образуют первую линию исследований. Результаты Liu et al. [20] показали, что студенты, получавшие компьютерную обратную связь, прогрессировали не только в качестве итогового текста, но и в стратегиях ревизии. Иными словами, ИИ влиял на сам процесс письма, а не только на его продукт. Это принципиально важное разграничение. ИИ выступает инструментом развития процессуальных навыков, а не корректором готового текста.</w:t>
      </w:r>
    </w:p>
    <w:p>
      <w:pPr>
        <w:spacing w:before="0" w:after="120"/>
        <w:ind w:firstLine="709"/>
        <w:jc w:val="both"/>
      </w:pPr>
      <w:r>
        <w:rPr>
          <w:rFonts w:ascii="Times New Roman" w:hAnsi="Times New Roman" w:cs="Times New Roman"/>
          <w:sz w:val="24"/>
        </w:rPr>
        <w:t>Впрочем, картина не так однозначна. Сопоставительное исследование Guo et al. [24] на материале перевода с китайского на английский зафиксировало любопытный дисбаланс. Обратная связь ChatGPT значительно уступала преподавательской при работе со сложными дискурсивными ошибками, зато превосходила её по системности при работе с лексикой и грамматикой. Получается, что ИИ хорош ровно там, где нужна методичная повторяемая проверка по формальным критериям, и явно слабее там, где требуется понимание коммуникативного замысла.</w:t>
      </w:r>
    </w:p>
    <w:p>
      <w:pPr>
        <w:spacing w:before="0" w:after="120"/>
        <w:ind w:firstLine="709"/>
        <w:jc w:val="both"/>
      </w:pPr>
      <w:r>
        <w:rPr>
          <w:rFonts w:ascii="Times New Roman" w:hAnsi="Times New Roman" w:cs="Times New Roman"/>
          <w:sz w:val="24"/>
        </w:rPr>
        <w:t>Вопрос о последовательности обратных связей оказался не менее важным, чем вопрос об их источнике. Wang et al. [21] продемонстрировали, что оптимальная схема предполагает следующий порядок. Студент сначала получает ИИ-обратную связь, затем преподавательскую, после чего самостоятельно пересматривает текст. Когда последовательность переворачивалась, студенты некритически принимали ИИ-комментарии как более авторитетные, что авторы объясняют своеобразным «делегированием доверия» технологии.</w:t>
      </w:r>
    </w:p>
    <w:p>
      <w:pPr>
        <w:spacing w:before="0" w:after="120"/>
        <w:ind w:firstLine="709"/>
        <w:jc w:val="both"/>
      </w:pPr>
      <w:r>
        <w:rPr>
          <w:rFonts w:ascii="Times New Roman" w:hAnsi="Times New Roman" w:cs="Times New Roman"/>
          <w:sz w:val="24"/>
        </w:rPr>
        <w:t>Zhang et al. [25] проверили надёжность многомерной оценки письменных работ с помощью больших языковых моделей и выявили высокую согласованность LLM-оценки с экспертными оценками по лексическому разнообразию и грамматической правильности. Существенные расхождения обнаружились в оценке когерентности и дискурсивной организации текста, что авторы связывают с принципиальными ограничениями нынешних архитектур ИИ. Таким образом, LLM-оценка надёжна в рамках формальных критериев и значительно менее надёжна за их пределами.</w:t>
      </w:r>
    </w:p>
    <w:p>
      <w:pPr>
        <w:spacing w:before="0" w:after="120"/>
        <w:ind w:firstLine="709"/>
        <w:jc w:val="both"/>
      </w:pPr>
      <w:r>
        <w:rPr>
          <w:rFonts w:ascii="Times New Roman" w:hAnsi="Times New Roman" w:cs="Times New Roman"/>
          <w:sz w:val="24"/>
        </w:rPr>
        <w:t>Среди качественных исследований выделяется работа Li et al. [22], описывающая паттерн когнитивной разгрузки у аспирантов. Студенты постепенно делегировали ИИ всё более сложные операции, переходя от редактирования к структурированию, а затем к генерации идей. Авторы квалифицируют этот сдвиг как угрозу развитию академической грамотности и предлагают модель «критического партнёрства», при которой студент осознанно управляет взаимодействием с инструментом. Xu et al. [23] зафиксировали статистически значимый прирост грамматической корректности и лексического разнообразия в экспериментальной группе, работавшей с GPT-4-чатботом WritePro, и специально подчёркивают, что ключевым фактором было педагогическое сопровождение, а не сам инструмент.</w:t>
      </w:r>
    </w:p>
    <w:p>
      <w:pPr>
        <w:spacing w:before="0" w:after="120"/>
        <w:ind w:firstLine="709"/>
        <w:jc w:val="both"/>
      </w:pPr>
      <w:r>
        <w:rPr>
          <w:rFonts w:ascii="Times New Roman" w:hAnsi="Times New Roman" w:cs="Times New Roman"/>
          <w:sz w:val="24"/>
        </w:rPr>
        <w:t>Данные выводы находят подтверждение в более широких обзорах применения ChatGPT в обучении иноязычной письменной речи [18, 49], авторы которых подчёркивают, что педагогическое сопровождение является необходимым условием дидактической эффективности любого ИИ-инструмента, а параллельно в литературе активно обсуждаются принципы проектирования самих языковых ИИ-систем с учётом педагогических задач [19]. Обобщая данное направление, можно констатировать, что ИИ в письменной речи эффективен как вспомогательный, но не замещающий инструмент. Это, впрочем, повторяет логику любой успешной дидактической технологии.</w:t>
      </w:r>
    </w:p>
    <w:p>
      <w:pPr>
        <w:spacing w:before="160" w:after="80"/>
        <w:jc w:val="left"/>
      </w:pPr>
      <w:r>
        <w:rPr>
          <w:rFonts w:ascii="Times New Roman" w:hAnsi="Times New Roman" w:cs="Times New Roman"/>
          <w:b/>
          <w:sz w:val="24"/>
        </w:rPr>
        <w:t>3.2. ИИ-чатботы и развитие устноречевых умений</w:t>
      </w:r>
    </w:p>
    <w:p>
      <w:pPr>
        <w:spacing w:before="0" w:after="120"/>
        <w:ind w:firstLine="709"/>
        <w:jc w:val="both"/>
      </w:pPr>
      <w:r>
        <w:rPr>
          <w:rFonts w:ascii="Times New Roman" w:hAnsi="Times New Roman" w:cs="Times New Roman"/>
          <w:sz w:val="24"/>
        </w:rPr>
        <w:t>Устноречевая практика традиционно является дефицитным ресурсом в EFL-контексте. Аудиторного времени не хватает, а возможности практики вне класса исторически ограничены. Именно этим объясняется значительный интерес к ИИ-чатботам как инструментам внеаудиторной практики говорения.</w:t>
      </w:r>
    </w:p>
    <w:p>
      <w:pPr>
        <w:spacing w:before="0" w:after="120"/>
        <w:ind w:firstLine="709"/>
        <w:jc w:val="both"/>
      </w:pPr>
      <w:r>
        <w:rPr>
          <w:rFonts w:ascii="Times New Roman" w:hAnsi="Times New Roman" w:cs="Times New Roman"/>
          <w:sz w:val="24"/>
        </w:rPr>
        <w:t>Систематический обзор Du и Daniel [28] охватил эмпирические исследования ИИ-чатботов для практики устной речи и установил, что диалоговые системы положительно влияют на беглость речи и готовность к общению (willingness to communicate). При этом выявлен существенный пробел. Большинство существующих чатботов обеспечивают обратную связь по грамматике и лексике, но практически игнорируют дискурсивные и прагматические аспекты речи. Студент может научиться строить правильные предложения, не научившись строить разговор. Более масштабный систематический обзор ИИ-чатботов в обучении второму языку, выполненный Wang et al. [31], подтвердил данную тенденцию и дополнительно указал на зависимость педагогического эффекта от уровня когнитивной вовлечённости студентов в диалог с системой.</w:t>
      </w:r>
    </w:p>
    <w:p>
      <w:pPr>
        <w:spacing w:before="0" w:after="120"/>
        <w:ind w:firstLine="709"/>
        <w:jc w:val="both"/>
      </w:pPr>
      <w:r>
        <w:rPr>
          <w:rFonts w:ascii="Times New Roman" w:hAnsi="Times New Roman" w:cs="Times New Roman"/>
          <w:sz w:val="24"/>
        </w:rPr>
        <w:t>Снижение речевой тревожности представляет собой один из наиболее устойчиво зафиксированных эффектов. Yang et al. [29] интерпретируют его через концепцию «безопасного пространства для практики». В отсутствие социального оценивания студенты значительно смелее рискуют в плане языка. Эта находка значима для российского контекста, где тревожность при устной речи на иностранном языке является известной педагогической проблемой.</w:t>
      </w:r>
    </w:p>
    <w:p>
      <w:pPr>
        <w:spacing w:before="0" w:after="120"/>
        <w:ind w:firstLine="709"/>
        <w:jc w:val="both"/>
      </w:pPr>
      <w:r>
        <w:rPr>
          <w:rFonts w:ascii="Times New Roman" w:hAnsi="Times New Roman" w:cs="Times New Roman"/>
          <w:sz w:val="24"/>
        </w:rPr>
        <w:t>Li et al. [30] сопоставили результаты подготовки с ИИ-чатботом и с преподавателем-фасилитатором. Студенты из обеих групп показали сопоставимые результаты в тестах, однако речь «чатботной» группы отличалась более бедным лексическим репертуаром. Авторы делают вывод о взаимодополнительности двух форматов, а не конкуренции между ними, что представляется более корректной интерпретацией. Смежные данные получены в исследованиях ИИ-опосредованного развития словарного запаса [33] и адаптивного чтения с биометрической обратной связью [32], что свидетельствует о постепенном расширении области применения ИИ-инструментов за пределы традиционной устноречевой практики.</w:t>
      </w:r>
    </w:p>
    <w:p>
      <w:pPr>
        <w:spacing w:before="0" w:after="120"/>
        <w:ind w:firstLine="709"/>
        <w:jc w:val="both"/>
      </w:pPr>
      <w:r>
        <w:rPr>
          <w:rFonts w:ascii="Times New Roman" w:hAnsi="Times New Roman" w:cs="Times New Roman"/>
          <w:sz w:val="24"/>
        </w:rPr>
        <w:t>Отдельного внимания заслуживает система CHOP (ChatGPT for Oral Presentation Practice), описанная в работе Chen et al. [27]. Студенты, готовившие публичные выступления с её помощью, значительно улучшили структурированность и языковую корректность. Авторы, впрочем, фиксируют и обратную сторону. Часть студентов стала чрезмерно опираться на ИИ-подсказки, не вырабатывая собственных речевых стратегий. Этот риск системен и не специфичен для данного инструмента.</w:t>
      </w:r>
    </w:p>
    <w:p>
      <w:pPr>
        <w:spacing w:before="160" w:after="80"/>
        <w:jc w:val="left"/>
      </w:pPr>
      <w:r>
        <w:rPr>
          <w:rFonts w:ascii="Times New Roman" w:hAnsi="Times New Roman" w:cs="Times New Roman"/>
          <w:b/>
          <w:sz w:val="24"/>
        </w:rPr>
        <w:t>3.3. Адаптивное обучение и персонализация образовательных траекторий</w:t>
      </w:r>
    </w:p>
    <w:p>
      <w:pPr>
        <w:spacing w:before="0" w:after="120"/>
        <w:ind w:firstLine="709"/>
        <w:jc w:val="both"/>
      </w:pPr>
      <w:r>
        <w:rPr>
          <w:rFonts w:ascii="Times New Roman" w:hAnsi="Times New Roman" w:cs="Times New Roman"/>
          <w:sz w:val="24"/>
        </w:rPr>
        <w:t>Адаптивные обучающие системы представляют собой наиболее технологически зрелую область применения ИИ в образовании. Применительно к иностранному языку их потенциал очевиден. Уровни владения языком и индивидуальные пробелы у студентов одной группы могут различаться разительно, и единый темп обучения неизбежно оказывается либо избыточным для одних, либо недостаточным для других.</w:t>
      </w:r>
    </w:p>
    <w:p>
      <w:pPr>
        <w:spacing w:before="0" w:after="120"/>
        <w:ind w:firstLine="709"/>
        <w:jc w:val="both"/>
      </w:pPr>
      <w:r>
        <w:rPr>
          <w:rFonts w:ascii="Times New Roman" w:hAnsi="Times New Roman" w:cs="Times New Roman"/>
          <w:sz w:val="24"/>
        </w:rPr>
        <w:t>Huang et al. [34] в масштабном исследовании установили, что ИИ-опосредованное обучение английскому языку положительно влияет на три взаимосвязанных переменных. Фиксируется рост академических достижений, иноязычной мотивации и самостоятельной регуляции учебной деятельности. Показательна следующая деталь. Наибольший прирост наблюдался у студентов с исходно низким уровнем подготовки. Это говорит о компенсаторном потенциале адаптивных систем применительно к академически уязвимым группам, и данный потенциал в условиях неоднородных групп педагогического вуза может иметь существенное практическое значение.</w:t>
      </w:r>
    </w:p>
    <w:p>
      <w:pPr>
        <w:spacing w:before="0" w:after="120"/>
        <w:ind w:firstLine="709"/>
        <w:jc w:val="both"/>
      </w:pPr>
      <w:r>
        <w:rPr>
          <w:rFonts w:ascii="Times New Roman" w:hAnsi="Times New Roman" w:cs="Times New Roman"/>
          <w:sz w:val="24"/>
        </w:rPr>
        <w:t>Результаты Lin et al. [35] показали корреляцию между использованием ИИ-приложений и повышением вовлечённости, а также снижением прокрастинации. Авторы связывают этот эффект с геймификационными и адаптивными характеристиками платформ, обеспечивающими немедленное подкрепление. Этот механизм хорошо известен из литературы по мотивации, и в данном случае ИИ лишь реализует его технологически эффективно.</w:t>
      </w:r>
    </w:p>
    <w:p>
      <w:pPr>
        <w:spacing w:before="0" w:after="120"/>
        <w:ind w:firstLine="709"/>
        <w:jc w:val="both"/>
      </w:pPr>
      <w:r>
        <w:rPr>
          <w:rFonts w:ascii="Times New Roman" w:hAnsi="Times New Roman" w:cs="Times New Roman"/>
          <w:sz w:val="24"/>
        </w:rPr>
        <w:t>Теоретически важное разграничение предлагают Liu et al. [38], работающие в рамках теории самодетерминации. ИИ-поддержка усиливает автономию студента только при наличии педагогических «строительных лесов» (scaffolding) со стороны преподавателя. В противном случае та же ИИ-поддержка может автономию подавлять, формируя зависимость вместо самостоятельности. Это, на наш взгляд, принципиальный вывод для практики.</w:t>
      </w:r>
    </w:p>
    <w:p>
      <w:pPr>
        <w:spacing w:before="0" w:after="120"/>
        <w:ind w:firstLine="709"/>
        <w:jc w:val="both"/>
      </w:pPr>
      <w:r>
        <w:rPr>
          <w:rFonts w:ascii="Times New Roman" w:hAnsi="Times New Roman" w:cs="Times New Roman"/>
          <w:sz w:val="24"/>
        </w:rPr>
        <w:t>Wei et al. [36] на основе модели последовательной медиации показали, что путь от ИИ-грамотности студента к устойчивому использованию ИИ в обучении опосредован позитивными установками и удовольствием от взаимодействия с инструментом. Практический вывод прост, хотя и нетривиален. Простого внедрения ИИ-инструментов недостаточно. Необходимо целенаправленное формирование позитивного и одновременно критического отношения к ним.</w:t>
      </w:r>
    </w:p>
    <w:p>
      <w:pPr>
        <w:spacing w:before="0" w:after="120"/>
        <w:ind w:firstLine="709"/>
        <w:jc w:val="both"/>
      </w:pPr>
      <w:r>
        <w:rPr>
          <w:rFonts w:ascii="Times New Roman" w:hAnsi="Times New Roman" w:cs="Times New Roman"/>
          <w:sz w:val="24"/>
        </w:rPr>
        <w:t>Смежный результат получен Huang et al. [39] в исследовании L2-установки на рост (L2 growth mindset) в контексте ИИ-чатботов. Воспринимаемая удобность использования чатбота напрямую формировала у студентов установку на рост, которая, в свою очередь, стимулировала долгосрочную речевую вовлечённость. Иными словами, то, насколько органично ИИ-инструмент встроен в учебный процесс, влияет не только на немедленную результативность, но и на устойчивые установки студентов относительно собственного языкового развития. Перспективную теоретическую рамку для интерпретации описанных эффектов предлагают Chen et al. [37], рассматривающие взаимодействие студента с ИИ через призму «экологического сопряжения» (ecological coupling) и показывающие, что это взаимодействие встроено в более широкую учебную экологию, формирующую его исходы. Li et al. [45] эмпирически подтверждают эффективность ИИ-опосредованного скаффолдинга для академических достижений студентов в условиях высшей школы.</w:t>
      </w:r>
    </w:p>
    <w:p>
      <w:pPr>
        <w:spacing w:before="160" w:after="80"/>
        <w:jc w:val="left"/>
      </w:pPr>
      <w:r>
        <w:rPr>
          <w:rFonts w:ascii="Times New Roman" w:hAnsi="Times New Roman" w:cs="Times New Roman"/>
          <w:b/>
          <w:sz w:val="24"/>
        </w:rPr>
        <w:t>3.4. Трансформация роли преподавателя в условиях ИИ</w:t>
      </w:r>
    </w:p>
    <w:p>
      <w:pPr>
        <w:spacing w:before="0" w:after="120"/>
        <w:ind w:firstLine="709"/>
        <w:jc w:val="both"/>
      </w:pPr>
      <w:r>
        <w:rPr>
          <w:rFonts w:ascii="Times New Roman" w:hAnsi="Times New Roman" w:cs="Times New Roman"/>
          <w:sz w:val="24"/>
        </w:rPr>
        <w:t>Среди всех рассмотренных направлений именно трансформация профессиональной роли преподавателя вызывает наибольшие разногласия, и это закономерно, поскольку речь идёт не только о технологии, но и о профессиональной идентичности.</w:t>
      </w:r>
    </w:p>
    <w:p>
      <w:pPr>
        <w:spacing w:before="0" w:after="120"/>
        <w:ind w:firstLine="709"/>
        <w:jc w:val="both"/>
      </w:pPr>
      <w:r>
        <w:rPr>
          <w:rFonts w:ascii="Times New Roman" w:hAnsi="Times New Roman" w:cs="Times New Roman"/>
          <w:sz w:val="24"/>
        </w:rPr>
        <w:t>Zhao et al. [42] выделили четыре трансформированные роли, которые приобретает преподаватель английского языка в ИИ-насыщенной среде. Первая из них представляет собой роль эволюционирующего фасилитатора, задачей которого становится организация учебного опыта, а не передача информации. Вторая соответствует специалисту по смешанному обучению, осознанно интегрирующему ИИ в дидактическую систему. Третья связана с позицией гибкого дизайнера учебных материалов, использующего ИИ для быстрой адаптации контента. Четвёртая роль предполагает владение навыками промпт-инжиниринга для получения педагогически ценных результатов от ИИ-систем. Важно, что ни одна из этих ролей не предполагает снижения профессиональной нагрузки, напротив, все они требуют более глубокой педагогической рефлексии.</w:t>
      </w:r>
    </w:p>
    <w:p>
      <w:pPr>
        <w:spacing w:before="0" w:after="120"/>
        <w:ind w:firstLine="709"/>
        <w:jc w:val="both"/>
      </w:pPr>
      <w:r>
        <w:rPr>
          <w:rFonts w:ascii="Times New Roman" w:hAnsi="Times New Roman" w:cs="Times New Roman"/>
          <w:sz w:val="24"/>
        </w:rPr>
        <w:t>Качественное исследование Sun et al. [43] зафиксировало значительную вариативность в реальных практиках преподавателей. Педагоги с развитыми рефлексивными практиками применяли ИИ для создания дифференцированных заданий. Педагоги с меньшим опытом использовали его преимущественно для генерации стандартных упражнений, что давало предсказуемо скромный дидактический эффект. Вывод авторов принципиален. Педагогическое мышление является более значимой переменной, чем технологический инструментарий.</w:t>
      </w:r>
    </w:p>
    <w:p>
      <w:pPr>
        <w:spacing w:before="0" w:after="120"/>
        <w:ind w:firstLine="709"/>
        <w:jc w:val="both"/>
      </w:pPr>
      <w:r>
        <w:rPr>
          <w:rFonts w:ascii="Times New Roman" w:hAnsi="Times New Roman" w:cs="Times New Roman"/>
          <w:sz w:val="24"/>
        </w:rPr>
        <w:t>García-Díaz et al. [44] в систематическом обзоре по подготовке учителей иностранного языка к работе с ИИ констатировали, что большинство программ педагогического образования за рубежом до сих пор не включают систематической подготовки к деятельности в ИИ-насыщенной среде. Это, пожалуй, самый прямой сигнал для педагогического вуза. Такая подготовка не произойдёт сама собой. Chen et al. [41] в этой связи показали, что вовлечение педагогов в рефлексивное освоение генеративного ИИ как инструмента профессионального развития связано с ростом их педагогической самоэффективности, что открывает конкретную точку входа для программ повышения квалификации.</w:t>
      </w:r>
    </w:p>
    <w:p>
      <w:pPr>
        <w:spacing w:before="0" w:after="120"/>
        <w:ind w:firstLine="709"/>
        <w:jc w:val="both"/>
      </w:pPr>
      <w:r>
        <w:rPr>
          <w:rFonts w:ascii="Times New Roman" w:hAnsi="Times New Roman" w:cs="Times New Roman"/>
          <w:sz w:val="24"/>
        </w:rPr>
        <w:t>Особую теоретическую перспективу предлагает Godwin-Jones [8], формулируя «экологический» взгляд на роль языкового педагога в эпоху ИИ. Согласно данной концепции, ИИ следует рассматривать не как набор инструментов, а как новый экологический контекст языкового образования, меняющий конфигурацию дидактических целей, форм оценивания и принципов организации учебной деятельности. Насколько российское педагогическое образование готово к подобной переориентации, пока остаётся открытым вопросом.</w:t>
      </w:r>
    </w:p>
    <w:p>
      <w:pPr>
        <w:spacing w:before="0" w:after="120"/>
        <w:ind w:firstLine="709"/>
        <w:jc w:val="both"/>
      </w:pPr>
      <w:r>
        <w:rPr>
          <w:rFonts w:ascii="Times New Roman" w:hAnsi="Times New Roman" w:cs="Times New Roman"/>
          <w:sz w:val="24"/>
        </w:rPr>
        <w:t>Wang et al. [40] обнаружили, что воспринимаемая поддержка преподавателя значимо связана с субъективным благополучием студентов даже в высокотехнологичных образовательных средах. Иными словами, человеческий педагогический компонент сохраняет свою незаменимость независимо от уровня технологизации обучения.</w:t>
      </w:r>
    </w:p>
    <w:p>
      <w:pPr>
        <w:spacing w:before="160" w:after="80"/>
        <w:jc w:val="left"/>
      </w:pPr>
      <w:r>
        <w:rPr>
          <w:rFonts w:ascii="Times New Roman" w:hAnsi="Times New Roman" w:cs="Times New Roman"/>
          <w:b/>
          <w:sz w:val="24"/>
        </w:rPr>
        <w:t>3.5. Этические риски и педагогические ограничения</w:t>
      </w:r>
    </w:p>
    <w:p>
      <w:pPr>
        <w:spacing w:before="0" w:after="120"/>
        <w:ind w:firstLine="709"/>
        <w:jc w:val="both"/>
      </w:pPr>
      <w:r>
        <w:rPr>
          <w:rFonts w:ascii="Times New Roman" w:hAnsi="Times New Roman" w:cs="Times New Roman"/>
          <w:sz w:val="24"/>
        </w:rPr>
        <w:t>Параллельно с исследованиями о педагогических возможностях ИИ в зарубежной литературе сложилось весомое критическое направление. Его нельзя квалифицировать как технофобию. Речь идёт об обоснованных опасениях, имеющих под собой эмпирическую базу.</w:t>
      </w:r>
    </w:p>
    <w:p>
      <w:pPr>
        <w:spacing w:before="0" w:after="120"/>
        <w:ind w:firstLine="709"/>
        <w:jc w:val="both"/>
      </w:pPr>
      <w:r>
        <w:rPr>
          <w:rFonts w:ascii="Times New Roman" w:hAnsi="Times New Roman" w:cs="Times New Roman"/>
          <w:sz w:val="24"/>
        </w:rPr>
        <w:t>Академическая честность представляет наиболее острую из обсуждаемых проблем. Zhang et al. [17] зафиксировали явление, которое удачно назвали «этической амбивалентностью». Студенты осознают нормы академической честности и декларируют их соблюдение, однако в реальной практике систематически используют ИИ способами, которые сами же квалифицируют как нарушение. В качестве ответа авторы предлагают не ужесточение запретов, а педагогические стратегии, делающие честное взаимодействие с ИИ естественным выбором. Такая позиция представляется нам более реалистичной и конструктивной.</w:t>
      </w:r>
    </w:p>
    <w:p>
      <w:pPr>
        <w:spacing w:before="0" w:after="120"/>
        <w:ind w:firstLine="709"/>
        <w:jc w:val="both"/>
      </w:pPr>
      <w:r>
        <w:rPr>
          <w:rFonts w:ascii="Times New Roman" w:hAnsi="Times New Roman" w:cs="Times New Roman"/>
          <w:sz w:val="24"/>
        </w:rPr>
        <w:t>Риск когнитивной разгрузки зафиксирован в нескольких работах. Li et al. [22] показали, как аспиранты постепенно делегируют ИИ всё более сложные когнитивные операции, включая генерацию идей и построение аргументации, что тормозит развитие собственных академических компетенций. Okonkwo et al. [26] разработали «Синергетическую рамку активного обучения и генеративного ИИ» для ресурсно-ограниченных образовательных контекстов. В ней ИИ позиционируется как «когнитивный партнёр», стимулирующий рефлексию, а не замещающий её. Этот подход особенно интересен тем, что постсоветский контекст российских региональных вузов по ряду параметров напоминает те контексты, для которых разрабатывалась рамка.</w:t>
      </w:r>
    </w:p>
    <w:p>
      <w:pPr>
        <w:spacing w:before="0" w:after="120"/>
        <w:ind w:firstLine="709"/>
        <w:jc w:val="both"/>
      </w:pPr>
      <w:r>
        <w:rPr>
          <w:rFonts w:ascii="Times New Roman" w:hAnsi="Times New Roman" w:cs="Times New Roman"/>
          <w:sz w:val="24"/>
        </w:rPr>
        <w:t>Pham et al. [46] сформулировали принцип «осознанного партнёрства с ИИ» (mindful AI partnership). Согласно данному принципу, студент должен понимать, что именно делает ИИ, уметь критически оценивать его результат и нести персональную ответственность за итоговый академический продукт. Данный принцип, на наш взгляд, применим к российскому педагогическому вузу без существенных адаптаций.</w:t>
      </w:r>
    </w:p>
    <w:p>
      <w:pPr>
        <w:spacing w:before="0" w:after="120"/>
        <w:ind w:firstLine="709"/>
        <w:jc w:val="both"/>
      </w:pPr>
      <w:r>
        <w:rPr>
          <w:rFonts w:ascii="Times New Roman" w:hAnsi="Times New Roman" w:cs="Times New Roman"/>
          <w:sz w:val="24"/>
        </w:rPr>
        <w:t>Наконец, цифровое неравенство как фактор образовательного риска отмечается в нескольких обзорах [3, 5], при этом неравный доступ к качественным ИИ-инструментам углубляет существующее неравенство между студентами. Для России это означает дополнительный разрыв между столичными вузами с развитой инфраструктурой и периферийными педагогическими университетами. Xiao и Zhi [14], проанализировав YouTube-контент об использовании ChatGPT в обучении языкам, обнаружили, что при отсутствии институциональных ориентиров студенты активно обращаются к неформальным цифровым ресурсам для выработки стратегий работы с ИИ. Bekteshi [47] рассматривает это явление в контексте цифрового неравенства, указывая, что степень методической поддержки со стороны преподавателя во многом определяет, будет ли генеративный ИИ сокращать или углублять академический разрыв между студентами с разным уровнем цифровой грамотности.</w:t>
      </w:r>
    </w:p>
    <w:p>
      <w:pPr>
        <w:spacing w:before="200" w:after="120"/>
        <w:jc w:val="left"/>
      </w:pPr>
      <w:r>
        <w:rPr>
          <w:rFonts w:ascii="Times New Roman" w:hAnsi="Times New Roman" w:cs="Times New Roman"/>
          <w:b/>
          <w:sz w:val="26"/>
        </w:rPr>
        <w:t>4. Обсуждение</w:t>
      </w:r>
    </w:p>
    <w:p>
      <w:pPr>
        <w:spacing w:before="160" w:after="80"/>
        <w:jc w:val="left"/>
      </w:pPr>
      <w:r>
        <w:rPr>
          <w:rFonts w:ascii="Times New Roman" w:hAnsi="Times New Roman" w:cs="Times New Roman"/>
          <w:b/>
          <w:sz w:val="24"/>
        </w:rPr>
        <w:t>4.1. Контекстуальные различия и их значение для переносимости результатов</w:t>
      </w:r>
    </w:p>
    <w:p>
      <w:pPr>
        <w:spacing w:before="0" w:after="120"/>
        <w:ind w:firstLine="709"/>
        <w:jc w:val="both"/>
      </w:pPr>
      <w:r>
        <w:rPr>
          <w:rFonts w:ascii="Times New Roman" w:hAnsi="Times New Roman" w:cs="Times New Roman"/>
          <w:sz w:val="24"/>
        </w:rPr>
        <w:t>Большинство рассмотренных исследований выполнено в университетах Китая, Тайваня, США, Великобритании, Южной Кореи и стран Ближнего Востока. При всём их разнообразии эти контексты разделяют несколько общих черт, в числе которых развитая технологическая инфраструктура, культура самостоятельного обучения и, что особенно существенно, уже сложившиеся в ряде случаев институциональные политики в отношении ИИ.</w:t>
      </w:r>
    </w:p>
    <w:p>
      <w:pPr>
        <w:spacing w:before="0" w:after="120"/>
        <w:ind w:firstLine="709"/>
        <w:jc w:val="both"/>
      </w:pPr>
      <w:r>
        <w:rPr>
          <w:rFonts w:ascii="Times New Roman" w:hAnsi="Times New Roman" w:cs="Times New Roman"/>
          <w:sz w:val="24"/>
        </w:rPr>
        <w:t>Российский педагогический вуз образует отличный контекст по четырём измерениям.</w:t>
      </w:r>
    </w:p>
    <w:p>
      <w:pPr>
        <w:spacing w:before="0" w:after="120"/>
        <w:ind w:firstLine="709"/>
        <w:jc w:val="both"/>
      </w:pPr>
      <w:r>
        <w:rPr>
          <w:rFonts w:ascii="Times New Roman" w:hAnsi="Times New Roman" w:cs="Times New Roman"/>
          <w:sz w:val="24"/>
        </w:rPr>
        <w:t>В нормативном плане ФГОС ВО по направлению «Педагогическое образование» закрепляет необходимость формирования цифровых компетенций, но прямых указаний на ИИ-инструменты не содержит. Между тем международный опыт показывает, что внедрение ИИ в высшую школу сопровождается как реальными дидактическими возможностями, так и серьёзными институциональными и педагогическими вызовами, требующими осмысленной политики на уровне университета [4]. Педагогическая легитимизация ИИ в российском вузе пока во многом определяется позицией конкретной кафедры.</w:t>
      </w:r>
    </w:p>
    <w:p>
      <w:pPr>
        <w:spacing w:before="0" w:after="120"/>
        <w:ind w:firstLine="709"/>
        <w:jc w:val="both"/>
      </w:pPr>
      <w:r>
        <w:rPr>
          <w:rFonts w:ascii="Times New Roman" w:hAnsi="Times New Roman" w:cs="Times New Roman"/>
          <w:sz w:val="24"/>
        </w:rPr>
        <w:t>В дидактическом плане отечественная методика преподавания иностранных языков опирается на развитую традицию коммуникативно-деятельностного подхода, в которой роль преподавателя как организатора живого иноязычного взаимодействия является центральной. Это создаёт ресурс в виде высокого уровня методической рефлексии преподавателей, но одновременно порождает потенциальный барьер в виде сопротивления технологической замене.</w:t>
      </w:r>
    </w:p>
    <w:p>
      <w:pPr>
        <w:spacing w:before="0" w:after="120"/>
        <w:ind w:firstLine="709"/>
        <w:jc w:val="both"/>
      </w:pPr>
      <w:r>
        <w:rPr>
          <w:rFonts w:ascii="Times New Roman" w:hAnsi="Times New Roman" w:cs="Times New Roman"/>
          <w:sz w:val="24"/>
        </w:rPr>
        <w:t>В языковом плане российские студенты педагогических вузов изучают английский как иностранный (EFL), что совпадает с преобладающим контекстом рассмотренных исследований и обеспечивает достаточно высокую переносимость результатов.</w:t>
      </w:r>
    </w:p>
    <w:p>
      <w:pPr>
        <w:spacing w:before="0" w:after="120"/>
        <w:ind w:firstLine="709"/>
        <w:jc w:val="both"/>
      </w:pPr>
      <w:r>
        <w:rPr>
          <w:rFonts w:ascii="Times New Roman" w:hAnsi="Times New Roman" w:cs="Times New Roman"/>
          <w:sz w:val="24"/>
        </w:rPr>
        <w:t>В технологическом плане доступность ряда зарубежных ИИ-инструментов в России имеет нормативные и технические ограничения. Это актуализирует вопрос об отечественных аналогах, педагогический потенциал которых пока остаётся неизученным.</w:t>
      </w:r>
    </w:p>
    <w:p>
      <w:pPr>
        <w:spacing w:before="160" w:after="80"/>
        <w:jc w:val="left"/>
      </w:pPr>
      <w:r>
        <w:rPr>
          <w:rFonts w:ascii="Times New Roman" w:hAnsi="Times New Roman" w:cs="Times New Roman"/>
          <w:b/>
          <w:sz w:val="24"/>
        </w:rPr>
        <w:t>4.2. Направления с высоким потенциалом адаптации</w:t>
      </w:r>
    </w:p>
    <w:p>
      <w:pPr>
        <w:spacing w:before="0" w:after="120"/>
        <w:ind w:firstLine="709"/>
        <w:jc w:val="both"/>
      </w:pPr>
      <w:r>
        <w:rPr>
          <w:rFonts w:ascii="Times New Roman" w:hAnsi="Times New Roman" w:cs="Times New Roman"/>
          <w:sz w:val="24"/>
        </w:rPr>
        <w:t>Анализ позволяет выделить три направления, в наибольшей мере поддающихся переносу в российский педагогический вуз.</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ИИ-поддержка письменной речи</w:t>
      </w:r>
      <w:r>
        <w:rPr>
          <w:rFonts w:ascii="Times New Roman" w:hAnsi="Times New Roman" w:cs="Times New Roman"/>
          <w:sz w:val="24"/>
        </w:rPr>
        <w:t xml:space="preserve"> представляет собой методически наиболее зрелое из рассмотренных направлений. Инструменты автоматизированной обратной связи органично встраиваются в существующие курсы академического письма, практического перевода и методики обучения письму, не требуя кардинальной перестройки дидактической системы. Педагогическое условие успешности здесь одно. Студент должен работать с ИИ-обратной связью как с инструментом рефлексии, а не как с источником готовых формулировок.</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Расширение устноречевой практики</w:t>
      </w:r>
      <w:r>
        <w:rPr>
          <w:rFonts w:ascii="Times New Roman" w:hAnsi="Times New Roman" w:cs="Times New Roman"/>
          <w:sz w:val="24"/>
        </w:rPr>
        <w:t xml:space="preserve"> с помощью ИИ-чатботов адресует хроническую проблему педагогического вуза, а именно нехватку аудиторного времени на говорение. Чатботы как инструменты внеаудиторной практики могут нарастить объём речевого взаимодействия. Нерешённым при этом остаётся вопрос о качестве. Как показал обзор, существующие системы слабы в части дискурсивной и прагматической обратной связи.</w:t>
      </w:r>
    </w:p>
    <w:p>
      <w:pPr>
        <w:spacing w:before="0" w:after="120"/>
        <w:ind w:firstLine="709"/>
        <w:jc w:val="both"/>
      </w:pPr>
      <w:r>
        <w:rPr>
          <w:rFonts w:ascii="Times New Roman" w:hAnsi="Times New Roman" w:cs="Times New Roman"/>
          <w:sz w:val="24"/>
        </w:rPr>
      </w:r>
      <w:r>
        <w:rPr>
          <w:rFonts w:ascii="Times New Roman" w:hAnsi="Times New Roman" w:cs="Times New Roman"/>
          <w:b/>
          <w:sz w:val="24"/>
        </w:rPr>
        <w:t>Подготовка будущих учителей к профессиональной деятельности в ИИ-среде</w:t>
      </w:r>
      <w:r>
        <w:rPr>
          <w:rFonts w:ascii="Times New Roman" w:hAnsi="Times New Roman" w:cs="Times New Roman"/>
          <w:sz w:val="24"/>
        </w:rPr>
        <w:t xml:space="preserve"> является наиболее специфически «педагогическим» из трёх направлений. Выпускники педагогических вузов будут работать в школах, где ученики уже активно используют ИИ. Критическая ИИ-компетентность будущего учителя представляет собой не опцию, а профессиональную необходимость.</w:t>
      </w:r>
    </w:p>
    <w:p>
      <w:pPr>
        <w:spacing w:before="160" w:after="80"/>
        <w:jc w:val="left"/>
      </w:pPr>
      <w:r>
        <w:rPr>
          <w:rFonts w:ascii="Times New Roman" w:hAnsi="Times New Roman" w:cs="Times New Roman"/>
          <w:b/>
          <w:sz w:val="24"/>
        </w:rPr>
        <w:t>4.3. Педагогические условия адаптации</w:t>
      </w:r>
    </w:p>
    <w:p>
      <w:pPr>
        <w:spacing w:before="0" w:after="120"/>
        <w:ind w:firstLine="709"/>
        <w:jc w:val="both"/>
      </w:pPr>
      <w:r>
        <w:rPr>
          <w:rFonts w:ascii="Times New Roman" w:hAnsi="Times New Roman" w:cs="Times New Roman"/>
          <w:sz w:val="24"/>
        </w:rPr>
        <w:t>Синтез данных обзора позволяет обозначить условия, необходимые для успешной адаптации зарубежного опыта.</w:t>
      </w:r>
    </w:p>
    <w:p>
      <w:pPr>
        <w:spacing w:before="0" w:after="120"/>
        <w:ind w:firstLine="709"/>
        <w:jc w:val="both"/>
      </w:pPr>
      <w:r>
        <w:rPr>
          <w:rFonts w:ascii="Times New Roman" w:hAnsi="Times New Roman" w:cs="Times New Roman"/>
          <w:sz w:val="24"/>
        </w:rPr>
        <w:t>Методическое сопровождение значит больше, чем выбор инструмента. Исследование Sun et al. [43] убедительно показало, что педагогическое мышление преподавателя является более значимой переменной, чем технология как таковая. Стихийное внедрение без методической рамки, как правило, воспроизводит недостатки традиционного обучения в новой технологической оболочке.</w:t>
      </w:r>
    </w:p>
    <w:p>
      <w:pPr>
        <w:spacing w:before="0" w:after="120"/>
        <w:ind w:firstLine="709"/>
        <w:jc w:val="both"/>
      </w:pPr>
      <w:r>
        <w:rPr>
          <w:rFonts w:ascii="Times New Roman" w:hAnsi="Times New Roman" w:cs="Times New Roman"/>
          <w:sz w:val="24"/>
        </w:rPr>
        <w:t>Формирование у студентов рефлексивного отношения к ИИ-результатам представляет собой самостоятельную педагогическую задачу, не решающуюся сама собой. Li et al. [22] и Zhang et al. [17] независимо друг от друга зафиксировали устойчивую тенденцию к некритическому принятию ИИ-генерированного контента, и эту тенденцию нужно специально преодолевать.</w:t>
      </w:r>
    </w:p>
    <w:p>
      <w:pPr>
        <w:spacing w:before="0" w:after="120"/>
        <w:ind w:firstLine="709"/>
        <w:jc w:val="both"/>
      </w:pPr>
      <w:r>
        <w:rPr>
          <w:rFonts w:ascii="Times New Roman" w:hAnsi="Times New Roman" w:cs="Times New Roman"/>
          <w:sz w:val="24"/>
        </w:rPr>
        <w:t>Сохранение коммуникативного ядра обучения означает, что ИИ должен расширять возможности иноязычного взаимодействия, а не вытеснять его. Wang et al. [40] показали, что воспринимаемая поддержка преподавателя остаётся значимым фактором субъективного благополучия студентов даже в высокотехнологичных образовательных средах.</w:t>
      </w:r>
    </w:p>
    <w:p>
      <w:pPr>
        <w:spacing w:before="0" w:after="120"/>
        <w:ind w:firstLine="709"/>
        <w:jc w:val="both"/>
      </w:pPr>
      <w:r>
        <w:rPr>
          <w:rFonts w:ascii="Times New Roman" w:hAnsi="Times New Roman" w:cs="Times New Roman"/>
          <w:sz w:val="24"/>
        </w:rPr>
        <w:t>Институциональная поддержка создаёт необходимую, но недостаточную основу. Чёткая политика вуза в отношении ИИ, программы повышения квалификации преподавателей и соответствующая технологическая инфраструктура задают рамку; но без педагогической культуры рефлексии эта рамка рискует остаться невостребованной.</w:t>
      </w:r>
    </w:p>
    <w:p>
      <w:pPr>
        <w:spacing w:before="0" w:after="120"/>
        <w:ind w:firstLine="709"/>
        <w:jc w:val="both"/>
      </w:pPr>
      <w:r>
        <w:rPr>
          <w:rFonts w:ascii="Times New Roman" w:hAnsi="Times New Roman" w:cs="Times New Roman"/>
          <w:sz w:val="24"/>
        </w:rPr>
        <w:t>Нормативная пропедевтика академической честности применительно к ИИ представляет собой работу, которую необходимо вести с первого курса и которая требует не запретов, а диалога о границах и ответственности.</w:t>
      </w:r>
    </w:p>
    <w:p>
      <w:pPr>
        <w:spacing w:before="160" w:after="80"/>
        <w:jc w:val="left"/>
      </w:pPr>
      <w:r>
        <w:rPr>
          <w:rFonts w:ascii="Times New Roman" w:hAnsi="Times New Roman" w:cs="Times New Roman"/>
          <w:b/>
          <w:sz w:val="24"/>
        </w:rPr>
        <w:t>4.4. Ограничения исследования</w:t>
      </w:r>
    </w:p>
    <w:p>
      <w:pPr>
        <w:spacing w:before="0" w:after="120"/>
        <w:ind w:firstLine="709"/>
        <w:jc w:val="both"/>
      </w:pPr>
      <w:r>
        <w:rPr>
          <w:rFonts w:ascii="Times New Roman" w:hAnsi="Times New Roman" w:cs="Times New Roman"/>
          <w:sz w:val="24"/>
        </w:rPr>
        <w:t>Настоящий обзор сопряжён с рядом ограничений, о которых необходимо сказать прямо.</w:t>
      </w:r>
    </w:p>
    <w:p>
      <w:pPr>
        <w:spacing w:before="0" w:after="120"/>
        <w:ind w:firstLine="709"/>
        <w:jc w:val="both"/>
      </w:pPr>
      <w:r>
        <w:rPr>
          <w:rFonts w:ascii="Times New Roman" w:hAnsi="Times New Roman" w:cs="Times New Roman"/>
          <w:sz w:val="24"/>
        </w:rPr>
        <w:t>Отбор 50 источников из более 180 потенциально релевантных неизбежно содержит элемент субъективности, несмотря на заданные критерии. Без второго независимого рецензента нельзя гарантировать полную воспроизводимость результатов отбора. Все включённые источники публиковались на английском языке, что означает систематическое отсутствие исследований из незападных академических традиций, включая отечественные. Верификация полных текстов всех 50 источников была частичной, что не позволяет гарантировать стопроцентную точность передачи содержания каждой работы. Наконец, стремительность изменений в области генеративного ИИ означает, что часть приводимых данных может устаревать быстрее, чем обычно для педагогических систематических обзоров.</w:t>
      </w:r>
    </w:p>
    <w:p>
      <w:pPr>
        <w:spacing w:before="200" w:after="120"/>
        <w:jc w:val="left"/>
      </w:pPr>
      <w:r>
        <w:rPr>
          <w:rFonts w:ascii="Times New Roman" w:hAnsi="Times New Roman" w:cs="Times New Roman"/>
          <w:b/>
          <w:sz w:val="26"/>
        </w:rPr>
        <w:t>5. Заключение</w:t>
      </w:r>
    </w:p>
    <w:p>
      <w:pPr>
        <w:spacing w:before="0" w:after="120"/>
        <w:ind w:firstLine="709"/>
        <w:jc w:val="both"/>
      </w:pPr>
      <w:r>
        <w:rPr>
          <w:rFonts w:ascii="Times New Roman" w:hAnsi="Times New Roman" w:cs="Times New Roman"/>
          <w:sz w:val="24"/>
        </w:rPr>
        <w:t>Систематический обзор 50 зарубежных источников 2020–2025 годов позволяет сформулировать несколько выводов, выходящих за рамки общего тезиса об «ИИ как полезном инструменте».</w:t>
      </w:r>
    </w:p>
    <w:p>
      <w:pPr>
        <w:spacing w:before="0" w:after="120"/>
        <w:ind w:firstLine="709"/>
        <w:jc w:val="both"/>
      </w:pPr>
      <w:r>
        <w:rPr>
          <w:rFonts w:ascii="Times New Roman" w:hAnsi="Times New Roman" w:cs="Times New Roman"/>
          <w:sz w:val="24"/>
        </w:rPr>
        <w:t>Педагогическая эффективность ИИ в иноязычном образовании определяется не характеристиками самих инструментов, а качеством педагогического контекста, в который они встроены. Ни одно из рассмотренных исследований не подтверждает ни возможности, ни целесообразности замены преподавателя. Напротив, данные последовательно указывают на возрастание требований к педагогическому мастерству по мере того, как технологическая составляющая обучения усложняется.</w:t>
      </w:r>
    </w:p>
    <w:p>
      <w:pPr>
        <w:spacing w:before="0" w:after="120"/>
        <w:ind w:firstLine="709"/>
        <w:jc w:val="both"/>
      </w:pPr>
      <w:r>
        <w:rPr>
          <w:rFonts w:ascii="Times New Roman" w:hAnsi="Times New Roman" w:cs="Times New Roman"/>
          <w:sz w:val="24"/>
        </w:rPr>
        <w:t>Российский педагогический вуз располагает собственным ресурсом для этой работы. Развитая традиция коммуникативно-деятельностной методики и высокий уровень методической рефлексии преподавательского сообщества создают прочную основу. Вопрос в том, будет ли этот ресурс задействован системно, а не стихийно.</w:t>
      </w:r>
    </w:p>
    <w:p>
      <w:pPr>
        <w:spacing w:before="0" w:after="120"/>
        <w:ind w:firstLine="709"/>
        <w:jc w:val="both"/>
      </w:pPr>
      <w:r>
        <w:rPr>
          <w:rFonts w:ascii="Times New Roman" w:hAnsi="Times New Roman" w:cs="Times New Roman"/>
          <w:sz w:val="24"/>
        </w:rPr>
        <w:t>Три направления, обозначенные как приоритетные, объединены общей логикой. Во всех трёх случаях ИИ выступает инструментом расширения возможностей иноязычного образования, а не их замещения.</w:t>
      </w:r>
    </w:p>
    <w:p>
      <w:pPr>
        <w:spacing w:before="0" w:after="120"/>
        <w:ind w:firstLine="709"/>
        <w:jc w:val="both"/>
      </w:pPr>
      <w:r>
        <w:rPr>
          <w:rFonts w:ascii="Times New Roman" w:hAnsi="Times New Roman" w:cs="Times New Roman"/>
          <w:sz w:val="24"/>
        </w:rPr>
        <w:t>Перспективные направления дальнейших исследований связаны прежде всего с апробацией конкретных моделей интеграции ИИ в программы подготовки учителей английского языка в российских педагогических вузах, а также с педагогически ориентированным изучением возможностей отечественных ИИ-сервисов, представляющих собой ресурс, остающийся в значительной мере неисследованным.</w:t>
      </w:r>
    </w:p>
    <w:p>
      <w:pPr>
        <w:spacing w:before="200" w:after="120"/>
        <w:jc w:val="left"/>
      </w:pPr>
      <w:r>
        <w:rPr>
          <w:rFonts w:ascii="Times New Roman" w:hAnsi="Times New Roman" w:cs="Times New Roman"/>
          <w:b/>
          <w:sz w:val="26"/>
        </w:rPr>
        <w:t>Список литературы</w:t>
      </w:r>
    </w:p>
    <w:p>
      <w:pPr>
        <w:spacing w:before="0" w:after="120"/>
        <w:ind w:firstLine="709"/>
        <w:jc w:val="both"/>
      </w:pPr>
      <w:r>
        <w:rPr>
          <w:rFonts w:ascii="Times New Roman" w:hAnsi="Times New Roman" w:cs="Times New Roman"/>
          <w:sz w:val="24"/>
        </w:rPr>
        <w:t>1. Huang X., Zou D., Cheng G., Chen X., Xie H. How does artificial intelligence empower EFL teaching and learning nowadays? A review on artificial intelligence in the EFL context // Frontiers in Psychology. 2022. URL: https://pmc.ncbi.nlm.nih.gov/articles/PMC9709327/ (дата обращения: 22.06.2026).</w:t>
      </w:r>
    </w:p>
    <w:p>
      <w:pPr>
        <w:spacing w:before="0" w:after="120"/>
        <w:ind w:firstLine="709"/>
        <w:jc w:val="both"/>
      </w:pPr>
      <w:r>
        <w:rPr>
          <w:rFonts w:ascii="Times New Roman" w:hAnsi="Times New Roman" w:cs="Times New Roman"/>
          <w:sz w:val="24"/>
        </w:rPr>
        <w:t>2. Aydın Ö., Karaarslan E. Investigating the integration of artificial intelligence in English as foreign language classes for enhancing learners' affective factors: a systematic review // Heliyon. 2024. Vol. 10, No. 9. URL: https://pmc.ncbi.nlm.nih.gov/articles/PMC11109823/ (дата обращения: 22.06.2026).</w:t>
      </w:r>
    </w:p>
    <w:p>
      <w:pPr>
        <w:spacing w:before="0" w:after="120"/>
        <w:ind w:firstLine="709"/>
        <w:jc w:val="both"/>
      </w:pPr>
      <w:r>
        <w:rPr>
          <w:rFonts w:ascii="Times New Roman" w:hAnsi="Times New Roman" w:cs="Times New Roman"/>
          <w:sz w:val="24"/>
        </w:rPr>
        <w:t>3. Jeon J. Artificial intelligence in ESL/EFL education: evidence from recent reviews (2024–2025) // International Journal of Learning, Teaching and Educational Research. 2025. URL: https://ijlter.org/index.php/ijlter/article/view/14625 (дата обращения: 22.06.2026).</w:t>
      </w:r>
    </w:p>
    <w:p>
      <w:pPr>
        <w:spacing w:before="0" w:after="120"/>
        <w:ind w:firstLine="709"/>
        <w:jc w:val="both"/>
      </w:pPr>
      <w:r>
        <w:rPr>
          <w:rFonts w:ascii="Times New Roman" w:hAnsi="Times New Roman" w:cs="Times New Roman"/>
          <w:sz w:val="24"/>
        </w:rPr>
        <w:t>4. AlBlooshi S. Artificial intelligence in higher education, opportunities, and challenges: a review // Frontiers in Education. 2025. DOI: 10.3389/feduc.2025.1683968 (дата обращения: 22.06.2026).</w:t>
      </w:r>
    </w:p>
    <w:p>
      <w:pPr>
        <w:spacing w:before="0" w:after="120"/>
        <w:ind w:firstLine="709"/>
        <w:jc w:val="both"/>
      </w:pPr>
      <w:r>
        <w:rPr>
          <w:rFonts w:ascii="Times New Roman" w:hAnsi="Times New Roman" w:cs="Times New Roman"/>
          <w:sz w:val="24"/>
        </w:rPr>
        <w:t>5. British Council. Artificial intelligence in English language teaching: a systematic review. London: British Council, 2023. URL: https://www.britishcouncil.org/sites/default/files/ai_in_english_language_teaching_systematic_review.pdf (дата обращения: 22.06.2026).</w:t>
      </w:r>
    </w:p>
    <w:p>
      <w:pPr>
        <w:spacing w:before="0" w:after="120"/>
        <w:ind w:firstLine="709"/>
        <w:jc w:val="both"/>
      </w:pPr>
      <w:r>
        <w:rPr>
          <w:rFonts w:ascii="Times New Roman" w:hAnsi="Times New Roman" w:cs="Times New Roman"/>
          <w:sz w:val="24"/>
        </w:rPr>
        <w:t>6. Godwin-Jones R. Artificial intelligence and language learning: affordances and challenges // Language Learning and Technology. 2024. Vol. 28, No. 2. URL: https://godwinjones.com/godwin-jones_ai_llt.pdf (дата обращения: 22.06.2026).</w:t>
      </w:r>
    </w:p>
    <w:p>
      <w:pPr>
        <w:spacing w:before="0" w:after="120"/>
        <w:ind w:firstLine="709"/>
        <w:jc w:val="both"/>
      </w:pPr>
      <w:r>
        <w:rPr>
          <w:rFonts w:ascii="Times New Roman" w:hAnsi="Times New Roman" w:cs="Times New Roman"/>
          <w:sz w:val="24"/>
        </w:rPr>
        <w:t>7. Godwin-Jones R. Emerging spaces for language learning: AI bots, ambient intelligence, and the metaverse // Language Learning and Technology. 2023. Vol. 27, No. 2. P. 6–27.</w:t>
      </w:r>
    </w:p>
    <w:p>
      <w:pPr>
        <w:spacing w:before="0" w:after="120"/>
        <w:ind w:firstLine="709"/>
        <w:jc w:val="both"/>
      </w:pPr>
      <w:r>
        <w:rPr>
          <w:rFonts w:ascii="Times New Roman" w:hAnsi="Times New Roman" w:cs="Times New Roman"/>
          <w:sz w:val="24"/>
        </w:rPr>
        <w:t>8. Godwin-Jones R. Language teacher preparation for an AI world: a human ecological perspective // Language Learning and Technology. 2025. URL: https://godwinjones.com/godwin-jones_language_teacher_prep.pdf (дата обращения: 22.06.2026).</w:t>
      </w:r>
    </w:p>
    <w:p>
      <w:pPr>
        <w:spacing w:before="0" w:after="120"/>
        <w:ind w:firstLine="709"/>
        <w:jc w:val="both"/>
      </w:pPr>
      <w:r>
        <w:rPr>
          <w:rFonts w:ascii="Times New Roman" w:hAnsi="Times New Roman" w:cs="Times New Roman"/>
          <w:sz w:val="24"/>
        </w:rPr>
        <w:t>9. Bui T. et al. Two years of innovation: a systematic review of empirical generative AI research in language learning and teaching // Computers in Human Behavior: Artificial Intelligence. 2025. DOI: 10.1016/j.chbah.2025.100852 (дата обращения: 22.06.2026).</w:t>
      </w:r>
    </w:p>
    <w:p>
      <w:pPr>
        <w:spacing w:before="0" w:after="120"/>
        <w:ind w:firstLine="709"/>
        <w:jc w:val="both"/>
      </w:pPr>
      <w:r>
        <w:rPr>
          <w:rFonts w:ascii="Times New Roman" w:hAnsi="Times New Roman" w:cs="Times New Roman"/>
          <w:sz w:val="24"/>
        </w:rPr>
        <w:t>10. Kostka I., Toncelli R. Exploring applications of ChatGPT to English language teaching: opportunities, challenges, and recommendations // TESL-EJ. 2023. Vol. 27, No. 3. DOI: 10.55593/ej.27107int (дата обращения: 22.06.2026).</w:t>
      </w:r>
    </w:p>
    <w:p>
      <w:pPr>
        <w:spacing w:before="0" w:after="120"/>
        <w:ind w:firstLine="709"/>
        <w:jc w:val="both"/>
      </w:pPr>
      <w:r>
        <w:rPr>
          <w:rFonts w:ascii="Times New Roman" w:hAnsi="Times New Roman" w:cs="Times New Roman"/>
          <w:sz w:val="24"/>
        </w:rPr>
        <w:t>11. Van Horn K. R. ChatGPT in English language learning: exploring perceptions and promoting autonomy in a university EFL context // TESL-EJ. 2024. Vol. 28, No. 1. URL: https://tesl-ej.org/wordpress/issues/volume28/ej109/ej109a8/ (дата обращения: 22.06.2026).</w:t>
      </w:r>
    </w:p>
    <w:p>
      <w:pPr>
        <w:spacing w:before="0" w:after="120"/>
        <w:ind w:firstLine="709"/>
        <w:jc w:val="both"/>
      </w:pPr>
      <w:r>
        <w:rPr>
          <w:rFonts w:ascii="Times New Roman" w:hAnsi="Times New Roman" w:cs="Times New Roman"/>
          <w:sz w:val="24"/>
        </w:rPr>
        <w:t>12. Bekteshi E. et al. Generative AI in English language teaching: students' voices, teachers' reactions, and needs // TESL-EJ. 2025. Vol. 29, No. 3. URL: https://tesl-ej.org/wordpress/issues/volume29/ej115/ej115int3/ (дата обращения: 22.06.2026).</w:t>
      </w:r>
    </w:p>
    <w:p>
      <w:pPr>
        <w:spacing w:before="0" w:after="120"/>
        <w:ind w:firstLine="709"/>
        <w:jc w:val="both"/>
      </w:pPr>
      <w:r>
        <w:rPr>
          <w:rFonts w:ascii="Times New Roman" w:hAnsi="Times New Roman" w:cs="Times New Roman"/>
          <w:sz w:val="24"/>
        </w:rPr>
        <w:t>13. Huang W. et al. An exploratory study of EFL learners' use of ChatGPT for language learning tasks // Languages. 2023. Vol. 8, No. 3. P. 212. DOI: 10.3390/languages8030212 (дата обращения: 22.06.2026).</w:t>
      </w:r>
    </w:p>
    <w:p>
      <w:pPr>
        <w:spacing w:before="0" w:after="120"/>
        <w:ind w:firstLine="709"/>
        <w:jc w:val="both"/>
      </w:pPr>
      <w:r>
        <w:rPr>
          <w:rFonts w:ascii="Times New Roman" w:hAnsi="Times New Roman" w:cs="Times New Roman"/>
          <w:sz w:val="24"/>
        </w:rPr>
        <w:t>14. Xiao Y., Zhi Y. Embracing the disrupted language teaching and learning field: analyzing YouTube content creation related to ChatGPT // Languages. 2023. Vol. 8, No. 3. P. 197. DOI: 10.3390/languages8030197 (дата обращения: 22.06.2026).</w:t>
      </w:r>
    </w:p>
    <w:p>
      <w:pPr>
        <w:spacing w:before="0" w:after="120"/>
        <w:ind w:firstLine="709"/>
        <w:jc w:val="both"/>
      </w:pPr>
      <w:r>
        <w:rPr>
          <w:rFonts w:ascii="Times New Roman" w:hAnsi="Times New Roman" w:cs="Times New Roman"/>
          <w:sz w:val="24"/>
        </w:rPr>
        <w:t>15. Alotaibi N. et al. ChatGPT in ESL higher education: enhancing writing, engagement, and learning outcomes // Information. 2025. Vol. 16, No. 4. P. 316. DOI: 10.3390/info16040316 (дата обращения: 22.06.2026).</w:t>
      </w:r>
    </w:p>
    <w:p>
      <w:pPr>
        <w:spacing w:before="0" w:after="120"/>
        <w:ind w:firstLine="709"/>
        <w:jc w:val="both"/>
      </w:pPr>
      <w:r>
        <w:rPr>
          <w:rFonts w:ascii="Times New Roman" w:hAnsi="Times New Roman" w:cs="Times New Roman"/>
          <w:sz w:val="24"/>
        </w:rPr>
        <w:t>16. Sallam M. et al. Higher education students' perceptions of ChatGPT: a global study of early reactions. 2025. URL: https://pmc.ncbi.nlm.nih.gov/articles/PMC11798494/ (дата обращения: 22.06.2026).</w:t>
      </w:r>
    </w:p>
    <w:p>
      <w:pPr>
        <w:spacing w:before="0" w:after="120"/>
        <w:ind w:firstLine="709"/>
        <w:jc w:val="both"/>
      </w:pPr>
      <w:r>
        <w:rPr>
          <w:rFonts w:ascii="Times New Roman" w:hAnsi="Times New Roman" w:cs="Times New Roman"/>
          <w:sz w:val="24"/>
        </w:rPr>
        <w:t>17. Zhang Y. et al. Perceptions vs. practices: academic integrity and actual ChatGPT use among EFL students. 2025. URL: https://pmc.ncbi.nlm.nih.gov/articles/PMC13044046/ (дата обращения: 22.06.2026).</w:t>
      </w:r>
    </w:p>
    <w:p>
      <w:pPr>
        <w:spacing w:before="0" w:after="120"/>
        <w:ind w:firstLine="709"/>
        <w:jc w:val="both"/>
      </w:pPr>
      <w:r>
        <w:rPr>
          <w:rFonts w:ascii="Times New Roman" w:hAnsi="Times New Roman" w:cs="Times New Roman"/>
          <w:sz w:val="24"/>
        </w:rPr>
        <w:t>18. Kohnke L. et al. Potentials and implications of ChatGPT for ESL writing instruction // The International Review of Research in Open and Distributed Learning. 2023. URL: https://www.irrodl.org/index.php/irrodl/article/view/7820 (дата обращения: 22.06.2026).</w:t>
      </w:r>
    </w:p>
    <w:p>
      <w:pPr>
        <w:spacing w:before="0" w:after="120"/>
        <w:ind w:firstLine="709"/>
        <w:jc w:val="both"/>
      </w:pPr>
      <w:r>
        <w:rPr>
          <w:rFonts w:ascii="Times New Roman" w:hAnsi="Times New Roman" w:cs="Times New Roman"/>
          <w:sz w:val="24"/>
        </w:rPr>
        <w:t>19. Chen Y. et al. How to align large language models for teaching English? Designing an LLM-based chatbot for EFL conversation. arXiv: 2409.04987. 2024. URL: https://arxiv.org/pdf/2409.04987 (дата обращения: 22.06.2026).</w:t>
      </w:r>
    </w:p>
    <w:p>
      <w:pPr>
        <w:spacing w:before="0" w:after="120"/>
        <w:ind w:firstLine="709"/>
        <w:jc w:val="both"/>
      </w:pPr>
      <w:r>
        <w:rPr>
          <w:rFonts w:ascii="Times New Roman" w:hAnsi="Times New Roman" w:cs="Times New Roman"/>
          <w:sz w:val="24"/>
        </w:rPr>
        <w:t>20. Liu M. et al. From process to product: writing engagement and performance of EFL learners under computer-generated feedback instruction // Frontiers in Psychology. 2023. URL: https://pmc.ncbi.nlm.nih.gov/articles/PMC10701688/ (дата обращения: 22.06.2026).</w:t>
      </w:r>
    </w:p>
    <w:p>
      <w:pPr>
        <w:spacing w:before="0" w:after="120"/>
        <w:ind w:firstLine="709"/>
        <w:jc w:val="both"/>
      </w:pPr>
      <w:r>
        <w:rPr>
          <w:rFonts w:ascii="Times New Roman" w:hAnsi="Times New Roman" w:cs="Times New Roman"/>
          <w:sz w:val="24"/>
        </w:rPr>
        <w:t>21. Wang Q. et al. Enhancing EFL writing revision practices: the impact of AI- and teacher-generated feedback // Education Sciences. 2025. Vol. 15, No. 2. P. 232. DOI: 10.3390/educsci15020232 (дата обращения: 22.06.2026).</w:t>
      </w:r>
    </w:p>
    <w:p>
      <w:pPr>
        <w:spacing w:before="0" w:after="120"/>
        <w:ind w:firstLine="709"/>
        <w:jc w:val="both"/>
      </w:pPr>
      <w:r>
        <w:rPr>
          <w:rFonts w:ascii="Times New Roman" w:hAnsi="Times New Roman" w:cs="Times New Roman"/>
          <w:sz w:val="24"/>
        </w:rPr>
        <w:t>22. Li X. et al. A qualitative approach to EFL postgraduates' GenAI-assisted research writing // Education Sciences. 2025. Vol. 15, No. 11. P. 1521. DOI: 10.3390/educsci15111521 (дата обращения: 22.06.2026).</w:t>
      </w:r>
    </w:p>
    <w:p>
      <w:pPr>
        <w:spacing w:before="0" w:after="120"/>
        <w:ind w:firstLine="709"/>
        <w:jc w:val="both"/>
      </w:pPr>
      <w:r>
        <w:rPr>
          <w:rFonts w:ascii="Times New Roman" w:hAnsi="Times New Roman" w:cs="Times New Roman"/>
          <w:sz w:val="24"/>
        </w:rPr>
        <w:t>23. Xu Z. et al. Writing accuracy: how AI-assisted writing instruction supports EFL undergraduates // Information. 2025. Vol. 17, No. 2. P. 157. DOI: 10.3390/info17020157 (дата обращения: 22.06.2026).</w:t>
      </w:r>
    </w:p>
    <w:p>
      <w:pPr>
        <w:spacing w:before="0" w:after="120"/>
        <w:ind w:firstLine="709"/>
        <w:jc w:val="both"/>
      </w:pPr>
      <w:r>
        <w:rPr>
          <w:rFonts w:ascii="Times New Roman" w:hAnsi="Times New Roman" w:cs="Times New Roman"/>
          <w:sz w:val="24"/>
        </w:rPr>
        <w:t>24. Guo Y. et al. Exploring the effectiveness of ChatGPT-based feedback compared with teacher feedback. arXiv: 2309.01645. 2023. URL: https://arxiv.org/pdf/2309.01645 (дата обращения: 22.06.2026).</w:t>
      </w:r>
    </w:p>
    <w:p>
      <w:pPr>
        <w:spacing w:before="0" w:after="120"/>
        <w:ind w:firstLine="709"/>
        <w:jc w:val="both"/>
      </w:pPr>
      <w:r>
        <w:rPr>
          <w:rFonts w:ascii="Times New Roman" w:hAnsi="Times New Roman" w:cs="Times New Roman"/>
          <w:sz w:val="24"/>
        </w:rPr>
        <w:t>25. Zhang R. et al. Harnessing LLMs for multi-dimensional writing assessment // Heliyon. 2024. URL: https://pmc.ncbi.nlm.nih.gov/articles/PMC11305227/ (дата обращения: 22.06.2026).</w:t>
      </w:r>
    </w:p>
    <w:p>
      <w:pPr>
        <w:spacing w:before="0" w:after="120"/>
        <w:ind w:firstLine="709"/>
        <w:jc w:val="both"/>
      </w:pPr>
      <w:r>
        <w:rPr>
          <w:rFonts w:ascii="Times New Roman" w:hAnsi="Times New Roman" w:cs="Times New Roman"/>
          <w:sz w:val="24"/>
        </w:rPr>
        <w:t>26. Okonkwo C. et al. The active learning and GenAI synergy framework: ethical integration of generative AI in EFL/ESL writing. 2025. URL: https://pmc.ncbi.nlm.nih.gov/articles/PMC12961280/ (дата обращения: 22.06.2026).</w:t>
      </w:r>
    </w:p>
    <w:p>
      <w:pPr>
        <w:spacing w:before="0" w:after="120"/>
        <w:ind w:firstLine="709"/>
        <w:jc w:val="both"/>
      </w:pPr>
      <w:r>
        <w:rPr>
          <w:rFonts w:ascii="Times New Roman" w:hAnsi="Times New Roman" w:cs="Times New Roman"/>
          <w:sz w:val="24"/>
        </w:rPr>
        <w:t>27. Chen L. et al. CHOP: integrating ChatGPT into EFL oral presentation practice. arXiv: 2407.07393. 2024. URL: https://arxiv.org/pdf/2407.07393 (дата обращения: 22.06.2026).</w:t>
      </w:r>
    </w:p>
    <w:p>
      <w:pPr>
        <w:spacing w:before="0" w:after="120"/>
        <w:ind w:firstLine="709"/>
        <w:jc w:val="both"/>
      </w:pPr>
      <w:r>
        <w:rPr>
          <w:rFonts w:ascii="Times New Roman" w:hAnsi="Times New Roman" w:cs="Times New Roman"/>
          <w:sz w:val="24"/>
        </w:rPr>
        <w:t>28. Du J., Daniel B. K. Transforming language education: a systematic review of AI-powered chatbots for EFL speaking practice // Computers and Education: Artificial Intelligence. 2024. Vol. 6. P. 100230. DOI: 10.1016/j.caeai.2024.100230 (дата обращения: 22.06.2026).</w:t>
      </w:r>
    </w:p>
    <w:p>
      <w:pPr>
        <w:spacing w:before="0" w:after="120"/>
        <w:ind w:firstLine="709"/>
        <w:jc w:val="both"/>
      </w:pPr>
      <w:r>
        <w:rPr>
          <w:rFonts w:ascii="Times New Roman" w:hAnsi="Times New Roman" w:cs="Times New Roman"/>
          <w:sz w:val="24"/>
        </w:rPr>
        <w:t>29. Yang J. et al. Investigating the role of AI-powered conversation bots in enhancing L2 speaking skills // Humanities and Social Sciences Communications. 2025. Vol. 12. DOI: 10.1057/s41599-025-05550-z (дата обращения: 22.06.2026).</w:t>
      </w:r>
    </w:p>
    <w:p>
      <w:pPr>
        <w:spacing w:before="0" w:after="120"/>
        <w:ind w:firstLine="709"/>
        <w:jc w:val="both"/>
      </w:pPr>
      <w:r>
        <w:rPr>
          <w:rFonts w:ascii="Times New Roman" w:hAnsi="Times New Roman" w:cs="Times New Roman"/>
          <w:sz w:val="24"/>
        </w:rPr>
        <w:t>30. Li H. et al. Reducing anxiety and enhancing performance: AI chatbots vs. human facilitation in EFL speaking // Frontiers in Psychology. 2025. DOI: 10.3389/fpsyg.2025.1745942 (дата обращения: 22.06.2026).</w:t>
      </w:r>
    </w:p>
    <w:p>
      <w:pPr>
        <w:spacing w:before="0" w:after="120"/>
        <w:ind w:firstLine="709"/>
        <w:jc w:val="both"/>
      </w:pPr>
      <w:r>
        <w:rPr>
          <w:rFonts w:ascii="Times New Roman" w:hAnsi="Times New Roman" w:cs="Times New Roman"/>
          <w:sz w:val="24"/>
        </w:rPr>
        <w:t>31. Wang X. et al. AI-driven chatbots in second language education: a systematic review // Computers and Education: Artificial Intelligence. 2025. DOI: 10.1016/j.caeai.2025.100086 (дата обращения: 22.06.2026).</w:t>
      </w:r>
    </w:p>
    <w:p>
      <w:pPr>
        <w:spacing w:before="0" w:after="120"/>
        <w:ind w:firstLine="709"/>
        <w:jc w:val="both"/>
      </w:pPr>
      <w:r>
        <w:rPr>
          <w:rFonts w:ascii="Times New Roman" w:hAnsi="Times New Roman" w:cs="Times New Roman"/>
          <w:sz w:val="24"/>
        </w:rPr>
        <w:t>32. Xu H. et al. Artificial intelligence in language learning: biometric feedback and adaptive reading // Humanities and Social Sciences Communications. 2025. DOI: 10.1057/s41599-025-04878-w (дата обращения: 22.06.2026).</w:t>
      </w:r>
    </w:p>
    <w:p>
      <w:pPr>
        <w:spacing w:before="0" w:after="120"/>
        <w:ind w:firstLine="709"/>
        <w:jc w:val="both"/>
      </w:pPr>
      <w:r>
        <w:rPr>
          <w:rFonts w:ascii="Times New Roman" w:hAnsi="Times New Roman" w:cs="Times New Roman"/>
          <w:sz w:val="24"/>
        </w:rPr>
        <w:t>33. Zhou A. et al. The impact of chatbots based on large language models on second language vocabulary acquisition // Heliyon. 2024. URL: https://pmc.ncbi.nlm.nih.gov/articles/PMC10850600/ (дата обращения: 22.06.2026).</w:t>
      </w:r>
    </w:p>
    <w:p>
      <w:pPr>
        <w:spacing w:before="0" w:after="120"/>
        <w:ind w:firstLine="709"/>
        <w:jc w:val="both"/>
      </w:pPr>
      <w:r>
        <w:rPr>
          <w:rFonts w:ascii="Times New Roman" w:hAnsi="Times New Roman" w:cs="Times New Roman"/>
          <w:sz w:val="24"/>
        </w:rPr>
        <w:t>34. Huang J. et al. Artificial intelligence in language instruction: impact on achievement, L2 motivation, and self-regulated learning // Frontiers in Psychology. 2023. URL: https://pmc.ncbi.nlm.nih.gov/articles/PMC10658009/ (дата обращения: 22.06.2026).</w:t>
      </w:r>
    </w:p>
    <w:p>
      <w:pPr>
        <w:spacing w:before="0" w:after="120"/>
        <w:ind w:firstLine="709"/>
        <w:jc w:val="both"/>
      </w:pPr>
      <w:r>
        <w:rPr>
          <w:rFonts w:ascii="Times New Roman" w:hAnsi="Times New Roman" w:cs="Times New Roman"/>
          <w:sz w:val="24"/>
        </w:rPr>
        <w:t>35. Lin C. et al. AI-empowered applications effects on EFL learners' engagement and academic procrastination. 2024. URL: https://pmc.ncbi.nlm.nih.gov/articles/PMC11656581/ (дата обращения: 22.06.2026).</w:t>
      </w:r>
    </w:p>
    <w:p>
      <w:pPr>
        <w:spacing w:before="0" w:after="120"/>
        <w:ind w:firstLine="709"/>
        <w:jc w:val="both"/>
      </w:pPr>
      <w:r>
        <w:rPr>
          <w:rFonts w:ascii="Times New Roman" w:hAnsi="Times New Roman" w:cs="Times New Roman"/>
          <w:sz w:val="24"/>
        </w:rPr>
        <w:t>36. Wei X. et al. From literacy to learning: sequential mediation of attitudes and enjoyment in AI-assisted EFL education. 2024. URL: https://pmc.ncbi.nlm.nih.gov/articles/PMC11402731/ (дата обращения: 22.06.2026).</w:t>
      </w:r>
    </w:p>
    <w:p>
      <w:pPr>
        <w:spacing w:before="0" w:after="120"/>
        <w:ind w:firstLine="709"/>
        <w:jc w:val="both"/>
      </w:pPr>
      <w:r>
        <w:rPr>
          <w:rFonts w:ascii="Times New Roman" w:hAnsi="Times New Roman" w:cs="Times New Roman"/>
          <w:sz w:val="24"/>
        </w:rPr>
        <w:t>37. Chen S. et al. Beyond tool use: how ecological coupling configures AI's empowerment for language learning. 2025. URL: https://pmc.ncbi.nlm.nih.gov/articles/PMC12872916/ (дата обращения: 22.06.2026).</w:t>
      </w:r>
    </w:p>
    <w:p>
      <w:pPr>
        <w:spacing w:before="0" w:after="120"/>
        <w:ind w:firstLine="709"/>
        <w:jc w:val="both"/>
      </w:pPr>
      <w:r>
        <w:rPr>
          <w:rFonts w:ascii="Times New Roman" w:hAnsi="Times New Roman" w:cs="Times New Roman"/>
          <w:sz w:val="24"/>
        </w:rPr>
        <w:t>38. Liu J. et al. The human touch in AI: self-determination theory and teacher scaffolding. 2025. URL: https://pmc.ncbi.nlm.nih.gov/articles/PMC12268064/ (дата обращения: 22.06.2026).</w:t>
      </w:r>
    </w:p>
    <w:p>
      <w:pPr>
        <w:spacing w:before="0" w:after="120"/>
        <w:ind w:firstLine="709"/>
        <w:jc w:val="both"/>
      </w:pPr>
      <w:r>
        <w:rPr>
          <w:rFonts w:ascii="Times New Roman" w:hAnsi="Times New Roman" w:cs="Times New Roman"/>
          <w:sz w:val="24"/>
        </w:rPr>
        <w:t>39. Huang Y., Chen H., Hu C. L2 growth mindset in AI-mediated language learning: effects of perceived usability and presence of generative AI chatbots // Frontiers in Psychology. 2025. URL: https://pmc.ncbi.nlm.nih.gov/articles/PMC12634586/ (дата обращения: 22.06.2026).</w:t>
      </w:r>
    </w:p>
    <w:p>
      <w:pPr>
        <w:spacing w:before="0" w:after="120"/>
        <w:ind w:firstLine="709"/>
        <w:jc w:val="both"/>
      </w:pPr>
      <w:r>
        <w:rPr>
          <w:rFonts w:ascii="Times New Roman" w:hAnsi="Times New Roman" w:cs="Times New Roman"/>
          <w:sz w:val="24"/>
        </w:rPr>
        <w:t>40. Wang Y. et al. Effects of perceived teacher support on learner well-being in AI-integrated environment. 2025. URL: https://pmc.ncbi.nlm.nih.gov/articles/PMC12481513/ (дата обращения: 22.06.2026).</w:t>
      </w:r>
    </w:p>
    <w:p>
      <w:pPr>
        <w:spacing w:before="0" w:after="120"/>
        <w:ind w:firstLine="709"/>
        <w:jc w:val="both"/>
      </w:pPr>
      <w:r>
        <w:rPr>
          <w:rFonts w:ascii="Times New Roman" w:hAnsi="Times New Roman" w:cs="Times New Roman"/>
          <w:sz w:val="24"/>
        </w:rPr>
        <w:t>41. Chen H. et al. Empowering EFL teachers' perceptions of generative AI-mediated self-professionalism. 2025. URL: https://pmc.ncbi.nlm.nih.gov/articles/PMC12185028/ (дата обращения: 22.06.2026).</w:t>
      </w:r>
    </w:p>
    <w:p>
      <w:pPr>
        <w:spacing w:before="0" w:after="120"/>
        <w:ind w:firstLine="709"/>
        <w:jc w:val="both"/>
      </w:pPr>
      <w:r>
        <w:rPr>
          <w:rFonts w:ascii="Times New Roman" w:hAnsi="Times New Roman" w:cs="Times New Roman"/>
          <w:sz w:val="24"/>
        </w:rPr>
        <w:t>42. Zhao L. et al. AI powered ELT: instructors' transformative roles and opportunities. 2025. URL: https://pmc.ncbi.nlm.nih.gov/articles/PMC12121750/ (дата обращения: 22.06.2026).</w:t>
      </w:r>
    </w:p>
    <w:p>
      <w:pPr>
        <w:spacing w:before="0" w:after="120"/>
        <w:ind w:firstLine="709"/>
        <w:jc w:val="both"/>
      </w:pPr>
      <w:r>
        <w:rPr>
          <w:rFonts w:ascii="Times New Roman" w:hAnsi="Times New Roman" w:cs="Times New Roman"/>
          <w:sz w:val="24"/>
        </w:rPr>
        <w:t>43. Sun Z. et al. Teacher cognition and practices in using generative AI in EFL higher education. 2025. URL: https://pmc.ncbi.nlm.nih.gov/articles/PMC12466831/ (дата обращения: 22.06.2026).</w:t>
      </w:r>
    </w:p>
    <w:p>
      <w:pPr>
        <w:spacing w:before="0" w:after="120"/>
        <w:ind w:firstLine="709"/>
        <w:jc w:val="both"/>
      </w:pPr>
      <w:r>
        <w:rPr>
          <w:rFonts w:ascii="Times New Roman" w:hAnsi="Times New Roman" w:cs="Times New Roman"/>
          <w:sz w:val="24"/>
        </w:rPr>
        <w:t>44. García-Díaz J. A. et al. Learning English with AI for prospective teachers: a systematic review // Frontiers in Education. 2024. DOI: 10.3389/feduc.2024.1490067 (дата обращения: 22.06.2026).</w:t>
      </w:r>
    </w:p>
    <w:p>
      <w:pPr>
        <w:spacing w:before="0" w:after="120"/>
        <w:ind w:firstLine="709"/>
        <w:jc w:val="both"/>
      </w:pPr>
      <w:r>
        <w:rPr>
          <w:rFonts w:ascii="Times New Roman" w:hAnsi="Times New Roman" w:cs="Times New Roman"/>
          <w:sz w:val="24"/>
        </w:rPr>
        <w:t>45. Li X. et al. The efficacy of AI-powered scaffolding in EFL acquisition in tertiary education. 2025. URL: https://pmc.ncbi.nlm.nih.gov/articles/PMC12836060/ (дата обращения: 22.06.2026).</w:t>
      </w:r>
    </w:p>
    <w:p>
      <w:pPr>
        <w:spacing w:before="0" w:after="120"/>
        <w:ind w:firstLine="709"/>
        <w:jc w:val="both"/>
      </w:pPr>
      <w:r>
        <w:rPr>
          <w:rFonts w:ascii="Times New Roman" w:hAnsi="Times New Roman" w:cs="Times New Roman"/>
          <w:sz w:val="24"/>
        </w:rPr>
        <w:t>46. Pham T. et al. Ethical use of ChatGPT in education: best practices to combat AI-induced plagiarism // Frontiers in Education. 2024. DOI: 10.3389/feduc.2024.1465703 (дата обращения: 22.06.2026).</w:t>
      </w:r>
    </w:p>
    <w:p>
      <w:pPr>
        <w:spacing w:before="0" w:after="120"/>
        <w:ind w:firstLine="709"/>
        <w:jc w:val="both"/>
      </w:pPr>
      <w:r>
        <w:rPr>
          <w:rFonts w:ascii="Times New Roman" w:hAnsi="Times New Roman" w:cs="Times New Roman"/>
          <w:sz w:val="24"/>
        </w:rPr>
        <w:t>47. Bekteshi E. Generative AI in language education: bridging the divide // ERIC. 2023. URL: https://files.eric.ed.gov/fulltext/EJ1472502.pdf (дата обращения: 22.06.2026).</w:t>
      </w:r>
    </w:p>
    <w:p>
      <w:pPr>
        <w:spacing w:before="0" w:after="120"/>
        <w:ind w:firstLine="709"/>
        <w:jc w:val="both"/>
      </w:pPr>
      <w:r>
        <w:rPr>
          <w:rFonts w:ascii="Times New Roman" w:hAnsi="Times New Roman" w:cs="Times New Roman"/>
          <w:sz w:val="24"/>
        </w:rPr>
        <w:t>48. Kohnke L. et al. Generative AI in English language teaching // ERIC. 2023. URL: https://files.eric.ed.gov/fulltext/EJ1488670.pdf (дата обращения: 22.06.2026).</w:t>
      </w:r>
    </w:p>
    <w:p>
      <w:pPr>
        <w:spacing w:before="0" w:after="120"/>
        <w:ind w:firstLine="709"/>
        <w:jc w:val="both"/>
      </w:pPr>
      <w:r>
        <w:rPr>
          <w:rFonts w:ascii="Times New Roman" w:hAnsi="Times New Roman" w:cs="Times New Roman"/>
          <w:sz w:val="24"/>
        </w:rPr>
        <w:t>49. Xiao F. et al. Exploring the landscape of generative AI (ChatGPT)-powered writing instruction in EFL education: a scoping review // RELC Journal. 2025. DOI: 10.1177/20965311241310881 (дата обращения: 22.06.2026).</w:t>
      </w:r>
    </w:p>
    <w:p>
      <w:pPr>
        <w:spacing w:before="0" w:after="120"/>
        <w:ind w:firstLine="709"/>
        <w:jc w:val="both"/>
      </w:pPr>
      <w:r>
        <w:rPr>
          <w:rFonts w:ascii="Times New Roman" w:hAnsi="Times New Roman" w:cs="Times New Roman"/>
          <w:sz w:val="24"/>
        </w:rPr>
        <w:t>50. García-Díaz J. A. et al. Artificial intelligence in language learning: a twenty-year scoping review // Innovation in Language Learning and Teaching. 2024. DOI: 10.1080/29984475.2026.2647961 (дата обращения: 22.06.2026).</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