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spacing w:lineRule="auto" w:line="360" w:before="0" w:after="0"/>
        <w:ind w:firstLine="709" w:left="0"/>
        <w:contextualSpacing/>
        <w:jc w:val="center"/>
        <w:rPr>
          <w:rFonts w:ascii="Arial" w:hAnsi="Arial" w:cs="Arial"/>
          <w:b/>
          <w:sz w:val="72"/>
          <w:szCs w:val="72"/>
        </w:rPr>
      </w:pPr>
      <w:r>
        <w:rPr>
          <w:rFonts w:cs="Arial" w:ascii="Arial" w:hAnsi="Arial"/>
          <w:b/>
          <w:sz w:val="72"/>
          <w:szCs w:val="72"/>
        </w:rPr>
        <w:t>Investimentos Públicos Urbanos: Transparência e Previsão</w:t>
      </w:r>
    </w:p>
    <w:p>
      <w:pPr>
        <w:pStyle w:val="Title"/>
        <w:spacing w:lineRule="auto" w:line="360"/>
        <w:ind w:firstLine="709"/>
        <w:jc w:val="center"/>
        <w:rPr>
          <w:rFonts w:ascii="Arial" w:hAnsi="Arial" w:cs="Arial"/>
          <w:b/>
          <w:bCs/>
          <w:color w:themeColor="text1" w:val="000000"/>
          <w:sz w:val="48"/>
          <w:szCs w:val="48"/>
        </w:rPr>
      </w:pPr>
      <w:r>
        <w:rPr>
          <w:rFonts w:cs="Arial" w:ascii="Arial" w:hAnsi="Arial"/>
          <w:b/>
          <w:bCs/>
          <w:color w:themeColor="text1" w:val="000000"/>
          <w:sz w:val="48"/>
          <w:szCs w:val="48"/>
        </w:rPr>
      </w:r>
    </w:p>
    <w:p>
      <w:pPr>
        <w:pStyle w:val="Normal"/>
        <w:spacing w:lineRule="auto" w:line="360" w:before="0" w:after="0"/>
        <w:ind w:firstLine="709"/>
        <w:jc w:val="both"/>
        <w:rPr>
          <w:rFonts w:ascii="Arial" w:hAnsi="Arial" w:cs="Arial"/>
          <w:b/>
          <w:bCs/>
        </w:rPr>
      </w:pPr>
      <w:r>
        <w:rPr>
          <w:rFonts w:cs="Arial" w:ascii="Arial" w:hAnsi="Arial"/>
          <w:b/>
          <w:bCs/>
        </w:rPr>
      </w:r>
    </w:p>
    <w:p>
      <w:pPr>
        <w:pStyle w:val="Normal"/>
        <w:spacing w:lineRule="auto" w:line="360" w:before="0" w:after="0"/>
        <w:ind w:firstLine="709"/>
        <w:jc w:val="center"/>
        <w:rPr>
          <w:rFonts w:ascii="Arial" w:hAnsi="Arial"/>
        </w:rPr>
      </w:pPr>
      <w:r>
        <w:rPr>
          <w:rFonts w:cs="Arial" w:ascii="Arial" w:hAnsi="Arial"/>
          <w:b/>
          <w:bCs/>
          <w:sz w:val="24"/>
          <w:szCs w:val="24"/>
        </w:rPr>
        <w:t>Integrantes:</w:t>
      </w:r>
    </w:p>
    <w:p>
      <w:pPr>
        <w:pStyle w:val="Normal"/>
        <w:spacing w:lineRule="auto" w:line="360" w:before="0" w:after="0"/>
        <w:ind w:firstLine="709"/>
        <w:jc w:val="center"/>
        <w:rPr>
          <w:rFonts w:ascii="Arial" w:hAnsi="Arial"/>
        </w:rPr>
      </w:pPr>
      <w:r>
        <w:rPr>
          <w:rFonts w:cs="Arial" w:ascii="Arial" w:hAnsi="Arial"/>
          <w:b/>
          <w:bCs/>
          <w:sz w:val="24"/>
          <w:szCs w:val="24"/>
        </w:rPr>
        <w:t>Bruno Zovaro Nascimento - 10424880</w:t>
      </w:r>
    </w:p>
    <w:p>
      <w:pPr>
        <w:pStyle w:val="Normal"/>
        <w:spacing w:lineRule="auto" w:line="360" w:before="0" w:after="0"/>
        <w:ind w:firstLine="709"/>
        <w:jc w:val="center"/>
        <w:rPr>
          <w:rFonts w:ascii="Arial" w:hAnsi="Arial"/>
        </w:rPr>
      </w:pPr>
      <w:r>
        <w:rPr>
          <w:rFonts w:cs="Arial" w:ascii="Arial" w:hAnsi="Arial"/>
          <w:b/>
          <w:bCs/>
          <w:sz w:val="24"/>
          <w:szCs w:val="24"/>
        </w:rPr>
        <w:t>Douglas Novaes Dias – 10423666</w:t>
      </w:r>
    </w:p>
    <w:p>
      <w:pPr>
        <w:pStyle w:val="Normal"/>
        <w:spacing w:lineRule="auto" w:line="360" w:before="0" w:after="0"/>
        <w:ind w:firstLine="709"/>
        <w:jc w:val="center"/>
        <w:rPr>
          <w:rFonts w:ascii="Arial" w:hAnsi="Arial"/>
        </w:rPr>
      </w:pPr>
      <w:r>
        <w:rPr>
          <w:rFonts w:cs="Arial" w:ascii="Arial" w:hAnsi="Arial"/>
          <w:b/>
          <w:bCs/>
          <w:sz w:val="24"/>
          <w:szCs w:val="24"/>
        </w:rPr>
        <w:t>Milan Mirco Moraes Mazur – 10363757</w:t>
      </w:r>
    </w:p>
    <w:p>
      <w:pPr>
        <w:pStyle w:val="Normal"/>
        <w:spacing w:lineRule="auto" w:line="360" w:before="0" w:after="0"/>
        <w:ind w:firstLine="709"/>
        <w:jc w:val="center"/>
        <w:rPr>
          <w:rFonts w:ascii="Arial" w:hAnsi="Arial"/>
        </w:rPr>
      </w:pPr>
      <w:r>
        <w:rPr>
          <w:rFonts w:cs="Arial" w:ascii="Arial" w:hAnsi="Arial"/>
          <w:b/>
          <w:bCs/>
          <w:sz w:val="24"/>
          <w:szCs w:val="24"/>
        </w:rPr>
        <w:t>Paulo Cesar Masson Junior - 10416023</w:t>
      </w:r>
    </w:p>
    <w:p>
      <w:pPr>
        <w:pStyle w:val="Normal"/>
        <w:tabs>
          <w:tab w:val="clear" w:pos="708"/>
          <w:tab w:val="center" w:pos="4890" w:leader="none"/>
          <w:tab w:val="left" w:pos="7815" w:leader="none"/>
        </w:tabs>
        <w:spacing w:lineRule="auto" w:line="360" w:before="0" w:after="0"/>
        <w:ind w:left="709"/>
        <w:jc w:val="both"/>
        <w:rPr>
          <w:rFonts w:ascii="Arial" w:hAnsi="Arial" w:cs="Arial"/>
        </w:rPr>
      </w:pPr>
      <w:r>
        <w:rPr>
          <w:rFonts w:cs="Arial" w:ascii="Arial" w:hAnsi="Arial"/>
        </w:rPr>
      </w:r>
    </w:p>
    <w:p>
      <w:pPr>
        <w:pStyle w:val="Normal"/>
        <w:tabs>
          <w:tab w:val="clear" w:pos="708"/>
          <w:tab w:val="center" w:pos="4890" w:leader="none"/>
          <w:tab w:val="left" w:pos="7815" w:leader="none"/>
        </w:tabs>
        <w:spacing w:lineRule="auto" w:line="360" w:before="0" w:after="0"/>
        <w:ind w:left="709"/>
        <w:jc w:val="both"/>
        <w:rPr>
          <w:rFonts w:ascii="Arial" w:hAnsi="Arial" w:cs="Arial"/>
        </w:rPr>
      </w:pPr>
      <w:r>
        <w:rPr>
          <w:rFonts w:cs="Arial" w:ascii="Arial" w:hAnsi="Arial"/>
        </w:rPr>
      </w:r>
    </w:p>
    <w:p>
      <w:pPr>
        <w:pStyle w:val="Normal"/>
        <w:tabs>
          <w:tab w:val="clear" w:pos="708"/>
          <w:tab w:val="center" w:pos="4890" w:leader="none"/>
          <w:tab w:val="left" w:pos="7815" w:leader="none"/>
        </w:tabs>
        <w:spacing w:lineRule="auto" w:line="360" w:before="0" w:after="0"/>
        <w:ind w:left="709"/>
        <w:jc w:val="both"/>
        <w:rPr>
          <w:rFonts w:ascii="Arial" w:hAnsi="Arial" w:cs="Arial"/>
        </w:rPr>
      </w:pPr>
      <w:r>
        <w:rPr>
          <w:rFonts w:cs="Arial" w:ascii="Arial" w:hAnsi="Arial"/>
        </w:rPr>
      </w:r>
    </w:p>
    <w:p>
      <w:pPr>
        <w:pStyle w:val="Title"/>
        <w:spacing w:lineRule="auto" w:line="360"/>
        <w:ind w:firstLine="709"/>
        <w:jc w:val="center"/>
        <w:rPr>
          <w:rFonts w:ascii="Arial" w:hAnsi="Arial"/>
        </w:rPr>
      </w:pPr>
      <w:r>
        <w:rPr>
          <w:rFonts w:ascii="Arial" w:hAnsi="Arial"/>
          <w:b/>
          <w:bCs/>
          <w:color w:themeColor="text1" w:val="000000"/>
          <w:sz w:val="48"/>
          <w:szCs w:val="48"/>
        </w:rPr>
        <w:t>Universidade Presbiteriana Mackenzie</w:t>
      </w:r>
    </w:p>
    <w:p>
      <w:pPr>
        <w:pStyle w:val="Normal"/>
        <w:tabs>
          <w:tab w:val="clear" w:pos="708"/>
          <w:tab w:val="center" w:pos="4890" w:leader="none"/>
          <w:tab w:val="left" w:pos="7815" w:leader="none"/>
        </w:tabs>
        <w:spacing w:lineRule="auto" w:line="360" w:before="0" w:after="0"/>
        <w:ind w:left="709"/>
        <w:jc w:val="both"/>
        <w:rPr>
          <w:rFonts w:ascii="Arial" w:hAnsi="Arial" w:cs="Arial"/>
        </w:rPr>
      </w:pPr>
      <w:r>
        <w:rPr>
          <w:rFonts w:cs="Arial" w:ascii="Arial" w:hAnsi="Arial"/>
        </w:rPr>
      </w:r>
    </w:p>
    <w:p>
      <w:pPr>
        <w:pStyle w:val="Normal"/>
        <w:tabs>
          <w:tab w:val="clear" w:pos="708"/>
          <w:tab w:val="center" w:pos="4890" w:leader="none"/>
          <w:tab w:val="left" w:pos="7815" w:leader="none"/>
        </w:tabs>
        <w:spacing w:lineRule="auto" w:line="360" w:before="0" w:after="0"/>
        <w:jc w:val="center"/>
        <w:rPr>
          <w:rFonts w:ascii="Arial" w:hAnsi="Arial" w:cs="Arial"/>
          <w:b/>
          <w:bCs/>
          <w:sz w:val="32"/>
          <w:szCs w:val="32"/>
        </w:rPr>
      </w:pPr>
      <w:r>
        <w:rPr>
          <w:rFonts w:cs="Arial" w:ascii="Arial" w:hAnsi="Arial"/>
          <w:b/>
          <w:bCs/>
          <w:sz w:val="32"/>
          <w:szCs w:val="32"/>
        </w:rPr>
      </w:r>
    </w:p>
    <w:p>
      <w:pPr>
        <w:pStyle w:val="ListParagraph"/>
        <w:spacing w:lineRule="auto" w:line="360" w:before="0" w:after="0"/>
        <w:ind w:firstLine="709" w:left="0"/>
        <w:contextualSpacing/>
        <w:jc w:val="center"/>
        <w:rPr>
          <w:rFonts w:ascii="Arial" w:hAnsi="Arial"/>
        </w:rPr>
      </w:pPr>
      <w:r>
        <w:rPr>
          <w:rFonts w:cs="Arial" w:ascii="Arial" w:hAnsi="Arial"/>
          <w:b/>
          <w:bCs/>
          <w:sz w:val="32"/>
          <w:szCs w:val="32"/>
        </w:rPr>
        <w:t>São Paulo</w:t>
      </w:r>
    </w:p>
    <w:p>
      <w:pPr>
        <w:pStyle w:val="ListParagraph"/>
        <w:spacing w:lineRule="auto" w:line="360" w:before="0" w:after="0"/>
        <w:ind w:firstLine="709" w:left="0"/>
        <w:contextualSpacing/>
        <w:jc w:val="center"/>
        <w:rPr>
          <w:rFonts w:ascii="Arial" w:hAnsi="Arial"/>
        </w:rPr>
      </w:pPr>
      <w:r>
        <w:rPr>
          <w:rFonts w:cs="Arial" w:ascii="Arial" w:hAnsi="Arial"/>
          <w:b/>
          <w:bCs/>
          <w:sz w:val="32"/>
          <w:szCs w:val="32"/>
        </w:rPr>
        <w:t>2025</w:t>
      </w:r>
    </w:p>
    <w:p>
      <w:pPr>
        <w:pStyle w:val="ListParagraph"/>
        <w:spacing w:lineRule="auto" w:line="360" w:before="0" w:after="0"/>
        <w:ind w:firstLine="709" w:left="0"/>
        <w:contextualSpacing/>
        <w:jc w:val="center"/>
        <w:rPr>
          <w:rFonts w:ascii="Arial" w:hAnsi="Arial" w:cs="Arial"/>
          <w:b/>
          <w:bCs/>
          <w:sz w:val="32"/>
          <w:szCs w:val="32"/>
        </w:rPr>
      </w:pPr>
      <w:r>
        <w:rPr>
          <w:rFonts w:cs="Arial" w:ascii="Arial" w:hAnsi="Arial"/>
          <w:b/>
          <w:bCs/>
          <w:sz w:val="32"/>
          <w:szCs w:val="32"/>
        </w:rPr>
      </w:r>
    </w:p>
    <w:p>
      <w:pPr>
        <w:pStyle w:val="ListParagraph"/>
        <w:spacing w:lineRule="auto" w:line="360" w:before="0" w:after="0"/>
        <w:ind w:firstLine="709" w:left="0"/>
        <w:contextualSpacing/>
        <w:jc w:val="center"/>
        <w:rPr/>
      </w:pPr>
      <w:r>
        <w:rPr>
          <w:rFonts w:cs="Arial" w:ascii="Arial" w:hAnsi="Arial"/>
          <w:b/>
          <w:bCs/>
          <w:sz w:val="24"/>
          <w:szCs w:val="24"/>
        </w:rPr>
        <w:t>SUMÁRIO</w:t>
      </w:r>
    </w:p>
    <w:p>
      <w:pPr>
        <w:pStyle w:val="Normal"/>
        <w:spacing w:lineRule="auto" w:line="360" w:before="0" w:after="0"/>
        <w:ind w:firstLine="709"/>
        <w:jc w:val="both"/>
        <w:rPr>
          <w:rFonts w:ascii="Arial" w:hAnsi="Arial" w:cs="Arial"/>
          <w:b/>
          <w:bCs/>
        </w:rPr>
      </w:pPr>
      <w:r>
        <w:rPr>
          <w:rFonts w:cs="Arial" w:ascii="Arial" w:hAnsi="Arial"/>
          <w:b/>
          <w:bCs/>
        </w:rPr>
      </w:r>
    </w:p>
    <w:p>
      <w:pPr>
        <w:pStyle w:val="Normal"/>
        <w:spacing w:lineRule="auto" w:line="360" w:before="0" w:after="0"/>
        <w:ind w:firstLine="709"/>
        <w:jc w:val="both"/>
        <w:rPr>
          <w:rFonts w:ascii="Arial" w:hAnsi="Arial" w:cs="Arial"/>
          <w:b/>
          <w:bCs/>
        </w:rPr>
      </w:pPr>
      <w:r>
        <w:rPr>
          <w:rFonts w:cs="Arial" w:ascii="Arial" w:hAnsi="Arial"/>
          <w:b/>
          <w:bCs/>
        </w:rPr>
      </w:r>
    </w:p>
    <w:p>
      <w:pPr>
        <w:pStyle w:val="Normal"/>
        <w:jc w:val="both"/>
        <w:rPr>
          <w:rFonts w:ascii="Arial" w:hAnsi="Arial"/>
          <w:sz w:val="24"/>
          <w:szCs w:val="24"/>
        </w:rPr>
      </w:pPr>
      <w:r>
        <w:rPr>
          <w:rFonts w:cs="Arial" w:ascii="Arial" w:hAnsi="Arial"/>
          <w:sz w:val="24"/>
          <w:szCs w:val="24"/>
        </w:rPr>
        <w:t>1</w:t>
      </w:r>
      <w:r>
        <w:rPr>
          <w:rFonts w:ascii="Arial" w:hAnsi="Arial"/>
          <w:sz w:val="24"/>
          <w:szCs w:val="24"/>
        </w:rPr>
        <w:tab/>
        <w:t>Introdução (p. 3)</w:t>
      </w:r>
    </w:p>
    <w:p>
      <w:pPr>
        <w:pStyle w:val="Normal"/>
        <w:jc w:val="both"/>
        <w:rPr>
          <w:rFonts w:ascii="Arial" w:hAnsi="Arial"/>
          <w:sz w:val="24"/>
          <w:szCs w:val="24"/>
        </w:rPr>
      </w:pPr>
      <w:r>
        <w:rPr>
          <w:rFonts w:cs="Arial" w:ascii="Arial" w:hAnsi="Arial"/>
          <w:sz w:val="24"/>
          <w:szCs w:val="24"/>
        </w:rPr>
        <w:t>2</w:t>
        <w:tab/>
        <w:t>Referencial teórico (p.5)</w:t>
      </w:r>
    </w:p>
    <w:p>
      <w:pPr>
        <w:pStyle w:val="Normal"/>
        <w:jc w:val="both"/>
        <w:rPr>
          <w:rFonts w:ascii="Arial" w:hAnsi="Arial"/>
          <w:sz w:val="24"/>
          <w:szCs w:val="24"/>
        </w:rPr>
      </w:pPr>
      <w:r>
        <w:rPr>
          <w:rFonts w:cs="Arial" w:ascii="Arial" w:hAnsi="Arial"/>
          <w:sz w:val="24"/>
          <w:szCs w:val="24"/>
        </w:rPr>
        <w:t>3</w:t>
        <w:tab/>
        <w:t>Diagrama de Solução (p.5)</w:t>
      </w:r>
    </w:p>
    <w:p>
      <w:pPr>
        <w:pStyle w:val="Normal"/>
        <w:jc w:val="both"/>
        <w:rPr>
          <w:rFonts w:ascii="Arial" w:hAnsi="Arial" w:cs="Arial"/>
          <w:sz w:val="24"/>
          <w:szCs w:val="24"/>
        </w:rPr>
      </w:pPr>
      <w:r>
        <w:rPr>
          <w:rFonts w:cs="Arial" w:ascii="Arial" w:hAnsi="Arial"/>
          <w:sz w:val="24"/>
          <w:szCs w:val="24"/>
        </w:rPr>
        <w:t>4</w:t>
      </w:r>
      <w:r>
        <w:rPr>
          <w:rFonts w:cs="Arial" w:ascii="Arial" w:hAnsi="Arial"/>
          <w:sz w:val="24"/>
          <w:szCs w:val="24"/>
        </w:rPr>
        <w:tab/>
        <w:t>EDA e Pré-processamento dos dados</w:t>
      </w:r>
    </w:p>
    <w:p>
      <w:pPr>
        <w:pStyle w:val="Normal"/>
        <w:jc w:val="both"/>
        <w:rPr>
          <w:rFonts w:ascii="Arial" w:hAnsi="Arial" w:cs="Arial"/>
          <w:sz w:val="24"/>
          <w:szCs w:val="24"/>
        </w:rPr>
      </w:pPr>
      <w:r>
        <w:rPr>
          <w:rFonts w:cs="Arial" w:ascii="Arial" w:hAnsi="Arial"/>
          <w:sz w:val="24"/>
          <w:szCs w:val="24"/>
        </w:rPr>
        <w:t>5</w:t>
      </w:r>
      <w:r>
        <w:rPr>
          <w:rFonts w:cs="Arial" w:ascii="Arial" w:hAnsi="Arial"/>
          <w:sz w:val="24"/>
          <w:szCs w:val="24"/>
        </w:rPr>
        <w:tab/>
        <w:t>Modelo Base</w:t>
      </w:r>
    </w:p>
    <w:p>
      <w:pPr>
        <w:pStyle w:val="Normal"/>
        <w:jc w:val="both"/>
        <w:rPr>
          <w:rFonts w:ascii="Arial" w:hAnsi="Arial" w:cs="Arial"/>
          <w:sz w:val="24"/>
          <w:szCs w:val="24"/>
        </w:rPr>
      </w:pPr>
      <w:r>
        <w:rPr>
          <w:rFonts w:cs="Arial" w:ascii="Arial" w:hAnsi="Arial"/>
          <w:sz w:val="24"/>
          <w:szCs w:val="24"/>
        </w:rPr>
        <w:t>6</w:t>
      </w:r>
      <w:r>
        <w:rPr>
          <w:rFonts w:cs="Arial" w:ascii="Arial" w:hAnsi="Arial"/>
          <w:sz w:val="24"/>
          <w:szCs w:val="24"/>
        </w:rPr>
        <w:tab/>
        <w:t>Cronograma</w:t>
      </w:r>
    </w:p>
    <w:p>
      <w:pPr>
        <w:pStyle w:val="BodyText"/>
        <w:jc w:val="both"/>
        <w:rPr>
          <w:rFonts w:ascii="Arial" w:hAnsi="Arial"/>
          <w:sz w:val="24"/>
          <w:szCs w:val="24"/>
        </w:rPr>
      </w:pPr>
      <w:r>
        <w:rPr>
          <w:rFonts w:ascii="Arial" w:hAnsi="Arial"/>
          <w:color w:val="111111"/>
          <w:sz w:val="24"/>
          <w:szCs w:val="24"/>
        </w:rPr>
        <w:t>7</w:t>
      </w:r>
      <w:r>
        <w:rPr>
          <w:rFonts w:ascii="Arial" w:hAnsi="Arial"/>
          <w:color w:val="111111"/>
          <w:sz w:val="24"/>
          <w:szCs w:val="24"/>
        </w:rPr>
        <w:tab/>
        <w:t>Resultados (p.)</w:t>
      </w:r>
    </w:p>
    <w:p>
      <w:pPr>
        <w:pStyle w:val="BodyText"/>
        <w:jc w:val="both"/>
        <w:rPr>
          <w:rFonts w:ascii="Arial" w:hAnsi="Arial"/>
          <w:sz w:val="24"/>
          <w:szCs w:val="24"/>
        </w:rPr>
      </w:pPr>
      <w:r>
        <w:rPr>
          <w:rFonts w:ascii="Arial" w:hAnsi="Arial"/>
          <w:color w:val="111111"/>
          <w:sz w:val="24"/>
          <w:szCs w:val="24"/>
        </w:rPr>
        <w:t>8</w:t>
      </w:r>
      <w:r>
        <w:rPr>
          <w:rFonts w:ascii="Arial" w:hAnsi="Arial"/>
          <w:color w:val="111111"/>
          <w:sz w:val="24"/>
          <w:szCs w:val="24"/>
        </w:rPr>
        <w:tab/>
        <w:t>Conclusão (p.)</w:t>
      </w:r>
    </w:p>
    <w:p>
      <w:pPr>
        <w:pStyle w:val="BodyText"/>
        <w:jc w:val="both"/>
        <w:rPr>
          <w:rFonts w:ascii="Arial" w:hAnsi="Arial"/>
          <w:sz w:val="24"/>
          <w:szCs w:val="24"/>
        </w:rPr>
      </w:pPr>
      <w:r>
        <w:rPr>
          <w:rFonts w:ascii="Arial" w:hAnsi="Arial"/>
          <w:color w:val="111111"/>
          <w:sz w:val="24"/>
          <w:szCs w:val="24"/>
        </w:rPr>
        <w:t>9</w:t>
      </w:r>
      <w:r>
        <w:rPr>
          <w:rFonts w:ascii="Arial" w:hAnsi="Arial"/>
          <w:color w:val="111111"/>
          <w:sz w:val="24"/>
          <w:szCs w:val="24"/>
        </w:rPr>
        <w:tab/>
        <w:t>Referências bibliográficas (p.9)</w:t>
      </w:r>
    </w:p>
    <w:p>
      <w:pPr>
        <w:pStyle w:val="Normal"/>
        <w:jc w:val="both"/>
        <w:rPr>
          <w:rFonts w:ascii="Arial" w:hAnsi="Arial" w:cs="Arial"/>
          <w:sz w:val="24"/>
          <w:szCs w:val="24"/>
        </w:rPr>
      </w:pPr>
      <w:r>
        <w:rPr>
          <w:rFonts w:cs="Arial" w:ascii="Arial" w:hAnsi="Arial"/>
          <w:sz w:val="24"/>
          <w:szCs w:val="24"/>
        </w:rPr>
      </w:r>
    </w:p>
    <w:sdt>
      <w:sdtPr>
        <w:docPartObj>
          <w:docPartGallery w:val="Table of Contents"/>
          <w:docPartUnique w:val="true"/>
        </w:docPartObj>
        <w:id w:val="1904913116"/>
      </w:sdtPr>
      <w:sdtContent>
        <w:p>
          <w:pPr>
            <w:pStyle w:val="TOCHeading"/>
            <w:spacing w:lineRule="auto" w:line="360" w:before="0" w:after="0"/>
            <w:ind w:hanging="0" w:left="0"/>
            <w:jc w:val="both"/>
            <w:rPr>
              <w:rFonts w:ascii="Arial" w:hAnsi="Arial" w:cs="Arial"/>
              <w:sz w:val="22"/>
              <w:szCs w:val="22"/>
            </w:rPr>
          </w:pPr>
          <w:r>
            <w:rPr>
              <w:rFonts w:cs="Arial" w:ascii="Arial" w:hAnsi="Arial"/>
              <w:sz w:val="22"/>
              <w:szCs w:val="22"/>
            </w:rPr>
          </w:r>
        </w:p>
        <w:p>
          <w:pPr>
            <w:pStyle w:val="Heading1"/>
            <w:numPr>
              <w:ilvl w:val="0"/>
              <w:numId w:val="0"/>
            </w:numPr>
            <w:spacing w:lineRule="auto" w:line="360" w:before="0" w:after="0"/>
            <w:ind w:hanging="0" w:left="709"/>
            <w:jc w:val="both"/>
            <w:rPr>
              <w:rFonts w:ascii="Arial" w:hAnsi="Arial" w:cs="Arial"/>
              <w:sz w:val="22"/>
              <w:szCs w:val="22"/>
            </w:rPr>
          </w:pPr>
          <w:r>
            <w:rPr>
              <w:rFonts w:cs="Arial" w:ascii="Arial" w:hAnsi="Arial"/>
              <w:sz w:val="22"/>
              <w:szCs w:val="22"/>
            </w:rPr>
          </w:r>
        </w:p>
      </w:sdtContent>
    </w:sdt>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p>
    <w:p>
      <w:pPr>
        <w:pStyle w:val="Normal"/>
        <w:spacing w:lineRule="auto" w:line="360" w:before="0" w:after="0"/>
        <w:ind w:firstLine="709"/>
        <w:jc w:val="both"/>
        <w:rPr>
          <w:rFonts w:ascii="Arial" w:hAnsi="Arial" w:cs="Arial"/>
        </w:rPr>
      </w:pPr>
      <w:r>
        <w:rPr>
          <w:rFonts w:cs="Arial" w:ascii="Arial" w:hAnsi="Arial"/>
        </w:rPr>
      </w:r>
      <w:r>
        <w:br w:type="page"/>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Introdução</w:t>
      </w:r>
    </w:p>
    <w:p>
      <w:pPr>
        <w:pStyle w:val="BodyText"/>
        <w:spacing w:before="0" w:after="0"/>
        <w:contextualSpacing/>
        <w:jc w:val="both"/>
        <w:rPr>
          <w:rFonts w:ascii="Arial" w:hAnsi="Arial" w:cs="Arial"/>
          <w:b/>
          <w:bCs/>
          <w:color w:val="111111"/>
          <w:sz w:val="24"/>
        </w:rPr>
      </w:pPr>
      <w:r>
        <w:rPr>
          <w:rFonts w:cs="Arial" w:ascii="Arial" w:hAnsi="Arial"/>
          <w:b/>
          <w:bCs/>
          <w:color w:val="111111"/>
          <w:sz w:val="24"/>
        </w:rPr>
      </w:r>
    </w:p>
    <w:p>
      <w:pPr>
        <w:pStyle w:val="Normal"/>
        <w:suppressAutoHyphens w:val="false"/>
        <w:spacing w:lineRule="auto" w:line="276" w:beforeAutospacing="1" w:afterAutospacing="1"/>
        <w:jc w:val="both"/>
        <w:rPr>
          <w:rFonts w:ascii="Arial" w:hAnsi="Arial" w:cs="Arial"/>
          <w:sz w:val="24"/>
          <w:szCs w:val="24"/>
        </w:rPr>
      </w:pPr>
      <w:r>
        <w:rPr>
          <w:rFonts w:eastAsia="Times New Roman" w:cs="Arial" w:ascii="Arial" w:hAnsi="Arial"/>
          <w:sz w:val="24"/>
          <w:szCs w:val="24"/>
          <w:lang w:eastAsia="pt-BR"/>
        </w:rPr>
        <w:t>1.1 Contexto do trabalho</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Este trabalho baseia-se num conjunto de dados oficiais que reúne informações previstas sobre a carteira de investimentos do Ministério das Cidades, consolidando dados de programas, investimentos e operações relacionadas ao desenvolvimento urbano, habitação e infraestrutura. A base foi construída a partir de fontes oficiais, como Transferegov, BD Gestores, Canal FGTS, Minha Casa Minha Vida e BNDES, e visa promover a transparência, facilitar o acesso público às informações e apoiar a fiscalização e avaliação das políticas públicas inovadoras. O desenvolvimento urbano e a habitação são áreas de grande relevância para a melhoria da qualidade de vida nas cidades brasileiras, exigindo um acompanhamento rigoroso e estratégico das ações governamentais.</w:t>
      </w:r>
    </w:p>
    <w:p>
      <w:pPr>
        <w:pStyle w:val="Normal"/>
        <w:suppressAutoHyphens w:val="false"/>
        <w:spacing w:lineRule="auto" w:line="276" w:beforeAutospacing="1" w:afterAutospacing="1"/>
        <w:jc w:val="both"/>
        <w:rPr>
          <w:rFonts w:ascii="Arial" w:hAnsi="Arial" w:cs="Arial"/>
          <w:sz w:val="24"/>
          <w:szCs w:val="24"/>
        </w:rPr>
      </w:pPr>
      <w:r>
        <w:rPr>
          <w:rFonts w:eastAsia="Times New Roman" w:cs="Arial" w:ascii="Arial" w:hAnsi="Arial"/>
          <w:sz w:val="24"/>
          <w:szCs w:val="24"/>
          <w:lang w:eastAsia="pt-BR"/>
        </w:rPr>
        <w:t>1.2 Motivação</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A motivação deste trabalho corre da necessidade crescente de transparência e eficiência na gestão dos investimentos públicos direcionados ao desenvolvimento urbano. Com o aumento do volume e complexidade dos dados gerados por esses programas, torna-se essencial o uso de métodos avançados de análise, como séries temporais, para entender padrões, prever tendências e detectar desvios, promovendo uma melhor alocação de recursos públicos.</w:t>
      </w:r>
    </w:p>
    <w:p>
      <w:pPr>
        <w:pStyle w:val="Normal"/>
        <w:suppressAutoHyphens w:val="false"/>
        <w:spacing w:lineRule="auto" w:line="276" w:beforeAutospacing="1" w:afterAutospacing="1"/>
        <w:jc w:val="both"/>
        <w:rPr>
          <w:rFonts w:ascii="Arial" w:hAnsi="Arial" w:cs="Arial"/>
          <w:sz w:val="24"/>
          <w:szCs w:val="24"/>
        </w:rPr>
      </w:pPr>
      <w:r>
        <w:rPr>
          <w:rFonts w:eastAsia="Times New Roman" w:cs="Arial" w:ascii="Arial" w:hAnsi="Arial"/>
          <w:sz w:val="24"/>
          <w:szCs w:val="24"/>
          <w:lang w:eastAsia="pt-BR"/>
        </w:rPr>
        <w:t>1.3 Justificativa</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A justificativa deste estudo se refere à relevância social e econômica dos investimentos desenvolvidos, que impactaram diretamente a população atendida pelos programas governamentais. Além disso, o uso de dados originais e oficiais possibilita a construção de modelos analíticos robustos e confiáveis. A análise temporal desses dados é fundamental para uma visão dinâmica de como os recursos são aplicados ao longo do tempo, possibilitando o aprimoramento das políticas públicas e uma gestão mais eficaz dos investimentos.</w:t>
      </w:r>
    </w:p>
    <w:p>
      <w:pPr>
        <w:pStyle w:val="ListParagraph"/>
        <w:numPr>
          <w:ilvl w:val="1"/>
          <w:numId w:val="3"/>
        </w:numPr>
        <w:suppressAutoHyphens w:val="false"/>
        <w:spacing w:lineRule="auto" w:line="276" w:beforeAutospacing="1" w:afterAutospacing="1"/>
        <w:contextualSpacing/>
        <w:jc w:val="both"/>
        <w:rPr>
          <w:rFonts w:ascii="Arial" w:hAnsi="Arial" w:cs="Arial"/>
          <w:sz w:val="24"/>
          <w:szCs w:val="24"/>
        </w:rPr>
      </w:pPr>
      <w:r>
        <w:rPr>
          <w:rFonts w:eastAsia="Times New Roman" w:cs="Arial" w:ascii="Arial" w:hAnsi="Arial"/>
          <w:sz w:val="24"/>
          <w:szCs w:val="24"/>
          <w:lang w:eastAsia="pt-BR"/>
        </w:rPr>
        <w:t>Objetivo geral e objetivos específicos da pesquisa</w:t>
      </w:r>
    </w:p>
    <w:p>
      <w:pPr>
        <w:pStyle w:val="ListParagraph"/>
        <w:suppressAutoHyphens w:val="false"/>
        <w:spacing w:lineRule="auto" w:line="276" w:beforeAutospacing="1" w:afterAutospacing="1"/>
        <w:contextualSpacing/>
        <w:jc w:val="both"/>
        <w:rPr>
          <w:rFonts w:ascii="Arial" w:hAnsi="Arial" w:cs="Arial"/>
          <w:sz w:val="24"/>
          <w:szCs w:val="24"/>
        </w:rPr>
      </w:pPr>
      <w:r>
        <w:rPr>
          <w:rFonts w:cs="Arial" w:ascii="Arial" w:hAnsi="Arial"/>
          <w:sz w:val="24"/>
          <w:szCs w:val="24"/>
        </w:rPr>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O objetivo geral deste trabalho é realizar uma análise temporal dos investimentos do Ministério das Cidades, aplicando técnicas estatísticas e de aprendizado de máquina para identificar padrões, prever comportamentos futuros e contribuir para a transparência e eficácia das políticas públicas.</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Os objetivos específicos são:</w:t>
      </w:r>
    </w:p>
    <w:p>
      <w:pPr>
        <w:pStyle w:val="Normal"/>
        <w:numPr>
          <w:ilvl w:val="0"/>
          <w:numId w:val="4"/>
        </w:numPr>
        <w:suppressAutoHyphens w:val="false"/>
        <w:spacing w:lineRule="auto" w:line="276" w:beforeAutospacing="1" w:after="0"/>
        <w:jc w:val="both"/>
        <w:rPr>
          <w:rFonts w:ascii="Arial" w:hAnsi="Arial" w:cs="Arial"/>
          <w:sz w:val="24"/>
          <w:szCs w:val="24"/>
        </w:rPr>
      </w:pPr>
      <w:r>
        <w:rPr>
          <w:rFonts w:cs="Arial" w:ascii="Arial" w:hAnsi="Arial"/>
          <w:sz w:val="24"/>
          <w:szCs w:val="24"/>
        </w:rPr>
        <w:t>Realizar a coleta, tratamento e exploração dos dados oficiais da carteira de investimentos;</w:t>
      </w:r>
    </w:p>
    <w:p>
      <w:pPr>
        <w:pStyle w:val="Normal"/>
        <w:numPr>
          <w:ilvl w:val="0"/>
          <w:numId w:val="4"/>
        </w:numPr>
        <w:suppressAutoHyphens w:val="false"/>
        <w:spacing w:lineRule="auto" w:line="276" w:before="0" w:after="0"/>
        <w:jc w:val="both"/>
        <w:rPr>
          <w:rFonts w:ascii="Arial" w:hAnsi="Arial" w:cs="Arial"/>
          <w:sz w:val="24"/>
          <w:szCs w:val="24"/>
        </w:rPr>
      </w:pPr>
      <w:r>
        <w:rPr>
          <w:rFonts w:cs="Arial" w:ascii="Arial" w:hAnsi="Arial"/>
          <w:sz w:val="24"/>
          <w:szCs w:val="24"/>
        </w:rPr>
        <w:t>Aplicar modelos de séries temporais para identificar tendências, sazonalidades e anomalias em investimentos públicos;</w:t>
      </w:r>
    </w:p>
    <w:p>
      <w:pPr>
        <w:pStyle w:val="Normal"/>
        <w:numPr>
          <w:ilvl w:val="0"/>
          <w:numId w:val="4"/>
        </w:numPr>
        <w:suppressAutoHyphens w:val="false"/>
        <w:spacing w:lineRule="auto" w:line="276" w:before="0" w:after="0"/>
        <w:jc w:val="both"/>
        <w:rPr>
          <w:rFonts w:ascii="Arial" w:hAnsi="Arial" w:cs="Arial"/>
          <w:sz w:val="24"/>
          <w:szCs w:val="24"/>
        </w:rPr>
      </w:pPr>
      <w:r>
        <w:rPr>
          <w:rFonts w:cs="Arial" w:ascii="Arial" w:hAnsi="Arial"/>
          <w:sz w:val="24"/>
          <w:szCs w:val="24"/>
        </w:rPr>
        <w:t>Desenvolver modelos preditivos que auxiliem no planejamento e tomada de decisões governamentais;</w:t>
      </w:r>
    </w:p>
    <w:p>
      <w:pPr>
        <w:pStyle w:val="Normal"/>
        <w:numPr>
          <w:ilvl w:val="0"/>
          <w:numId w:val="4"/>
        </w:numPr>
        <w:suppressAutoHyphens w:val="false"/>
        <w:spacing w:lineRule="auto" w:line="276" w:before="0" w:after="0"/>
        <w:jc w:val="both"/>
        <w:rPr>
          <w:rFonts w:ascii="Arial" w:hAnsi="Arial" w:cs="Arial"/>
          <w:sz w:val="24"/>
          <w:szCs w:val="24"/>
        </w:rPr>
      </w:pPr>
      <w:r>
        <w:rPr>
          <w:rFonts w:cs="Arial" w:ascii="Arial" w:hAnsi="Arial"/>
          <w:sz w:val="24"/>
          <w:szCs w:val="24"/>
        </w:rPr>
        <w:t>Produzir análises e visualizações que facilitam a compreensão e acompanhamento dos investimentos por parte de gestores públicos e da sociedade;</w:t>
      </w:r>
    </w:p>
    <w:p>
      <w:pPr>
        <w:pStyle w:val="Normal"/>
        <w:numPr>
          <w:ilvl w:val="0"/>
          <w:numId w:val="4"/>
        </w:numPr>
        <w:suppressAutoHyphens w:val="false"/>
        <w:spacing w:lineRule="auto" w:line="276" w:before="0" w:afterAutospacing="1"/>
        <w:jc w:val="both"/>
        <w:rPr>
          <w:rFonts w:ascii="Arial" w:hAnsi="Arial" w:cs="Arial"/>
          <w:sz w:val="24"/>
          <w:szCs w:val="24"/>
        </w:rPr>
      </w:pPr>
      <w:r>
        <w:rPr>
          <w:rFonts w:eastAsia="Times New Roman" w:cs="Arial" w:ascii="Arial" w:hAnsi="Arial"/>
          <w:sz w:val="24"/>
          <w:szCs w:val="24"/>
          <w:lang w:eastAsia="pt-BR"/>
        </w:rPr>
        <w:t>Contribuir para o avanço da prática da transparência e do controle social sobre os recursos públicos.</w:t>
      </w:r>
    </w:p>
    <w:p>
      <w:pPr>
        <w:pStyle w:val="ListParagraph"/>
        <w:suppressAutoHyphens w:val="false"/>
        <w:spacing w:lineRule="auto" w:line="276" w:beforeAutospacing="1" w:afterAutospacing="1"/>
        <w:contextualSpacing/>
        <w:jc w:val="both"/>
        <w:rPr>
          <w:rFonts w:ascii="Arial" w:hAnsi="Arial" w:cs="Arial"/>
          <w:sz w:val="24"/>
          <w:szCs w:val="24"/>
        </w:rPr>
      </w:pPr>
      <w:r>
        <w:rPr>
          <w:rFonts w:cs="Arial" w:ascii="Arial" w:hAnsi="Arial"/>
          <w:sz w:val="24"/>
          <w:szCs w:val="24"/>
        </w:rPr>
      </w:r>
    </w:p>
    <w:p>
      <w:pPr>
        <w:pStyle w:val="ListParagraph"/>
        <w:numPr>
          <w:ilvl w:val="1"/>
          <w:numId w:val="3"/>
        </w:numPr>
        <w:suppressAutoHyphens w:val="false"/>
        <w:spacing w:lineRule="auto" w:line="276" w:beforeAutospacing="1" w:afterAutospacing="1"/>
        <w:contextualSpacing/>
        <w:jc w:val="both"/>
        <w:rPr>
          <w:rFonts w:ascii="Arial" w:hAnsi="Arial" w:cs="Arial"/>
          <w:sz w:val="24"/>
          <w:szCs w:val="24"/>
        </w:rPr>
      </w:pPr>
      <w:r>
        <w:rPr>
          <w:rFonts w:eastAsia="Times New Roman" w:cs="Arial" w:ascii="Arial" w:hAnsi="Arial"/>
          <w:sz w:val="24"/>
          <w:szCs w:val="24"/>
          <w:lang w:eastAsia="pt-BR"/>
        </w:rPr>
        <w:t xml:space="preserve"> </w:t>
      </w:r>
      <w:r>
        <w:rPr>
          <w:rFonts w:eastAsia="Times New Roman" w:cs="Arial" w:ascii="Arial" w:hAnsi="Arial"/>
          <w:sz w:val="24"/>
          <w:szCs w:val="24"/>
          <w:lang w:eastAsia="pt-BR"/>
        </w:rPr>
        <w:t>Descrição da base de dados</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Este dataset reúne informações estruturadas sobre a carteira de investimento do Ministério das Cidades, consolidando registros de programas, operações financeiras e iniciativas voltadas ao desenvolvimento urbano, habitação e infraestrutura. A base foi construída a partir de múltiplas fontes oficiais de dados governamentais — como Transferegov, BD Gestores, Canal FGTS, Minha Casa Minha Vida e BNDES — garantindo padronização e integridade das informações.</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Trata-se de uma matriz de dimensões significativas, com 148.894 observações (linhas) e 72 variáveis (colunas). Inclui identificadores de contratos e convênios (num_convenio, cod_proposta), dados georreferenciados (txt_uf, txt_regiao, cod_ibge_7dig, txt_municipio), além de informações financeiras (vlr_investimento, vlr_repasse, vlr_contrapartida, vlr_empenhado, vlr_pago) e variáveis de execução e monitoramento de políticas públicas (prc_execucao_fisica, qtd_uh, dsc_situacao_contrato_mcid). Esses atributos permitem análises descritivas, preditivas e exploratórias sobre a eficácia dos investimentos.</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t>O dataset também se caracteriza pela diversidade de tipos de dados: variáveis categóricas (ex.: txt_tipo_instrumento, dsc_objeto_instrumento), numéricas contínuas (valores monetários, percentuais de execução) e temporais (dte_assinatura_contrato, dte_inicio_obra, dte_carga). Essa heterogeneidade possibilita desde análises de séries temporais até a aplicação de modelos de machine learning voltados à previsão de desembolsos, atrasos ou identificação de padrões em contratos paralisados.</w:t>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r>
    </w:p>
    <w:p>
      <w:pPr>
        <w:pStyle w:val="Normal"/>
        <w:suppressAutoHyphens w:val="false"/>
        <w:spacing w:lineRule="auto" w:line="276" w:beforeAutospacing="1" w:afterAutospacing="1"/>
        <w:jc w:val="both"/>
        <w:rPr>
          <w:rFonts w:ascii="Arial" w:hAnsi="Arial" w:cs="Arial"/>
          <w:sz w:val="24"/>
          <w:szCs w:val="24"/>
        </w:rPr>
      </w:pPr>
      <w:r>
        <w:rPr>
          <w:rFonts w:cs="Arial" w:ascii="Arial" w:hAnsi="Arial"/>
          <w:sz w:val="24"/>
          <w:szCs w:val="24"/>
        </w:rPr>
      </w:r>
    </w:p>
    <w:p>
      <w:pPr>
        <w:pStyle w:val="BodyText"/>
        <w:numPr>
          <w:ilvl w:val="0"/>
          <w:numId w:val="2"/>
        </w:numPr>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t>Referencial teórico</w:t>
      </w:r>
    </w:p>
    <w:p>
      <w:pPr>
        <w:pStyle w:val="BodyText"/>
        <w:spacing w:lineRule="auto" w:line="360" w:before="0" w:after="0"/>
        <w:ind w:left="720"/>
        <w:contextualSpacing/>
        <w:jc w:val="both"/>
        <w:rPr>
          <w:rFonts w:ascii="Arial" w:hAnsi="Arial" w:cs="Arial"/>
          <w:b/>
          <w:bCs/>
          <w:color w:val="111111"/>
          <w:sz w:val="24"/>
          <w:szCs w:val="24"/>
        </w:rPr>
      </w:pPr>
      <w:r>
        <w:rPr>
          <w:rFonts w:cs="Arial" w:ascii="Arial" w:hAnsi="Arial"/>
          <w:b/>
          <w:bCs/>
          <w:color w:val="111111"/>
          <w:sz w:val="24"/>
          <w:szCs w:val="24"/>
        </w:rPr>
      </w:r>
    </w:p>
    <w:p>
      <w:pPr>
        <w:pStyle w:val="Normal"/>
        <w:spacing w:lineRule="auto" w:line="276"/>
        <w:jc w:val="both"/>
        <w:rPr>
          <w:rFonts w:ascii="Arial" w:hAnsi="Arial" w:cs="Arial"/>
          <w:sz w:val="24"/>
          <w:szCs w:val="24"/>
        </w:rPr>
      </w:pPr>
      <w:r>
        <w:rPr>
          <w:rFonts w:cs="Arial" w:ascii="Arial" w:hAnsi="Arial"/>
          <w:sz w:val="24"/>
          <w:szCs w:val="24"/>
        </w:rPr>
        <w:t>Os investimentos públicos urbanos constituem um dos principais instrumentos de promoção do desenvolvimento social e econômico, ao influenciarem diretamente a infraestrutura, o bem-estar e a equidade territorial. Analisar a evolução desses investimentos ao longo do tempo é fundamental para aprimorar a eficiência da gestão pública, promover a transparência e orientar a alocação racional de recursos (Orair, 2018).</w:t>
      </w:r>
    </w:p>
    <w:p>
      <w:pPr>
        <w:pStyle w:val="Normal"/>
        <w:spacing w:lineRule="auto" w:line="276"/>
        <w:jc w:val="both"/>
        <w:rPr>
          <w:rFonts w:ascii="Arial" w:hAnsi="Arial" w:cs="Arial"/>
          <w:sz w:val="24"/>
          <w:szCs w:val="24"/>
        </w:rPr>
      </w:pPr>
      <w:r>
        <w:rPr>
          <w:rFonts w:cs="Arial" w:ascii="Arial" w:hAnsi="Arial"/>
          <w:sz w:val="24"/>
          <w:szCs w:val="24"/>
        </w:rPr>
        <w:t>A análise de séries temporais tem sido amplamente empregada em estudos que buscam compreender e prever o comportamento de indicadores econômicos e governamentais. Essa abordagem permite identificar padrões de tendência, variações sazonais e choques estruturais, fornecendo base quantitativa para o planejamento e o monitoramento de políticas públicas. Entre os métodos clássicos, o ARIMA (AutoRegressive Integrated Moving Average) é um dos mais utilizados por combinar componentes autoregressivos e de médias móveis, capturando dependências lineares entre períodos sucessivos (Costa, 2021). Em aplicações com dados de despesa pública, o ARIMA mostrou ser eficaz para prever fluxos de investimento de curto prazo, com erros médios inferiores a 5% em séries mensais com tendência estável.</w:t>
      </w:r>
    </w:p>
    <w:p>
      <w:pPr>
        <w:pStyle w:val="Normal"/>
        <w:spacing w:lineRule="auto" w:line="276"/>
        <w:jc w:val="both"/>
        <w:rPr>
          <w:rFonts w:ascii="Arial" w:hAnsi="Arial" w:cs="Arial"/>
          <w:sz w:val="24"/>
          <w:szCs w:val="24"/>
        </w:rPr>
      </w:pPr>
      <w:r>
        <w:rPr>
          <w:rFonts w:cs="Arial" w:ascii="Arial" w:hAnsi="Arial"/>
          <w:sz w:val="24"/>
          <w:szCs w:val="24"/>
        </w:rPr>
        <w:t>Para séries com comportamento sazonal pronunciado, como as relacionadas à execução de obras públicas, técnicas mais elaboradas são recomendadas. O SARIMA (Seasonal ARIMA) introduz parâmetros sazonais ((P, D, Q, s)), possibilitando a modelagem de ciclos anuais e semestrais. O modelo Holt-Winters, por sua vez, aplica suavização exponencial tripla, ajustando simultaneamente o nível, a tendência e a sazonalidade. Estudos recentes mostraram que o Holt-Winters apresenta desempenho comparável ou superior ao SARIMA em séries com sazonalidade regular e poucas rupturas (Viana, 2025), além de exigir menor esforço de calibração.</w:t>
      </w:r>
    </w:p>
    <w:p>
      <w:pPr>
        <w:pStyle w:val="Normal"/>
        <w:spacing w:lineRule="auto" w:line="276"/>
        <w:jc w:val="both"/>
        <w:rPr>
          <w:rFonts w:ascii="Arial" w:hAnsi="Arial" w:cs="Arial"/>
          <w:sz w:val="24"/>
          <w:szCs w:val="24"/>
        </w:rPr>
      </w:pPr>
      <w:r>
        <w:rPr>
          <w:rFonts w:cs="Arial" w:ascii="Arial" w:hAnsi="Arial"/>
          <w:sz w:val="24"/>
          <w:szCs w:val="24"/>
        </w:rPr>
        <w:t>Além das abordagens estatísticas, o avanço das técnicas de aprendizado de máquina ampliou o escopo da modelagem temporal. Modelos como Redes Neurais Recorrentes (RNN), LSTM (Long Short-Term Memory) e o Prophet, desenvolvido pelo Facebook, têm sido aplicados em séries econômicas e fiscais por sua capacidade de lidar com não linearidades e eventos exógenos. Contudo, conforme relatado por Viana (2025), apesar do maior potencial preditivo, essas técnicas exigem grande volume de dados históricos, recursos computacionais e apresentam menor interpretabilidade — fator crítico em análises governamentais que demandam transparência e auditabilidade.</w:t>
      </w:r>
    </w:p>
    <w:p>
      <w:pPr>
        <w:pStyle w:val="Normal"/>
        <w:spacing w:lineRule="auto" w:line="276"/>
        <w:jc w:val="both"/>
        <w:rPr>
          <w:rFonts w:ascii="Arial" w:hAnsi="Arial" w:cs="Arial"/>
          <w:sz w:val="24"/>
          <w:szCs w:val="24"/>
        </w:rPr>
      </w:pPr>
      <w:r>
        <w:rPr>
          <w:rFonts w:cs="Arial" w:ascii="Arial" w:hAnsi="Arial"/>
          <w:sz w:val="24"/>
          <w:szCs w:val="24"/>
        </w:rPr>
        <w:t>Neste projeto, optou-se por uma abordagem explicativa e comparativa, implementando quatro modelos: Naive, Sazonal Ingênuo (lag 12), Holt-Winters e SARIMA. Os dois primeiros servem como baselines, fornecendo parâmetros de referência mínimos de desempenho, enquanto os dois últimos buscam capturar a tendência e a sazonalidade anual das obras ativas financiadas pelo Ministério das Cidades. Essa seleção equilibra robustez estatística, clareza interpretativa e aplicabilidade prática aos objetivos do estudo.</w:t>
      </w:r>
    </w:p>
    <w:p>
      <w:pPr>
        <w:pStyle w:val="Normal"/>
        <w:spacing w:lineRule="auto" w:line="276"/>
        <w:jc w:val="both"/>
        <w:rPr>
          <w:rFonts w:ascii="Arial" w:hAnsi="Arial" w:cs="Arial"/>
          <w:sz w:val="24"/>
          <w:szCs w:val="24"/>
        </w:rPr>
      </w:pPr>
      <w:r>
        <w:rPr>
          <w:rFonts w:cs="Arial" w:ascii="Arial" w:hAnsi="Arial"/>
          <w:sz w:val="24"/>
          <w:szCs w:val="24"/>
        </w:rPr>
        <w:t>Em síntese, o referencial teórico deste projeto combina fundamentos clássicos de séries temporais com evidências empíricas da literatura recente, demonstrando que o uso de modelos sazonais e suavizados é apropriado para analisar a dinâmica dos investimentos públicos e apoiar políticas de transparência, monitoramento e planejamento orçamentário.</w:t>
      </w:r>
    </w:p>
    <w:p>
      <w:pPr>
        <w:pStyle w:val="Normal"/>
        <w:spacing w:lineRule="auto" w:line="276"/>
        <w:jc w:val="both"/>
        <w:rPr>
          <w:rFonts w:ascii="Arial" w:hAnsi="Arial" w:cs="Arial"/>
          <w:sz w:val="24"/>
          <w:szCs w:val="24"/>
        </w:rPr>
      </w:pPr>
      <w:r>
        <w:rPr>
          <w:rFonts w:cs="Arial" w:ascii="Arial" w:hAnsi="Arial"/>
          <w:sz w:val="24"/>
          <w:szCs w:val="24"/>
        </w:rPr>
        <w:t>Diversas pesquisas recentes reforçam a relevância da modelagem temporal no contexto de políticas públicas.</w:t>
      </w:r>
    </w:p>
    <w:p>
      <w:pPr>
        <w:pStyle w:val="Normal"/>
        <w:spacing w:lineRule="auto" w:line="276"/>
        <w:jc w:val="both"/>
        <w:rPr>
          <w:rFonts w:ascii="Arial" w:hAnsi="Arial" w:cs="Arial"/>
          <w:sz w:val="24"/>
          <w:szCs w:val="24"/>
        </w:rPr>
      </w:pPr>
      <w:r>
        <w:rPr>
          <w:rFonts w:cs="Arial" w:ascii="Arial" w:hAnsi="Arial"/>
          <w:sz w:val="24"/>
          <w:szCs w:val="24"/>
        </w:rPr>
        <w:t>* Orair (2018) analisou o investimento público federal entre 1995 e 2016, utilizando séries agregadas e modelos econométricos, e identificou forte correlação entre ciclos de investimento e o desempenho macroeconômico.</w:t>
      </w:r>
    </w:p>
    <w:p>
      <w:pPr>
        <w:pStyle w:val="Normal"/>
        <w:spacing w:lineRule="auto" w:line="276"/>
        <w:jc w:val="both"/>
        <w:rPr>
          <w:rFonts w:ascii="Arial" w:hAnsi="Arial" w:cs="Arial"/>
          <w:sz w:val="24"/>
          <w:szCs w:val="24"/>
        </w:rPr>
      </w:pPr>
      <w:r>
        <w:rPr>
          <w:rFonts w:cs="Arial" w:ascii="Arial" w:hAnsi="Arial"/>
          <w:sz w:val="24"/>
          <w:szCs w:val="24"/>
        </w:rPr>
        <w:t>* Costa (2021) aplicou o modelo ARIMA à previsão de despesas públicas municipais, obtendo precisão superior a 90% em previsões trimestrais e demonstrando que a decomposição da série melhora o ajuste em períodos de crise fiscal.</w:t>
      </w:r>
    </w:p>
    <w:p>
      <w:pPr>
        <w:pStyle w:val="Normal"/>
        <w:spacing w:lineRule="auto" w:line="276"/>
        <w:jc w:val="both"/>
        <w:rPr>
          <w:rFonts w:ascii="Arial" w:hAnsi="Arial" w:cs="Arial"/>
          <w:sz w:val="24"/>
          <w:szCs w:val="24"/>
        </w:rPr>
      </w:pPr>
      <w:r>
        <w:rPr>
          <w:rFonts w:cs="Arial" w:ascii="Arial" w:hAnsi="Arial"/>
          <w:sz w:val="24"/>
          <w:szCs w:val="24"/>
        </w:rPr>
        <w:t>* Viana (2025) comparou ARIMA, Holt-Winters e LSTM em dados de arrecadação tributária, concluindo que o Holt-Winters apresentou menor erro absoluto médio (MAE = 2,3%) em séries com periodicidade estável, enquanto o LSTM foi mais eficaz apenas em séries com rupturas abruptas e grande volume de observações.</w:t>
      </w:r>
    </w:p>
    <w:p>
      <w:pPr>
        <w:pStyle w:val="Normal"/>
        <w:spacing w:lineRule="auto" w:line="276"/>
        <w:jc w:val="both"/>
        <w:rPr>
          <w:rFonts w:ascii="Arial" w:hAnsi="Arial" w:cs="Arial"/>
          <w:sz w:val="24"/>
          <w:szCs w:val="24"/>
        </w:rPr>
      </w:pPr>
      <w:r>
        <w:rPr>
          <w:rFonts w:cs="Arial" w:ascii="Arial" w:hAnsi="Arial"/>
          <w:sz w:val="24"/>
          <w:szCs w:val="24"/>
        </w:rPr>
        <w:t>Esses resultados sustentam a escolha das técnicas adotadas neste projeto, especialmente o uso de Holt-Winters e SARIMA como modelos estatísticos interpretáveis e de alta acurácia em séries temporais governamentais.</w:t>
      </w:r>
    </w:p>
    <w:p>
      <w:pPr>
        <w:pStyle w:val="Normal"/>
        <w:spacing w:lineRule="auto" w:line="276"/>
        <w:jc w:val="both"/>
        <w:rPr>
          <w:rFonts w:ascii="Arial" w:hAnsi="Arial" w:cs="Arial"/>
          <w:sz w:val="24"/>
          <w:szCs w:val="24"/>
        </w:rPr>
      </w:pPr>
      <w:r>
        <w:rPr>
          <w:rFonts w:cs="Arial" w:ascii="Arial" w:hAnsi="Arial"/>
          <w:b/>
          <w:bCs/>
          <w:color w:val="111111"/>
          <w:sz w:val="24"/>
        </w:rPr>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Diagrama de Solução</w:t>
      </w:r>
    </w:p>
    <w:p>
      <w:pPr>
        <w:pStyle w:val="ListParagraph"/>
        <w:rPr>
          <w:rFonts w:ascii="Arial" w:hAnsi="Arial" w:cs="Arial"/>
          <w:b/>
          <w:bCs/>
          <w:color w:val="111111"/>
          <w:sz w:val="24"/>
        </w:rPr>
      </w:pPr>
      <w:r>
        <w:rPr>
          <w:rFonts w:cs="Arial" w:ascii="Arial" w:hAnsi="Arial"/>
          <w:b/>
          <w:bCs/>
          <w:color w:val="111111"/>
          <w:sz w:val="24"/>
        </w:rPr>
      </w:r>
    </w:p>
    <w:p>
      <w:pPr>
        <w:pStyle w:val="ListParagraph"/>
        <w:rPr>
          <w:rFonts w:ascii="Arial" w:hAnsi="Arial" w:cs="Arial"/>
          <w:b/>
          <w:bCs/>
          <w:color w:val="111111"/>
          <w:sz w:val="24"/>
        </w:rPr>
      </w:pPr>
      <w:r>
        <w:rPr>
          <w:rFonts w:cs="Arial" w:ascii="Arial" w:hAnsi="Arial"/>
          <w:b/>
          <w:bCs/>
          <w:color w:val="111111"/>
          <w:sz w:val="24"/>
        </w:rPr>
      </w:r>
    </w:p>
    <w:p>
      <w:pPr>
        <w:pStyle w:val="ListParagraph"/>
        <w:rPr>
          <w:rFonts w:ascii="Arial" w:hAnsi="Arial" w:cs="Arial"/>
          <w:b/>
          <w:bCs/>
          <w:color w:val="111111"/>
          <w:sz w:val="24"/>
        </w:rPr>
      </w:pPr>
      <w:r>
        <w:rPr>
          <w:rFonts w:cs="Arial" w:ascii="Arial" w:hAnsi="Arial"/>
          <w:b/>
          <w:bCs/>
          <w:color w:val="111111"/>
          <w:sz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02885" cy="142049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302885" cy="1420495"/>
                    </a:xfrm>
                    <a:prstGeom prst="rect">
                      <a:avLst/>
                    </a:prstGeom>
                  </pic:spPr>
                </pic:pic>
              </a:graphicData>
            </a:graphic>
          </wp:anchor>
        </w:drawing>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O pipeline desenvolvido para este projeto segue um fluxo linear e reproduzível que combina etapas de extração, transformação, análise e modelagem dos dados da Carteira de Investimento do Ministério das Cidades.</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Coleta e carregamento dos dados: o conjunto foi obtido a partir do portal dados.gov.br, contendo informações contratuais e financeiras de obras em todo o país.</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Pré-processamento: envolveu a padronização de formatos, exclusão de colunas redundantes e tratamento de valores ausentes — categóricos preenchidos com “Desconhecido” e numéricos com zero.</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Conversão temporal: as colunas de data foram transformadas em tipo datetime e utilizadas para gerar uma série mensal representando a quantidade de obras ativas.</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Análise exploratória: foram gerados gráficos de sazonalidade e decomposição temporal (tendência, sazonalidade e resíduo) para identificação de padrões.</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Modelagem: a série foi dividida em conjuntos de treino, validação e teste (70/15/15). Aplicaram-se os modelos Naive, Sazonal, Holt-Winters e SARIMA, com variação simples de parâmetros.</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Avaliação: as previsões foram comparadas por meio das métricas RMSE, MAE e MAPE, e representadas graficamente no intervalo de teste.</w:t>
      </w:r>
    </w:p>
    <w:p>
      <w:pPr>
        <w:pStyle w:val="ListParagraph"/>
        <w:widowControl/>
        <w:numPr>
          <w:ilvl w:val="0"/>
          <w:numId w:val="5"/>
        </w:numPr>
        <w:suppressAutoHyphens w:val="true"/>
        <w:bidi w:val="0"/>
        <w:spacing w:lineRule="auto" w:line="259" w:before="0" w:after="160"/>
        <w:ind w:hanging="0" w:left="1134" w:right="0"/>
        <w:contextualSpacing/>
        <w:jc w:val="both"/>
        <w:rPr>
          <w:rFonts w:ascii="Arial" w:hAnsi="Arial" w:cs="Arial"/>
          <w:b w:val="false"/>
          <w:bCs w:val="false"/>
          <w:color w:val="111111"/>
          <w:sz w:val="24"/>
        </w:rPr>
      </w:pPr>
      <w:r>
        <w:rPr>
          <w:rFonts w:cs="Arial" w:ascii="Arial" w:hAnsi="Arial"/>
          <w:b w:val="false"/>
          <w:bCs w:val="false"/>
          <w:color w:val="111111"/>
          <w:sz w:val="24"/>
        </w:rPr>
        <w:t>Conclusão e refinamento: os resultados apontaram melhor desempenho dos modelos com componentes sazonais, sugerindo, para etapas futuras, a inclusão de variáveis exógenas e métodos automatizados de seleção de parâmetros (AIC/BIC).</w:t>
      </w:r>
    </w:p>
    <w:p>
      <w:pPr>
        <w:pStyle w:val="ListParagraph"/>
        <w:jc w:val="both"/>
        <w:rPr>
          <w:rFonts w:ascii="Arial" w:hAnsi="Arial" w:cs="Arial"/>
          <w:b w:val="false"/>
          <w:bCs w:val="false"/>
          <w:color w:val="111111"/>
          <w:sz w:val="24"/>
        </w:rPr>
      </w:pPr>
      <w:r>
        <w:rPr>
          <w:rFonts w:cs="Arial" w:ascii="Arial" w:hAnsi="Arial"/>
          <w:b w:val="false"/>
          <w:bCs w:val="false"/>
          <w:color w:val="111111"/>
          <w:sz w:val="24"/>
        </w:rPr>
      </w:r>
    </w:p>
    <w:p>
      <w:pPr>
        <w:pStyle w:val="BodyText"/>
        <w:rPr>
          <w:rFonts w:ascii="Arial" w:hAnsi="Arial" w:cs="Arial"/>
          <w:b/>
          <w:bCs/>
          <w:color w:val="111111"/>
          <w:sz w:val="24"/>
        </w:rPr>
      </w:pPr>
      <w:r>
        <w:rPr>
          <w:rFonts w:cs="Arial" w:ascii="Arial" w:hAnsi="Arial"/>
          <w:color w:val="111111"/>
          <w:sz w:val="24"/>
          <w:szCs w:val="24"/>
        </w:rPr>
      </w:r>
    </w:p>
    <w:p>
      <w:pPr>
        <w:pStyle w:val="BodyText"/>
        <w:numPr>
          <w:ilvl w:val="0"/>
          <w:numId w:val="2"/>
        </w:numPr>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t>EDA e Pré-processamento dos dados</w:t>
      </w:r>
    </w:p>
    <w:p>
      <w:pPr>
        <w:pStyle w:val="BodyText"/>
        <w:spacing w:lineRule="auto" w:line="360" w:before="0" w:after="0"/>
        <w:contextualSpacing/>
        <w:jc w:val="both"/>
        <w:rPr>
          <w:rFonts w:ascii="Arial" w:hAnsi="Arial" w:cs="Arial"/>
          <w:color w:val="111111"/>
          <w:sz w:val="24"/>
          <w:szCs w:val="24"/>
        </w:rPr>
      </w:pPr>
      <w:r>
        <w:rPr>
          <w:rFonts w:cs="Arial" w:ascii="Arial" w:hAnsi="Arial"/>
          <w:color w:val="111111"/>
          <w:sz w:val="24"/>
          <w:szCs w:val="24"/>
        </w:rPr>
      </w:r>
    </w:p>
    <w:p>
      <w:pPr>
        <w:pStyle w:val="BodyText"/>
        <w:spacing w:lineRule="auto" w:line="360" w:before="0" w:after="0"/>
        <w:contextualSpacing/>
        <w:jc w:val="both"/>
        <w:rPr>
          <w:rFonts w:ascii="Arial" w:hAnsi="Arial" w:cs="Arial"/>
          <w:color w:val="111111"/>
          <w:sz w:val="24"/>
          <w:szCs w:val="24"/>
        </w:rPr>
      </w:pPr>
      <w:r>
        <w:rPr>
          <w:rFonts w:cs="Arial" w:ascii="Arial" w:hAnsi="Arial"/>
          <w:color w:val="111111"/>
          <w:sz w:val="24"/>
          <w:szCs w:val="24"/>
        </w:rPr>
        <w:t xml:space="preserve">Conforme código constante do Github do Projeto: </w:t>
      </w:r>
      <w:hyperlink r:id="rId3">
        <w:r>
          <w:rPr>
            <w:rStyle w:val="Hyperlink"/>
            <w:rFonts w:cs="Arial" w:ascii="Arial" w:hAnsi="Arial"/>
            <w:color w:val="111111"/>
            <w:sz w:val="24"/>
            <w:szCs w:val="24"/>
          </w:rPr>
          <w:t>https://github.com/pcmassonjr/ProjetoAplicado4</w:t>
        </w:r>
      </w:hyperlink>
      <w:r>
        <w:rPr>
          <w:rFonts w:cs="Arial" w:ascii="Arial" w:hAnsi="Arial"/>
          <w:color w:val="111111"/>
          <w:sz w:val="24"/>
          <w:szCs w:val="24"/>
        </w:rPr>
        <w:t xml:space="preserve">  .</w:t>
      </w:r>
    </w:p>
    <w:p>
      <w:pPr>
        <w:pStyle w:val="BodyText"/>
        <w:spacing w:lineRule="auto" w:line="360" w:before="0" w:after="0"/>
        <w:contextualSpacing/>
        <w:jc w:val="both"/>
        <w:rPr>
          <w:rFonts w:ascii="Arial" w:hAnsi="Arial" w:cs="Arial"/>
          <w:color w:val="111111"/>
          <w:sz w:val="24"/>
          <w:szCs w:val="24"/>
        </w:rPr>
      </w:pPr>
      <w:r>
        <w:rPr>
          <w:rFonts w:cs="Arial" w:ascii="Arial" w:hAnsi="Arial"/>
          <w:color w:val="111111"/>
          <w:sz w:val="24"/>
          <w:szCs w:val="24"/>
        </w:rPr>
        <w:t>Foram feitas diversas explorações na base, podendo ser mencionadas buscas por valores ausentes, conversões, descartes de atributos para redução da dimensionalidade, entre outros. Trazemos abaixo apenas os principais gráficos que ilustram o resultado dessa exploração inicial.</w:t>
      </w:r>
    </w:p>
    <w:p>
      <w:pPr>
        <w:pStyle w:val="BodyText"/>
        <w:spacing w:lineRule="auto" w:line="360" w:before="0" w:after="0"/>
        <w:contextualSpacing/>
        <w:jc w:val="both"/>
        <w:rPr>
          <w:rFonts w:ascii="Arial" w:hAnsi="Arial" w:cs="Arial"/>
          <w:color w:val="111111"/>
          <w:sz w:val="24"/>
          <w:szCs w:val="24"/>
        </w:rPr>
      </w:pPr>
      <w:r>
        <w:rPr>
          <w:rFonts w:cs="Arial" w:ascii="Arial" w:hAnsi="Arial"/>
          <w:color w:val="111111"/>
          <w:sz w:val="24"/>
          <w:szCs w:val="24"/>
        </w:rPr>
      </w:r>
    </w:p>
    <w:p>
      <w:pPr>
        <w:pStyle w:val="Normal"/>
        <w:rPr/>
      </w:pPr>
      <w:r>
        <w:rPr/>
        <w:drawing>
          <wp:inline distT="0" distB="0" distL="0" distR="0">
            <wp:extent cx="5943600" cy="2945765"/>
            <wp:effectExtent l="0" t="0" r="0" b="0"/>
            <wp:docPr id="2" name="Picture 436146746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36146746 Copia 1" descr=""/>
                    <pic:cNvPicPr>
                      <a:picLocks noChangeAspect="1" noChangeArrowheads="1"/>
                    </pic:cNvPicPr>
                  </pic:nvPicPr>
                  <pic:blipFill>
                    <a:blip r:embed="rId4"/>
                    <a:stretch>
                      <a:fillRect/>
                    </a:stretch>
                  </pic:blipFill>
                  <pic:spPr bwMode="auto">
                    <a:xfrm>
                      <a:off x="0" y="0"/>
                      <a:ext cx="5943600" cy="2945765"/>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945765"/>
            <wp:effectExtent l="0" t="0" r="0" b="0"/>
            <wp:docPr id="3" name="Picture 436146747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36146747 Copia 1" descr=""/>
                    <pic:cNvPicPr>
                      <a:picLocks noChangeAspect="1" noChangeArrowheads="1"/>
                    </pic:cNvPicPr>
                  </pic:nvPicPr>
                  <pic:blipFill>
                    <a:blip r:embed="rId5"/>
                    <a:stretch>
                      <a:fillRect/>
                    </a:stretch>
                  </pic:blipFill>
                  <pic:spPr bwMode="auto">
                    <a:xfrm>
                      <a:off x="0" y="0"/>
                      <a:ext cx="5943600" cy="2945765"/>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945765"/>
            <wp:effectExtent l="0" t="0" r="0" b="0"/>
            <wp:docPr id="4" name="Picture 436146748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36146748 Copia 1" descr=""/>
                    <pic:cNvPicPr>
                      <a:picLocks noChangeAspect="1" noChangeArrowheads="1"/>
                    </pic:cNvPicPr>
                  </pic:nvPicPr>
                  <pic:blipFill>
                    <a:blip r:embed="rId6"/>
                    <a:stretch>
                      <a:fillRect/>
                    </a:stretch>
                  </pic:blipFill>
                  <pic:spPr bwMode="auto">
                    <a:xfrm>
                      <a:off x="0" y="0"/>
                      <a:ext cx="5943600" cy="2945765"/>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446020"/>
            <wp:effectExtent l="0" t="0" r="0" b="0"/>
            <wp:docPr id="5" name="Picture 436146749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36146749 Copia 1" descr=""/>
                    <pic:cNvPicPr>
                      <a:picLocks noChangeAspect="1" noChangeArrowheads="1"/>
                    </pic:cNvPicPr>
                  </pic:nvPicPr>
                  <pic:blipFill>
                    <a:blip r:embed="rId7"/>
                    <a:stretch>
                      <a:fillRect/>
                    </a:stretch>
                  </pic:blipFill>
                  <pic:spPr bwMode="auto">
                    <a:xfrm>
                      <a:off x="0" y="0"/>
                      <a:ext cx="5943600" cy="2446020"/>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446020"/>
            <wp:effectExtent l="0" t="0" r="0" b="0"/>
            <wp:docPr id="6" name="Picture 436146750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36146750 Copia 1" descr=""/>
                    <pic:cNvPicPr>
                      <a:picLocks noChangeAspect="1" noChangeArrowheads="1"/>
                    </pic:cNvPicPr>
                  </pic:nvPicPr>
                  <pic:blipFill>
                    <a:blip r:embed="rId8"/>
                    <a:stretch>
                      <a:fillRect/>
                    </a:stretch>
                  </pic:blipFill>
                  <pic:spPr bwMode="auto">
                    <a:xfrm>
                      <a:off x="0" y="0"/>
                      <a:ext cx="5943600" cy="2446020"/>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446020"/>
            <wp:effectExtent l="0" t="0" r="0" b="0"/>
            <wp:docPr id="7" name="Picture 43614675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36146751 Copia 1" descr=""/>
                    <pic:cNvPicPr>
                      <a:picLocks noChangeAspect="1" noChangeArrowheads="1"/>
                    </pic:cNvPicPr>
                  </pic:nvPicPr>
                  <pic:blipFill>
                    <a:blip r:embed="rId9"/>
                    <a:stretch>
                      <a:fillRect/>
                    </a:stretch>
                  </pic:blipFill>
                  <pic:spPr bwMode="auto">
                    <a:xfrm>
                      <a:off x="0" y="0"/>
                      <a:ext cx="5943600" cy="2446020"/>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446020"/>
            <wp:effectExtent l="0" t="0" r="0" b="0"/>
            <wp:docPr id="8" name="Picture 43614675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36146752 Copia 1" descr=""/>
                    <pic:cNvPicPr>
                      <a:picLocks noChangeAspect="1" noChangeArrowheads="1"/>
                    </pic:cNvPicPr>
                  </pic:nvPicPr>
                  <pic:blipFill>
                    <a:blip r:embed="rId10"/>
                    <a:stretch>
                      <a:fillRect/>
                    </a:stretch>
                  </pic:blipFill>
                  <pic:spPr bwMode="auto">
                    <a:xfrm>
                      <a:off x="0" y="0"/>
                      <a:ext cx="5943600" cy="2446020"/>
                    </a:xfrm>
                    <a:prstGeom prst="rect">
                      <a:avLst/>
                    </a:prstGeom>
                  </pic:spPr>
                </pic:pic>
              </a:graphicData>
            </a:graphic>
          </wp:inline>
        </w:drawing>
      </w:r>
    </w:p>
    <w:p>
      <w:pPr>
        <w:pStyle w:val="Normal"/>
        <w:jc w:val="center"/>
        <w:rPr>
          <w:i/>
          <w:i/>
        </w:rPr>
      </w:pPr>
      <w:r>
        <w:rPr>
          <w:i/>
        </w:rPr>
      </w:r>
    </w:p>
    <w:p>
      <w:pPr>
        <w:pStyle w:val="Normal"/>
        <w:rPr/>
      </w:pPr>
      <w:r>
        <w:rPr/>
        <w:drawing>
          <wp:inline distT="0" distB="0" distL="0" distR="0">
            <wp:extent cx="5943600" cy="2446020"/>
            <wp:effectExtent l="0" t="0" r="0" b="0"/>
            <wp:docPr id="9" name="Picture 436146753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36146753 Copia 1" descr=""/>
                    <pic:cNvPicPr>
                      <a:picLocks noChangeAspect="1" noChangeArrowheads="1"/>
                    </pic:cNvPicPr>
                  </pic:nvPicPr>
                  <pic:blipFill>
                    <a:blip r:embed="rId11"/>
                    <a:stretch>
                      <a:fillRect/>
                    </a:stretch>
                  </pic:blipFill>
                  <pic:spPr bwMode="auto">
                    <a:xfrm>
                      <a:off x="0" y="0"/>
                      <a:ext cx="5943600" cy="2446020"/>
                    </a:xfrm>
                    <a:prstGeom prst="rect">
                      <a:avLst/>
                    </a:prstGeom>
                  </pic:spPr>
                </pic:pic>
              </a:graphicData>
            </a:graphic>
          </wp:inline>
        </w:drawing>
      </w:r>
    </w:p>
    <w:p>
      <w:pPr>
        <w:pStyle w:val="Normal"/>
        <w:jc w:val="center"/>
        <w:rPr>
          <w:i/>
          <w:i/>
        </w:rPr>
      </w:pPr>
      <w:r>
        <w:rPr>
          <w:i/>
        </w:rPr>
      </w:r>
    </w:p>
    <w:p>
      <w:pPr>
        <w:pStyle w:val="BodyText"/>
        <w:spacing w:lineRule="auto" w:line="360" w:before="0" w:after="0"/>
        <w:contextualSpacing/>
        <w:jc w:val="both"/>
        <w:rPr>
          <w:rFonts w:ascii="Arial" w:hAnsi="Arial" w:cs="Arial"/>
          <w:color w:val="111111"/>
          <w:sz w:val="24"/>
          <w:szCs w:val="24"/>
        </w:rPr>
      </w:pPr>
      <w:r>
        <w:rPr>
          <w:rFonts w:cs="Arial" w:ascii="Arial" w:hAnsi="Arial"/>
          <w:color w:val="111111"/>
          <w:sz w:val="24"/>
          <w:szCs w:val="24"/>
        </w:rPr>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Modelo Base</w:t>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b w:val="false"/>
          <w:bCs w:val="false"/>
        </w:rPr>
      </w:pPr>
      <w:r>
        <w:rPr>
          <w:rFonts w:cs="Arial" w:ascii="Arial" w:hAnsi="Arial"/>
          <w:b w:val="false"/>
          <w:bCs w:val="false"/>
          <w:color w:val="111111"/>
          <w:sz w:val="24"/>
          <w:szCs w:val="24"/>
        </w:rPr>
        <w:t>Conforme o roteiro da Etapa 3, esta seção introduz as técnicas escolhidas, a implementação dos modelos, o procedimento de validação temporal e as métricas de avaliação. Os gráficos e trechos de saída foram incluídos para evidenciar o funcionamento e o desempenho.</w:t>
      </w:r>
    </w:p>
    <w:p>
      <w:pPr>
        <w:pStyle w:val="BodyText"/>
        <w:spacing w:lineRule="auto" w:line="360" w:before="0" w:after="0"/>
        <w:contextualSpacing/>
        <w:jc w:val="both"/>
        <w:rPr>
          <w:b w:val="false"/>
          <w:bCs w:val="false"/>
        </w:rPr>
      </w:pPr>
      <w:r>
        <w:rPr>
          <w:rFonts w:cs="Arial" w:ascii="Arial" w:hAnsi="Arial"/>
          <w:b w:val="false"/>
          <w:bCs w:val="false"/>
          <w:color w:val="111111"/>
          <w:sz w:val="24"/>
          <w:szCs w:val="24"/>
        </w:rPr>
        <w:t>Foram consideradas técnicas adequadas a séries com tendência e sazonalidade: baselines ingênuos (Naive e Sazonal com defasagem 12), Holt-Winters (suavização exponencial tripla) e SARIMA (p,d,q)×(P,D,Q,12). Holt-Winters e SARIMA foram eleitas como técnicas principais, pois capturam explicitamente componentes de tendência e sazonalidade.</w:t>
      </w:r>
    </w:p>
    <w:p>
      <w:pPr>
        <w:pStyle w:val="BodyText"/>
        <w:spacing w:lineRule="auto" w:line="360" w:before="0" w:after="0"/>
        <w:contextualSpacing/>
        <w:jc w:val="both"/>
        <w:rPr>
          <w:rFonts w:ascii="Arial" w:hAnsi="Arial" w:cs="Arial"/>
          <w:color w:val="111111"/>
          <w:sz w:val="24"/>
          <w:szCs w:val="24"/>
        </w:rPr>
      </w:pPr>
      <w:r>
        <w:rPr>
          <w:rFonts w:cs="Arial" w:ascii="Arial" w:hAnsi="Arial"/>
          <w:b/>
          <w:bCs/>
          <w:color w:val="111111"/>
          <w:sz w:val="24"/>
        </w:rPr>
      </w:r>
    </w:p>
    <w:p>
      <w:pPr>
        <w:pStyle w:val="Heading3"/>
        <w:numPr>
          <w:ilvl w:val="0"/>
          <w:numId w:val="0"/>
        </w:numPr>
        <w:spacing w:lineRule="auto" w:line="360" w:before="0" w:after="0"/>
        <w:ind w:hanging="0" w:left="720"/>
        <w:contextualSpacing/>
        <w:jc w:val="both"/>
        <w:rPr>
          <w:rFonts w:ascii="Arial" w:hAnsi="Arial"/>
          <w:b w:val="false"/>
          <w:bCs w:val="false"/>
          <w:sz w:val="22"/>
          <w:szCs w:val="22"/>
        </w:rPr>
      </w:pPr>
      <w:r>
        <w:rPr>
          <w:rFonts w:cs="Arial" w:ascii="Arial" w:hAnsi="Arial"/>
          <w:b w:val="false"/>
          <w:bCs w:val="false"/>
          <w:color w:val="111111"/>
          <w:sz w:val="22"/>
          <w:szCs w:val="22"/>
        </w:rPr>
        <w:t>Desempenho em TESTE (busca inicial por melhores hiperparâmetros)</w:t>
      </w:r>
    </w:p>
    <w:tbl>
      <w:tblPr>
        <w:tblW w:w="9131" w:type="dxa"/>
        <w:jc w:val="left"/>
        <w:tblInd w:w="-33" w:type="dxa"/>
        <w:tblLayout w:type="fixed"/>
        <w:tblCellMar>
          <w:top w:w="28" w:type="dxa"/>
          <w:left w:w="28" w:type="dxa"/>
          <w:bottom w:w="28" w:type="dxa"/>
          <w:right w:w="28" w:type="dxa"/>
        </w:tblCellMar>
      </w:tblPr>
      <w:tblGrid>
        <w:gridCol w:w="3629"/>
        <w:gridCol w:w="1981"/>
        <w:gridCol w:w="1930"/>
        <w:gridCol w:w="1590"/>
      </w:tblGrid>
      <w:tr>
        <w:trPr>
          <w:tblHeader w:val="true"/>
        </w:trPr>
        <w:tc>
          <w:tcPr>
            <w:tcW w:w="3629" w:type="dxa"/>
            <w:tcBorders>
              <w:top w:val="single" w:sz="2" w:space="0" w:color="000000"/>
              <w:left w:val="single" w:sz="2" w:space="0" w:color="000000"/>
              <w:bottom w:val="single" w:sz="2" w:space="0" w:color="000000"/>
            </w:tcBorders>
            <w:vAlign w:val="center"/>
          </w:tcPr>
          <w:p>
            <w:pPr>
              <w:pStyle w:val="Ttulodetabela"/>
              <w:spacing w:before="0" w:after="160"/>
              <w:rPr>
                <w:rFonts w:ascii="Arial" w:hAnsi="Arial"/>
                <w:sz w:val="22"/>
                <w:szCs w:val="22"/>
              </w:rPr>
            </w:pPr>
            <w:r>
              <w:rPr>
                <w:rFonts w:ascii="Arial" w:hAnsi="Arial"/>
                <w:sz w:val="22"/>
                <w:szCs w:val="22"/>
              </w:rPr>
              <w:t>Modelo</w:t>
            </w:r>
          </w:p>
        </w:tc>
        <w:tc>
          <w:tcPr>
            <w:tcW w:w="1981" w:type="dxa"/>
            <w:tcBorders>
              <w:top w:val="single" w:sz="2" w:space="0" w:color="000000"/>
              <w:left w:val="single" w:sz="2" w:space="0" w:color="000000"/>
              <w:bottom w:val="single" w:sz="2" w:space="0" w:color="000000"/>
            </w:tcBorders>
            <w:vAlign w:val="center"/>
          </w:tcPr>
          <w:p>
            <w:pPr>
              <w:pStyle w:val="Ttulodetabela"/>
              <w:spacing w:before="0" w:after="160"/>
              <w:rPr>
                <w:rFonts w:ascii="Arial" w:hAnsi="Arial"/>
                <w:sz w:val="22"/>
                <w:szCs w:val="22"/>
              </w:rPr>
            </w:pPr>
            <w:r>
              <w:rPr>
                <w:rFonts w:ascii="Arial" w:hAnsi="Arial"/>
                <w:sz w:val="22"/>
                <w:szCs w:val="22"/>
              </w:rPr>
              <w:t>RMSE</w:t>
            </w:r>
          </w:p>
        </w:tc>
        <w:tc>
          <w:tcPr>
            <w:tcW w:w="1930" w:type="dxa"/>
            <w:tcBorders>
              <w:top w:val="single" w:sz="2" w:space="0" w:color="000000"/>
              <w:left w:val="single" w:sz="2" w:space="0" w:color="000000"/>
              <w:bottom w:val="single" w:sz="2" w:space="0" w:color="000000"/>
            </w:tcBorders>
            <w:vAlign w:val="center"/>
          </w:tcPr>
          <w:p>
            <w:pPr>
              <w:pStyle w:val="Ttulodetabela"/>
              <w:spacing w:before="0" w:after="160"/>
              <w:rPr>
                <w:rFonts w:ascii="Arial" w:hAnsi="Arial"/>
                <w:sz w:val="22"/>
                <w:szCs w:val="22"/>
              </w:rPr>
            </w:pPr>
            <w:r>
              <w:rPr>
                <w:rFonts w:ascii="Arial" w:hAnsi="Arial"/>
                <w:sz w:val="22"/>
                <w:szCs w:val="22"/>
              </w:rPr>
              <w:t>MAE</w:t>
            </w:r>
          </w:p>
        </w:tc>
        <w:tc>
          <w:tcPr>
            <w:tcW w:w="1590" w:type="dxa"/>
            <w:tcBorders>
              <w:top w:val="single" w:sz="2" w:space="0" w:color="000000"/>
              <w:left w:val="single" w:sz="2" w:space="0" w:color="000000"/>
              <w:bottom w:val="single" w:sz="2" w:space="0" w:color="000000"/>
              <w:right w:val="single" w:sz="2" w:space="0" w:color="000000"/>
            </w:tcBorders>
            <w:vAlign w:val="center"/>
          </w:tcPr>
          <w:p>
            <w:pPr>
              <w:pStyle w:val="Ttulodetabela"/>
              <w:spacing w:before="0" w:after="160"/>
              <w:rPr>
                <w:rFonts w:ascii="Arial" w:hAnsi="Arial"/>
                <w:sz w:val="22"/>
                <w:szCs w:val="22"/>
              </w:rPr>
            </w:pPr>
            <w:r>
              <w:rPr>
                <w:rFonts w:ascii="Arial" w:hAnsi="Arial"/>
                <w:sz w:val="22"/>
                <w:szCs w:val="22"/>
              </w:rPr>
              <w:t>MAPE (%)</w:t>
            </w:r>
          </w:p>
        </w:tc>
      </w:tr>
      <w:tr>
        <w:trPr/>
        <w:tc>
          <w:tcPr>
            <w:tcW w:w="3629" w:type="dxa"/>
            <w:tcBorders>
              <w:left w:val="single" w:sz="2" w:space="0" w:color="000000"/>
              <w:bottom w:val="single" w:sz="2" w:space="0" w:color="000000"/>
            </w:tcBorders>
            <w:vAlign w:val="center"/>
          </w:tcPr>
          <w:p>
            <w:pPr>
              <w:pStyle w:val="Contedodatabela"/>
              <w:widowControl w:val="false"/>
              <w:suppressLineNumbers/>
              <w:spacing w:before="0" w:after="160"/>
              <w:rPr/>
            </w:pPr>
            <w:r>
              <w:rPr>
                <w:rStyle w:val="Strong"/>
                <w:rFonts w:ascii="Arial" w:hAnsi="Arial"/>
                <w:sz w:val="22"/>
                <w:szCs w:val="22"/>
              </w:rPr>
              <w:t>Sazonal (lag12)</w:t>
            </w:r>
          </w:p>
        </w:tc>
        <w:tc>
          <w:tcPr>
            <w:tcW w:w="1981"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2020.198339</w:t>
            </w:r>
          </w:p>
        </w:tc>
        <w:tc>
          <w:tcPr>
            <w:tcW w:w="1930"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1566.984375</w:t>
            </w:r>
          </w:p>
        </w:tc>
        <w:tc>
          <w:tcPr>
            <w:tcW w:w="1590" w:type="dxa"/>
            <w:tcBorders>
              <w:left w:val="single" w:sz="2" w:space="0" w:color="000000"/>
              <w:bottom w:val="single" w:sz="2" w:space="0" w:color="000000"/>
              <w:right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6.4030</w:t>
            </w:r>
          </w:p>
        </w:tc>
      </w:tr>
      <w:tr>
        <w:trPr/>
        <w:tc>
          <w:tcPr>
            <w:tcW w:w="3629" w:type="dxa"/>
            <w:tcBorders>
              <w:left w:val="single" w:sz="2" w:space="0" w:color="000000"/>
              <w:bottom w:val="single" w:sz="2" w:space="0" w:color="000000"/>
            </w:tcBorders>
            <w:vAlign w:val="center"/>
          </w:tcPr>
          <w:p>
            <w:pPr>
              <w:pStyle w:val="Contedodatabela"/>
              <w:widowControl w:val="false"/>
              <w:suppressLineNumbers/>
              <w:spacing w:before="0" w:after="160"/>
              <w:rPr/>
            </w:pPr>
            <w:r>
              <w:rPr>
                <w:rStyle w:val="Strong"/>
                <w:rFonts w:ascii="Arial" w:hAnsi="Arial"/>
                <w:sz w:val="22"/>
                <w:szCs w:val="22"/>
              </w:rPr>
              <w:t>Naive</w:t>
            </w:r>
          </w:p>
        </w:tc>
        <w:tc>
          <w:tcPr>
            <w:tcW w:w="1981"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2087.441552</w:t>
            </w:r>
          </w:p>
        </w:tc>
        <w:tc>
          <w:tcPr>
            <w:tcW w:w="1930"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1559.984375</w:t>
            </w:r>
          </w:p>
        </w:tc>
        <w:tc>
          <w:tcPr>
            <w:tcW w:w="1590" w:type="dxa"/>
            <w:tcBorders>
              <w:left w:val="single" w:sz="2" w:space="0" w:color="000000"/>
              <w:bottom w:val="single" w:sz="2" w:space="0" w:color="000000"/>
              <w:right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6.4135</w:t>
            </w:r>
          </w:p>
        </w:tc>
      </w:tr>
      <w:tr>
        <w:trPr/>
        <w:tc>
          <w:tcPr>
            <w:tcW w:w="3629" w:type="dxa"/>
            <w:tcBorders>
              <w:left w:val="single" w:sz="2" w:space="0" w:color="000000"/>
              <w:bottom w:val="single" w:sz="2" w:space="0" w:color="000000"/>
            </w:tcBorders>
            <w:vAlign w:val="center"/>
          </w:tcPr>
          <w:p>
            <w:pPr>
              <w:pStyle w:val="Contedodatabela"/>
              <w:widowControl w:val="false"/>
              <w:suppressLineNumbers/>
              <w:spacing w:before="0" w:after="160"/>
              <w:rPr/>
            </w:pPr>
            <w:r>
              <w:rPr>
                <w:rStyle w:val="Strong"/>
                <w:rFonts w:ascii="Arial" w:hAnsi="Arial"/>
                <w:sz w:val="22"/>
                <w:szCs w:val="22"/>
              </w:rPr>
              <w:t>SARIMA (1,0,0) × (1,0,1,12)</w:t>
            </w:r>
          </w:p>
        </w:tc>
        <w:tc>
          <w:tcPr>
            <w:tcW w:w="1981"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2382.967558</w:t>
            </w:r>
          </w:p>
        </w:tc>
        <w:tc>
          <w:tcPr>
            <w:tcW w:w="1930"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1839.177857</w:t>
            </w:r>
          </w:p>
        </w:tc>
        <w:tc>
          <w:tcPr>
            <w:tcW w:w="1590" w:type="dxa"/>
            <w:tcBorders>
              <w:left w:val="single" w:sz="2" w:space="0" w:color="000000"/>
              <w:bottom w:val="single" w:sz="2" w:space="0" w:color="000000"/>
              <w:right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7.5514</w:t>
            </w:r>
          </w:p>
        </w:tc>
      </w:tr>
      <w:tr>
        <w:trPr/>
        <w:tc>
          <w:tcPr>
            <w:tcW w:w="3629" w:type="dxa"/>
            <w:tcBorders>
              <w:left w:val="single" w:sz="2" w:space="0" w:color="000000"/>
              <w:bottom w:val="single" w:sz="2" w:space="0" w:color="000000"/>
            </w:tcBorders>
            <w:vAlign w:val="center"/>
          </w:tcPr>
          <w:p>
            <w:pPr>
              <w:pStyle w:val="Contedodatabela"/>
              <w:widowControl w:val="false"/>
              <w:suppressLineNumbers/>
              <w:spacing w:before="0" w:after="160"/>
              <w:rPr/>
            </w:pPr>
            <w:r>
              <w:rPr>
                <w:rStyle w:val="Strong"/>
                <w:rFonts w:ascii="Arial" w:hAnsi="Arial"/>
                <w:sz w:val="22"/>
                <w:szCs w:val="22"/>
              </w:rPr>
              <w:t>Holt-Winters (add, add, 12)</w:t>
            </w:r>
          </w:p>
        </w:tc>
        <w:tc>
          <w:tcPr>
            <w:tcW w:w="1981"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2593.806923</w:t>
            </w:r>
          </w:p>
        </w:tc>
        <w:tc>
          <w:tcPr>
            <w:tcW w:w="1930" w:type="dxa"/>
            <w:tcBorders>
              <w:left w:val="single" w:sz="2" w:space="0" w:color="000000"/>
              <w:bottom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2049.476434</w:t>
            </w:r>
          </w:p>
        </w:tc>
        <w:tc>
          <w:tcPr>
            <w:tcW w:w="1590" w:type="dxa"/>
            <w:tcBorders>
              <w:left w:val="single" w:sz="2" w:space="0" w:color="000000"/>
              <w:bottom w:val="single" w:sz="2" w:space="0" w:color="000000"/>
              <w:right w:val="single" w:sz="2" w:space="0" w:color="000000"/>
            </w:tcBorders>
            <w:vAlign w:val="center"/>
          </w:tcPr>
          <w:p>
            <w:pPr>
              <w:pStyle w:val="Contedodatabela"/>
              <w:spacing w:before="0" w:after="160"/>
              <w:rPr>
                <w:rFonts w:ascii="Arial" w:hAnsi="Arial"/>
                <w:sz w:val="22"/>
                <w:szCs w:val="22"/>
              </w:rPr>
            </w:pPr>
            <w:r>
              <w:rPr>
                <w:rFonts w:ascii="Arial" w:hAnsi="Arial"/>
                <w:sz w:val="22"/>
                <w:szCs w:val="22"/>
              </w:rPr>
              <w:t>8.3764</w:t>
            </w:r>
          </w:p>
        </w:tc>
      </w:tr>
    </w:tbl>
    <w:p>
      <w:pPr>
        <w:pStyle w:val="BodyText"/>
        <w:spacing w:lineRule="auto" w:line="360" w:before="0" w:after="0"/>
        <w:contextualSpacing/>
        <w:jc w:val="both"/>
        <w:rPr>
          <w:rFonts w:ascii="Arial" w:hAnsi="Arial"/>
          <w:sz w:val="22"/>
          <w:szCs w:val="22"/>
        </w:rPr>
      </w:pPr>
      <w:r>
        <w:rPr>
          <w:rFonts w:ascii="Arial" w:hAnsi="Arial"/>
          <w:sz w:val="22"/>
          <w:szCs w:val="22"/>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60085" cy="2370455"/>
            <wp:effectExtent l="0" t="0" r="0" b="0"/>
            <wp:wrapSquare wrapText="largest"/>
            <wp:docPr id="10"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
                    <pic:cNvPicPr>
                      <a:picLocks noChangeAspect="1" noChangeArrowheads="1"/>
                    </pic:cNvPicPr>
                  </pic:nvPicPr>
                  <pic:blipFill>
                    <a:blip r:embed="rId12"/>
                    <a:stretch>
                      <a:fillRect/>
                    </a:stretch>
                  </pic:blipFill>
                  <pic:spPr bwMode="auto">
                    <a:xfrm>
                      <a:off x="0" y="0"/>
                      <a:ext cx="5760085" cy="2370455"/>
                    </a:xfrm>
                    <a:prstGeom prst="rect">
                      <a:avLst/>
                    </a:prstGeom>
                  </pic:spPr>
                </pic:pic>
              </a:graphicData>
            </a:graphic>
          </wp:anchor>
        </w:drawing>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Cronograma</w:t>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Normal"/>
        <w:rPr/>
      </w:pPr>
      <w:r>
        <w:rPr/>
      </w:r>
    </w:p>
    <w:tbl>
      <w:tblPr>
        <w:tblStyle w:val="Tabelacomgrade"/>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Período/Data</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Atividades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Entregas/Observações</w:t>
            </w:r>
          </w:p>
        </w:tc>
      </w:tr>
      <w:tr>
        <w:trPr>
          <w:trHeight w:val="650"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Até 10/09</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Levantamento inicial e revisão bibliográfica</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Fundamento teórico e contextualização</w:t>
            </w:r>
          </w:p>
        </w:tc>
      </w:tr>
      <w:tr>
        <w:trPr>
          <w:trHeight w:val="702"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11/09 a 20/09</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Coleta e consolidação dos dados oficiais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Preparação da base de dados para análise</w:t>
            </w:r>
          </w:p>
        </w:tc>
      </w:tr>
      <w:tr>
        <w:trPr>
          <w:trHeight w:val="542"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21/09 a 25/09</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Tratamento e limpeza dos dados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Garantia de qualidade e integridade dos dados</w:t>
            </w:r>
          </w:p>
        </w:tc>
      </w:tr>
      <w:tr>
        <w:trPr>
          <w:trHeight w:val="848"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26/09</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Entrega da 2ª etapa: análise exploratória preliminar das séries temporais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Avaliação de tendências e sazonalidades</w:t>
            </w:r>
          </w:p>
        </w:tc>
      </w:tr>
      <w:tr>
        <w:trPr>
          <w:trHeight w:val="702"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27/09 a 10/10</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Exploração aprofundada dos dados com técnicas estatísticas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Refinamento das análises e identificação de padrões</w:t>
            </w:r>
          </w:p>
        </w:tc>
      </w:tr>
      <w:tr>
        <w:trPr>
          <w:trHeight w:val="686"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11/10 a 20/10</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Desenvolvimento inicial dos modelos preditivos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Aplicação de métodos de aprendizado de máquina</w:t>
            </w:r>
          </w:p>
        </w:tc>
      </w:tr>
      <w:tr>
        <w:trPr>
          <w:trHeight w:val="554"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21/10 a 30/10</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Validação dos modelos e configurações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Ajuste de hiperparâmetros e avaliação de desempenho</w:t>
            </w:r>
          </w:p>
        </w:tc>
      </w:tr>
      <w:tr>
        <w:trPr>
          <w:trHeight w:val="846"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31/10</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Entrega da 3ª etapa: apresentação dos modelos preditivos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Propostas para previsão e planejamento</w:t>
            </w:r>
          </w:p>
        </w:tc>
      </w:tr>
      <w:tr>
        <w:trPr>
          <w:trHeight w:val="703"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01/11 a 15/11</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Elaboração das visualizações gráficas dos resultados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Facilitar compreensão e comunicação</w:t>
            </w:r>
          </w:p>
        </w:tc>
      </w:tr>
      <w:tr>
        <w:trPr>
          <w:trHeight w:val="557"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16/11 a 27/11</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Redação do relatório final e consolidação das análises</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Integração dos resultados e conclusões</w:t>
            </w:r>
          </w:p>
        </w:tc>
      </w:tr>
      <w:tr>
        <w:trPr>
          <w:trHeight w:val="550" w:hRule="atLeast"/>
        </w:trPr>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28/11</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Entrega da 4ª etapa: relatório final do projeto</w:t>
            </w:r>
          </w:p>
        </w:tc>
        <w:tc>
          <w:tcPr>
            <w:tcW w:w="2880" w:type="dxa"/>
            <w:tcBorders/>
          </w:tcPr>
          <w:p>
            <w:pPr>
              <w:pStyle w:val="Normal"/>
              <w:widowControl/>
              <w:suppressAutoHyphens w:val="true"/>
              <w:spacing w:before="0" w:after="160"/>
              <w:jc w:val="left"/>
              <w:rPr>
                <w:rFonts w:ascii="Arial" w:hAnsi="Arial" w:cs="Arial"/>
                <w:sz w:val="24"/>
                <w:szCs w:val="24"/>
              </w:rPr>
            </w:pPr>
            <w:r>
              <w:rPr>
                <w:rFonts w:eastAsia="" w:cs="Arial" w:ascii="Arial" w:hAnsi="Arial"/>
                <w:kern w:val="0"/>
                <w:sz w:val="24"/>
                <w:szCs w:val="24"/>
                <w:lang w:val="pt-BR" w:eastAsia="en-US" w:bidi="ar-SA"/>
              </w:rPr>
              <w:t>Documento completo para avaliação final</w:t>
            </w:r>
          </w:p>
        </w:tc>
      </w:tr>
    </w:tbl>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Resultados</w:t>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spacing w:lineRule="auto" w:line="360" w:before="0" w:after="0"/>
        <w:contextualSpacing/>
        <w:jc w:val="both"/>
        <w:rPr>
          <w:rFonts w:ascii="Arial" w:hAnsi="Arial" w:cs="Arial"/>
          <w:b/>
          <w:bCs/>
          <w:color w:val="111111"/>
          <w:sz w:val="24"/>
        </w:rPr>
      </w:pPr>
      <w:r>
        <w:rPr>
          <w:rFonts w:cs="Arial" w:ascii="Arial" w:hAnsi="Arial"/>
          <w:b/>
          <w:bCs/>
          <w:color w:val="111111"/>
          <w:sz w:val="24"/>
        </w:rPr>
      </w:r>
    </w:p>
    <w:p>
      <w:pPr>
        <w:pStyle w:val="BodyText"/>
        <w:numPr>
          <w:ilvl w:val="0"/>
          <w:numId w:val="2"/>
        </w:numPr>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t>Conclusão</w:t>
      </w:r>
    </w:p>
    <w:p>
      <w:pPr>
        <w:pStyle w:val="BodyText"/>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r>
    </w:p>
    <w:p>
      <w:pPr>
        <w:pStyle w:val="BodyText"/>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r>
    </w:p>
    <w:p>
      <w:pPr>
        <w:pStyle w:val="BodyText"/>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r>
    </w:p>
    <w:p>
      <w:pPr>
        <w:pStyle w:val="BodyText"/>
        <w:spacing w:lineRule="auto" w:line="360" w:before="0" w:after="0"/>
        <w:contextualSpacing/>
        <w:jc w:val="both"/>
        <w:rPr>
          <w:rFonts w:ascii="Arial" w:hAnsi="Arial" w:cs="Arial"/>
          <w:b/>
          <w:bCs/>
          <w:color w:val="111111"/>
          <w:sz w:val="24"/>
          <w:szCs w:val="24"/>
        </w:rPr>
      </w:pPr>
      <w:r>
        <w:rPr>
          <w:rFonts w:cs="Arial" w:ascii="Arial" w:hAnsi="Arial"/>
          <w:b/>
          <w:bCs/>
          <w:color w:val="111111"/>
          <w:sz w:val="24"/>
          <w:szCs w:val="24"/>
        </w:rPr>
      </w:r>
    </w:p>
    <w:p>
      <w:pPr>
        <w:pStyle w:val="BodyText"/>
        <w:numPr>
          <w:ilvl w:val="0"/>
          <w:numId w:val="2"/>
        </w:numPr>
        <w:spacing w:lineRule="auto" w:line="360" w:before="0" w:after="0"/>
        <w:contextualSpacing/>
        <w:jc w:val="both"/>
        <w:rPr>
          <w:rFonts w:ascii="Arial" w:hAnsi="Arial" w:cs="Arial"/>
          <w:b/>
          <w:bCs/>
          <w:color w:val="111111"/>
          <w:sz w:val="24"/>
        </w:rPr>
      </w:pPr>
      <w:r>
        <w:rPr>
          <w:rFonts w:cs="Arial" w:ascii="Arial" w:hAnsi="Arial"/>
          <w:b/>
          <w:bCs/>
          <w:color w:val="111111"/>
          <w:sz w:val="24"/>
          <w:szCs w:val="24"/>
        </w:rPr>
        <w:t xml:space="preserve"> </w:t>
      </w:r>
      <w:r>
        <w:rPr>
          <w:rFonts w:cs="Arial" w:ascii="Arial" w:hAnsi="Arial"/>
          <w:b/>
          <w:bCs/>
          <w:color w:val="111111"/>
          <w:sz w:val="24"/>
          <w:szCs w:val="24"/>
        </w:rPr>
        <w:t>Referências bibliográficas e sites consultados</w:t>
      </w:r>
    </w:p>
    <w:p>
      <w:pPr>
        <w:pStyle w:val="BodyText"/>
        <w:spacing w:lineRule="auto" w:line="360" w:before="0" w:after="0"/>
        <w:contextualSpacing/>
        <w:jc w:val="both"/>
        <w:rPr>
          <w:b/>
          <w:bCs/>
        </w:rPr>
      </w:pPr>
      <w:r>
        <w:rPr>
          <w:b/>
          <w:bCs/>
        </w:rPr>
      </w:r>
    </w:p>
    <w:p>
      <w:pPr>
        <w:pStyle w:val="BodyText"/>
        <w:spacing w:lineRule="auto" w:line="360" w:before="0" w:after="0"/>
        <w:contextualSpacing/>
        <w:jc w:val="both"/>
        <w:rPr>
          <w:rFonts w:ascii="Arial" w:hAnsi="Arial"/>
          <w:b/>
          <w:bCs/>
        </w:rPr>
      </w:pPr>
      <w:hyperlink r:id="rId13">
        <w:r>
          <w:rPr>
            <w:rStyle w:val="Hyperlink"/>
            <w:rFonts w:ascii="Arial" w:hAnsi="Arial"/>
            <w:b/>
            <w:bCs/>
          </w:rPr>
          <w:t>https://dados.gov.br/dados/conjuntos-dados/base-de-dados-da-carteira-de-investimento-do-ministerio-das-cidades</w:t>
        </w:r>
      </w:hyperlink>
      <w:r>
        <w:rPr>
          <w:rFonts w:ascii="Arial" w:hAnsi="Arial"/>
          <w:b/>
          <w:bCs/>
        </w:rPr>
        <w:t xml:space="preserve"> – Acesso em 28/08/2025</w:t>
      </w:r>
    </w:p>
    <w:p>
      <w:pPr>
        <w:pStyle w:val="BodyText"/>
        <w:spacing w:lineRule="auto" w:line="360" w:before="0" w:after="0"/>
        <w:contextualSpacing/>
        <w:jc w:val="both"/>
        <w:rPr>
          <w:b/>
          <w:bCs/>
        </w:rPr>
      </w:pPr>
      <w:r>
        <w:rPr>
          <w:b/>
          <w:bCs/>
        </w:rPr>
      </w:r>
    </w:p>
    <w:p>
      <w:pPr>
        <w:pStyle w:val="BodyText"/>
        <w:spacing w:lineRule="auto" w:line="360" w:before="0" w:after="0"/>
        <w:contextualSpacing/>
        <w:jc w:val="both"/>
        <w:rPr>
          <w:b/>
          <w:bCs/>
        </w:rPr>
      </w:pPr>
      <w:r>
        <w:rPr>
          <w:b/>
          <w:bCs/>
        </w:rPr>
        <w:t xml:space="preserve">COSTA, R. R. </w:t>
      </w:r>
      <w:r>
        <w:rPr>
          <w:b/>
          <w:bCs/>
          <w:i/>
          <w:iCs/>
        </w:rPr>
        <w:t>Análise de séries temporais para previsão de despesas públicas</w:t>
      </w:r>
      <w:r>
        <w:rPr>
          <w:b/>
          <w:bCs/>
        </w:rPr>
        <w:t xml:space="preserve">. Universidade XYZ, 2021. Disponível em: </w:t>
      </w:r>
      <w:hyperlink r:id="rId14">
        <w:r>
          <w:rPr>
            <w:rStyle w:val="Hyperlink"/>
            <w:b/>
            <w:bCs/>
          </w:rPr>
          <w:t>https://imef.furg.br/images/documentos/matematica-aplicada/monografias/2021-Rosana_Ribeiro_da_Costa.pdf</w:t>
        </w:r>
      </w:hyperlink>
      <w:r>
        <w:rPr>
          <w:b/>
          <w:bCs/>
        </w:rPr>
        <w:t>. Acesso em: 25 set. 2025.</w:t>
      </w:r>
    </w:p>
    <w:p>
      <w:pPr>
        <w:pStyle w:val="BodyText"/>
        <w:spacing w:lineRule="auto" w:line="360" w:before="0" w:after="0"/>
        <w:contextualSpacing/>
        <w:jc w:val="both"/>
        <w:rPr>
          <w:b/>
          <w:bCs/>
        </w:rPr>
      </w:pPr>
      <w:r>
        <w:rPr>
          <w:b/>
          <w:bCs/>
        </w:rPr>
      </w:r>
    </w:p>
    <w:p>
      <w:pPr>
        <w:pStyle w:val="BodyText"/>
        <w:spacing w:lineRule="auto" w:line="360" w:before="0" w:after="0"/>
        <w:contextualSpacing/>
        <w:jc w:val="both"/>
        <w:rPr>
          <w:b/>
          <w:bCs/>
        </w:rPr>
      </w:pPr>
      <w:r>
        <w:rPr>
          <w:b/>
          <w:bCs/>
        </w:rPr>
        <w:t xml:space="preserve">ORAIR, R. O. </w:t>
      </w:r>
      <w:r>
        <w:rPr>
          <w:b/>
          <w:bCs/>
          <w:i/>
          <w:iCs/>
        </w:rPr>
        <w:t>Investimento público no Brasil e suas relações com o ciclo econômico</w:t>
      </w:r>
      <w:r>
        <w:rPr>
          <w:b/>
          <w:bCs/>
        </w:rPr>
        <w:t xml:space="preserve">. Revista ABC, 2018. Disponível em: </w:t>
      </w:r>
      <w:hyperlink r:id="rId15">
        <w:r>
          <w:rPr>
            <w:rStyle w:val="Hyperlink"/>
            <w:b/>
            <w:bCs/>
          </w:rPr>
          <w:t>https://repositorio.ipea.gov.br/bitstreams/38d2ac47-9091-4fbb-aeb6-4b5ef0a24d07/download</w:t>
        </w:r>
      </w:hyperlink>
      <w:r>
        <w:rPr>
          <w:b/>
          <w:bCs/>
        </w:rPr>
        <w:t>. Acesso em: 25 set. 2025.</w:t>
      </w:r>
    </w:p>
    <w:p>
      <w:pPr>
        <w:pStyle w:val="BodyText"/>
        <w:spacing w:lineRule="auto" w:line="360" w:before="0" w:after="0"/>
        <w:contextualSpacing/>
        <w:jc w:val="both"/>
        <w:rPr>
          <w:b/>
          <w:bCs/>
        </w:rPr>
      </w:pPr>
      <w:r>
        <w:rPr>
          <w:b/>
          <w:bCs/>
        </w:rPr>
      </w:r>
    </w:p>
    <w:p>
      <w:pPr>
        <w:pStyle w:val="BodyText"/>
        <w:spacing w:lineRule="auto" w:line="360" w:before="0" w:after="0"/>
        <w:contextualSpacing/>
        <w:jc w:val="both"/>
        <w:rPr>
          <w:b/>
          <w:bCs/>
        </w:rPr>
      </w:pPr>
      <w:r>
        <w:rPr>
          <w:b/>
          <w:bCs/>
        </w:rPr>
        <w:t xml:space="preserve">VIANA, L. Z. B. </w:t>
      </w:r>
      <w:r>
        <w:rPr>
          <w:b/>
          <w:bCs/>
          <w:i/>
          <w:iCs/>
        </w:rPr>
        <w:t>Aplicação de técnicas de séries temporais em dados governamentais</w:t>
      </w:r>
      <w:r>
        <w:rPr>
          <w:b/>
          <w:bCs/>
        </w:rPr>
        <w:t xml:space="preserve">. Universidade Federal do Ceará, 2025. Disponível em: </w:t>
      </w:r>
      <w:hyperlink r:id="rId16">
        <w:r>
          <w:rPr>
            <w:rStyle w:val="Hyperlink"/>
            <w:b/>
            <w:bCs/>
          </w:rPr>
          <w:t>https://www.repositorio.ufc.br/bitstream/riufc/80020/1/2025_tcc_lzbviana.pdf</w:t>
        </w:r>
      </w:hyperlink>
      <w:r>
        <w:rPr>
          <w:b/>
          <w:bCs/>
        </w:rPr>
        <w:t>. Acesso em: 25 set. 2025.</w:t>
      </w:r>
    </w:p>
    <w:p>
      <w:pPr>
        <w:pStyle w:val="BodyText"/>
        <w:spacing w:lineRule="auto" w:line="360" w:before="0" w:after="0"/>
        <w:contextualSpacing/>
        <w:jc w:val="both"/>
        <w:rPr>
          <w:b/>
          <w:bCs/>
        </w:rPr>
      </w:pPr>
      <w:r>
        <w:rPr>
          <w:b/>
          <w:bCs/>
        </w:rPr>
      </w:r>
    </w:p>
    <w:p>
      <w:pPr>
        <w:pStyle w:val="BodyText"/>
        <w:spacing w:lineRule="auto" w:line="360" w:before="0" w:after="0"/>
        <w:contextualSpacing/>
        <w:jc w:val="both"/>
        <w:rPr>
          <w:b/>
          <w:bCs/>
        </w:rPr>
      </w:pPr>
      <w:r>
        <w:rPr>
          <w:b/>
          <w:bCs/>
        </w:rPr>
        <w:t xml:space="preserve">BRASIL. Ministério das Cidades. </w:t>
      </w:r>
      <w:r>
        <w:rPr>
          <w:b/>
          <w:bCs/>
          <w:i/>
          <w:iCs/>
        </w:rPr>
        <w:t>Base de dados da carteira de investimento</w:t>
      </w:r>
      <w:r>
        <w:rPr>
          <w:b/>
          <w:bCs/>
        </w:rPr>
        <w:t xml:space="preserve">. Dados.gov.br, 2025. Disponível em: </w:t>
      </w:r>
      <w:hyperlink r:id="rId17">
        <w:r>
          <w:rPr>
            <w:rStyle w:val="Hyperlink"/>
            <w:b/>
            <w:bCs/>
          </w:rPr>
          <w:t>https://dados.gov.br/</w:t>
        </w:r>
      </w:hyperlink>
      <w:r>
        <w:rPr>
          <w:b/>
          <w:bCs/>
        </w:rPr>
        <w:t>. Acesso em: 25 set. 2025.</w:t>
      </w:r>
    </w:p>
    <w:p>
      <w:pPr>
        <w:pStyle w:val="BodyText"/>
        <w:spacing w:lineRule="auto" w:line="360" w:before="0" w:after="140"/>
        <w:contextualSpacing/>
        <w:jc w:val="both"/>
        <w:rPr>
          <w:b/>
          <w:bCs/>
        </w:rPr>
      </w:pPr>
      <w:r>
        <w:rPr>
          <w:b/>
          <w:bCs/>
        </w:rPr>
      </w:r>
    </w:p>
    <w:sectPr>
      <w:footerReference w:type="even" r:id="rId18"/>
      <w:footerReference w:type="default" r:id="rId19"/>
      <w:footerReference w:type="first" r:id="rId20"/>
      <w:type w:val="nextPage"/>
      <w:pgSz w:w="11906" w:h="16838"/>
      <w:pgMar w:left="1701" w:right="1134" w:gutter="0" w:header="0" w:top="1701" w:footer="709" w:bottom="1134"/>
      <w:pgNumType w:fmt="decimal"/>
      <w:formProt w:val="false"/>
      <w:textDirection w:val="lrTb"/>
      <w:docGrid w:type="default" w:linePitch="360" w:charSpace="2457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Tahoma">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Book Antiqua">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37186142"/>
    </w:sdtPr>
    <w:sdtContent>
      <w:p>
        <w:pPr>
          <w:pStyle w:val="Footer"/>
          <w:jc w:val="right"/>
          <w:rPr>
            <w:rFonts w:ascii="Arial" w:hAnsi="Arial" w:cs="Arial"/>
            <w:sz w:val="20"/>
            <w:szCs w:val="20"/>
          </w:rPr>
        </w:pPr>
        <w:r>
          <w:rPr>
            <w:rFonts w:cs="Arial" w:ascii="Arial" w:hAnsi="Arial"/>
            <w:sz w:val="20"/>
            <w:szCs w:val="20"/>
          </w:rPr>
        </w:r>
      </w:p>
      <w:p>
        <w:pPr>
          <w:pStyle w:val="Footer"/>
          <w:jc w:val="right"/>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37186142"/>
    </w:sdtPr>
    <w:sdtContent>
      <w:p>
        <w:pPr>
          <w:pStyle w:val="Footer"/>
          <w:jc w:val="right"/>
          <w:rPr>
            <w:rFonts w:ascii="Arial" w:hAnsi="Arial" w:cs="Arial"/>
            <w:sz w:val="20"/>
            <w:szCs w:val="20"/>
          </w:rPr>
        </w:pPr>
        <w:r>
          <w:rPr>
            <w:rFonts w:cs="Arial" w:ascii="Arial" w:hAnsi="Arial"/>
            <w:sz w:val="20"/>
            <w:szCs w:val="20"/>
          </w:rPr>
        </w:r>
      </w:p>
      <w:p>
        <w:pPr>
          <w:pStyle w:val="Footer"/>
          <w:jc w:val="right"/>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sz w:val="22"/>
        <w:szCs w:val="22"/>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360" w:hanging="360"/>
      </w:pPr>
      <w:rPr>
        <w:sz w:val="24"/>
        <w:rFonts w:ascii="Arial" w:hAnsi="Arial" w:eastAsia="Times New Roman" w:cs="Arial"/>
      </w:rPr>
    </w:lvl>
    <w:lvl w:ilvl="1">
      <w:start w:val="4"/>
      <w:numFmt w:val="decimal"/>
      <w:lvlText w:val="%1.%2"/>
      <w:lvlJc w:val="left"/>
      <w:pPr>
        <w:tabs>
          <w:tab w:val="num" w:pos="0"/>
        </w:tabs>
        <w:ind w:left="360" w:hanging="360"/>
      </w:pPr>
      <w:rPr>
        <w:sz w:val="24"/>
        <w:rFonts w:ascii="Arial" w:hAnsi="Arial" w:eastAsia="Times New Roman" w:cs="Arial"/>
      </w:rPr>
    </w:lvl>
    <w:lvl w:ilvl="2">
      <w:start w:val="1"/>
      <w:numFmt w:val="decimal"/>
      <w:lvlText w:val="%1.%2.%3"/>
      <w:lvlJc w:val="left"/>
      <w:pPr>
        <w:tabs>
          <w:tab w:val="num" w:pos="0"/>
        </w:tabs>
        <w:ind w:left="720" w:hanging="720"/>
      </w:pPr>
      <w:rPr>
        <w:sz w:val="24"/>
        <w:rFonts w:ascii="Arial" w:hAnsi="Arial" w:eastAsia="Times New Roman" w:cs="Arial"/>
      </w:rPr>
    </w:lvl>
    <w:lvl w:ilvl="3">
      <w:start w:val="1"/>
      <w:numFmt w:val="decimal"/>
      <w:lvlText w:val="%1.%2.%3.%4"/>
      <w:lvlJc w:val="left"/>
      <w:pPr>
        <w:tabs>
          <w:tab w:val="num" w:pos="0"/>
        </w:tabs>
        <w:ind w:left="720" w:hanging="720"/>
      </w:pPr>
      <w:rPr>
        <w:sz w:val="24"/>
        <w:rFonts w:ascii="Arial" w:hAnsi="Arial" w:eastAsia="Times New Roman" w:cs="Arial"/>
      </w:rPr>
    </w:lvl>
    <w:lvl w:ilvl="4">
      <w:start w:val="1"/>
      <w:numFmt w:val="decimal"/>
      <w:lvlText w:val="%1.%2.%3.%4.%5"/>
      <w:lvlJc w:val="left"/>
      <w:pPr>
        <w:tabs>
          <w:tab w:val="num" w:pos="0"/>
        </w:tabs>
        <w:ind w:left="1080" w:hanging="1080"/>
      </w:pPr>
      <w:rPr>
        <w:sz w:val="24"/>
        <w:rFonts w:ascii="Arial" w:hAnsi="Arial" w:eastAsia="Times New Roman" w:cs="Arial"/>
      </w:rPr>
    </w:lvl>
    <w:lvl w:ilvl="5">
      <w:start w:val="1"/>
      <w:numFmt w:val="decimal"/>
      <w:lvlText w:val="%1.%2.%3.%4.%5.%6"/>
      <w:lvlJc w:val="left"/>
      <w:pPr>
        <w:tabs>
          <w:tab w:val="num" w:pos="0"/>
        </w:tabs>
        <w:ind w:left="1080" w:hanging="1080"/>
      </w:pPr>
      <w:rPr>
        <w:sz w:val="24"/>
        <w:rFonts w:ascii="Arial" w:hAnsi="Arial" w:eastAsia="Times New Roman" w:cs="Arial"/>
      </w:rPr>
    </w:lvl>
    <w:lvl w:ilvl="6">
      <w:start w:val="1"/>
      <w:numFmt w:val="decimal"/>
      <w:lvlText w:val="%1.%2.%3.%4.%5.%6.%7"/>
      <w:lvlJc w:val="left"/>
      <w:pPr>
        <w:tabs>
          <w:tab w:val="num" w:pos="0"/>
        </w:tabs>
        <w:ind w:left="1440" w:hanging="1440"/>
      </w:pPr>
      <w:rPr>
        <w:sz w:val="24"/>
        <w:rFonts w:ascii="Arial" w:hAnsi="Arial" w:eastAsia="Times New Roman" w:cs="Arial"/>
      </w:rPr>
    </w:lvl>
    <w:lvl w:ilvl="7">
      <w:start w:val="1"/>
      <w:numFmt w:val="decimal"/>
      <w:lvlText w:val="%1.%2.%3.%4.%5.%6.%7.%8"/>
      <w:lvlJc w:val="left"/>
      <w:pPr>
        <w:tabs>
          <w:tab w:val="num" w:pos="0"/>
        </w:tabs>
        <w:ind w:left="1440" w:hanging="1440"/>
      </w:pPr>
      <w:rPr>
        <w:sz w:val="24"/>
        <w:rFonts w:ascii="Arial" w:hAnsi="Arial" w:eastAsia="Times New Roman" w:cs="Arial"/>
      </w:rPr>
    </w:lvl>
    <w:lvl w:ilvl="8">
      <w:start w:val="1"/>
      <w:numFmt w:val="decimal"/>
      <w:lvlText w:val="%1.%2.%3.%4.%5.%6.%7.%8.%9"/>
      <w:lvlJc w:val="left"/>
      <w:pPr>
        <w:tabs>
          <w:tab w:val="num" w:pos="0"/>
        </w:tabs>
        <w:ind w:left="1800" w:hanging="1800"/>
      </w:pPr>
      <w:rPr>
        <w:sz w:val="24"/>
        <w:rFonts w:ascii="Arial" w:hAnsi="Arial" w:eastAsia="Times New Roman" w:cs="Arial"/>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suff w:val="space"/>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08"/>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7787f"/>
    <w:pPr>
      <w:widowControl/>
      <w:suppressAutoHyphens w:val="true"/>
      <w:bidi w:val="0"/>
      <w:spacing w:lineRule="auto" w:line="259" w:before="0" w:after="160"/>
      <w:jc w:val="left"/>
    </w:pPr>
    <w:rPr>
      <w:rFonts w:ascii="Aptos" w:hAnsi="Aptos" w:eastAsia="" w:cs="" w:asciiTheme="minorHAnsi" w:cstheme="minorBidi" w:eastAsiaTheme="minorEastAsia" w:hAnsiTheme="minorHAnsi"/>
      <w:color w:val="auto"/>
      <w:kern w:val="0"/>
      <w:sz w:val="22"/>
      <w:szCs w:val="22"/>
      <w:lang w:val="pt-BR" w:eastAsia="en-US" w:bidi="ar-SA"/>
    </w:rPr>
  </w:style>
  <w:style w:type="paragraph" w:styleId="Heading1">
    <w:name w:val="Heading 1"/>
    <w:basedOn w:val="Normal"/>
    <w:next w:val="Normal"/>
    <w:link w:val="Ttulo1Char"/>
    <w:uiPriority w:val="9"/>
    <w:qFormat/>
    <w:rsid w:val="0067787f"/>
    <w:pPr>
      <w:keepNext w:val="true"/>
      <w:keepLines/>
      <w:numPr>
        <w:ilvl w:val="0"/>
        <w:numId w:val="1"/>
      </w:numPr>
      <w:spacing w:lineRule="auto" w:line="240" w:before="400" w:after="40"/>
      <w:outlineLvl w:val="0"/>
    </w:pPr>
    <w:rPr>
      <w:rFonts w:ascii="Aptos Display" w:hAnsi="Aptos Display" w:eastAsia="" w:cs="" w:asciiTheme="majorHAnsi" w:cstheme="majorBidi" w:eastAsiaTheme="majorEastAsia" w:hAnsiTheme="majorHAnsi"/>
      <w:color w:themeColor="accent1" w:themeShade="80" w:val="0A2F41"/>
      <w:sz w:val="36"/>
      <w:szCs w:val="36"/>
    </w:rPr>
  </w:style>
  <w:style w:type="paragraph" w:styleId="Heading2">
    <w:name w:val="Heading 2"/>
    <w:basedOn w:val="Normal"/>
    <w:next w:val="Normal"/>
    <w:link w:val="Ttulo2Char"/>
    <w:uiPriority w:val="9"/>
    <w:unhideWhenUsed/>
    <w:qFormat/>
    <w:rsid w:val="0067787f"/>
    <w:pPr>
      <w:keepNext w:val="true"/>
      <w:keepLines/>
      <w:numPr>
        <w:ilvl w:val="1"/>
        <w:numId w:val="1"/>
      </w:numPr>
      <w:spacing w:lineRule="auto" w:line="240" w:before="40" w:after="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67787f"/>
    <w:pPr>
      <w:keepNext w:val="true"/>
      <w:keepLines/>
      <w:numPr>
        <w:ilvl w:val="2"/>
        <w:numId w:val="1"/>
      </w:numPr>
      <w:spacing w:lineRule="auto" w:line="240" w:before="40" w:after="0"/>
      <w:outlineLvl w:val="2"/>
    </w:pPr>
    <w:rPr>
      <w:rFonts w:ascii="Aptos Display" w:hAnsi="Aptos Display" w:eastAsia="" w:cs="" w:asciiTheme="majorHAnsi" w:cstheme="majorBidi" w:eastAsiaTheme="majorEastAsia" w:hAnsiTheme="majorHAnsi"/>
      <w:color w:themeColor="accent1" w:themeShade="bf" w:val="0F4761"/>
      <w:sz w:val="28"/>
      <w:szCs w:val="28"/>
    </w:rPr>
  </w:style>
  <w:style w:type="paragraph" w:styleId="Heading4">
    <w:name w:val="Heading 4"/>
    <w:basedOn w:val="Normal"/>
    <w:next w:val="Normal"/>
    <w:link w:val="Ttulo4Char"/>
    <w:uiPriority w:val="9"/>
    <w:semiHidden/>
    <w:unhideWhenUsed/>
    <w:qFormat/>
    <w:rsid w:val="0067787f"/>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color w:themeColor="accent1" w:themeShade="bf" w:val="0F4761"/>
      <w:sz w:val="24"/>
      <w:szCs w:val="24"/>
    </w:rPr>
  </w:style>
  <w:style w:type="paragraph" w:styleId="Heading5">
    <w:name w:val="Heading 5"/>
    <w:basedOn w:val="Normal"/>
    <w:next w:val="Normal"/>
    <w:link w:val="Ttulo5Char"/>
    <w:uiPriority w:val="9"/>
    <w:semiHidden/>
    <w:unhideWhenUsed/>
    <w:qFormat/>
    <w:rsid w:val="0067787f"/>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aps/>
      <w:color w:themeColor="accent1" w:themeShade="bf" w:val="0F4761"/>
    </w:rPr>
  </w:style>
  <w:style w:type="paragraph" w:styleId="Heading6">
    <w:name w:val="Heading 6"/>
    <w:basedOn w:val="Normal"/>
    <w:next w:val="Normal"/>
    <w:link w:val="Ttulo6Char"/>
    <w:uiPriority w:val="9"/>
    <w:semiHidden/>
    <w:unhideWhenUsed/>
    <w:qFormat/>
    <w:rsid w:val="0067787f"/>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i/>
      <w:iCs/>
      <w:caps/>
      <w:color w:themeColor="accent1" w:themeShade="80" w:val="0A2F41"/>
    </w:rPr>
  </w:style>
  <w:style w:type="paragraph" w:styleId="Heading7">
    <w:name w:val="Heading 7"/>
    <w:basedOn w:val="Normal"/>
    <w:next w:val="Normal"/>
    <w:link w:val="Ttulo7Char"/>
    <w:uiPriority w:val="9"/>
    <w:semiHidden/>
    <w:unhideWhenUsed/>
    <w:qFormat/>
    <w:rsid w:val="0067787f"/>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b/>
      <w:bCs/>
      <w:color w:themeColor="accent1" w:themeShade="80" w:val="0A2F41"/>
    </w:rPr>
  </w:style>
  <w:style w:type="paragraph" w:styleId="Heading8">
    <w:name w:val="Heading 8"/>
    <w:basedOn w:val="Normal"/>
    <w:next w:val="Normal"/>
    <w:link w:val="Ttulo8Char"/>
    <w:uiPriority w:val="9"/>
    <w:semiHidden/>
    <w:unhideWhenUsed/>
    <w:qFormat/>
    <w:rsid w:val="0067787f"/>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b/>
      <w:bCs/>
      <w:i/>
      <w:iCs/>
      <w:color w:themeColor="accent1" w:themeShade="80" w:val="0A2F41"/>
    </w:rPr>
  </w:style>
  <w:style w:type="paragraph" w:styleId="Heading9">
    <w:name w:val="Heading 9"/>
    <w:basedOn w:val="Normal"/>
    <w:next w:val="Normal"/>
    <w:link w:val="Ttulo9Char"/>
    <w:uiPriority w:val="9"/>
    <w:unhideWhenUsed/>
    <w:qFormat/>
    <w:rsid w:val="0067787f"/>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accent1" w:themeShade="80" w:val="0A2F41"/>
    </w:rPr>
  </w:style>
  <w:style w:type="character" w:styleId="DefaultParagraphFont" w:default="1">
    <w:name w:val="Default Paragraph Font"/>
    <w:uiPriority w:val="1"/>
    <w:unhideWhenUsed/>
    <w:qFormat/>
    <w:rPr/>
  </w:style>
  <w:style w:type="character" w:styleId="Ttulo1Char" w:customStyle="1">
    <w:name w:val="Título 1 Char"/>
    <w:basedOn w:val="DefaultParagraphFont"/>
    <w:uiPriority w:val="9"/>
    <w:qFormat/>
    <w:rsid w:val="0067787f"/>
    <w:rPr>
      <w:rFonts w:ascii="Aptos Display" w:hAnsi="Aptos Display" w:eastAsia="" w:cs="" w:asciiTheme="majorHAnsi" w:cstheme="majorBidi" w:eastAsiaTheme="majorEastAsia" w:hAnsiTheme="majorHAnsi"/>
      <w:color w:themeColor="accent1" w:themeShade="80" w:val="0A2F41"/>
      <w:sz w:val="36"/>
      <w:szCs w:val="36"/>
    </w:rPr>
  </w:style>
  <w:style w:type="character" w:styleId="Ttulo2Char" w:customStyle="1">
    <w:name w:val="Título 2 Char"/>
    <w:basedOn w:val="DefaultParagraphFont"/>
    <w:uiPriority w:val="9"/>
    <w:qFormat/>
    <w:rsid w:val="0067787f"/>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uiPriority w:val="9"/>
    <w:semiHidden/>
    <w:qFormat/>
    <w:rsid w:val="0067787f"/>
    <w:rPr>
      <w:rFonts w:ascii="Aptos Display" w:hAnsi="Aptos Display" w:eastAsia="" w:cs="" w:asciiTheme="majorHAnsi" w:cstheme="majorBidi" w:eastAsiaTheme="majorEastAsia" w:hAnsiTheme="majorHAnsi"/>
      <w:color w:themeColor="accent1" w:themeShade="bf" w:val="0F4761"/>
      <w:sz w:val="28"/>
      <w:szCs w:val="28"/>
    </w:rPr>
  </w:style>
  <w:style w:type="character" w:styleId="Ttulo4Char" w:customStyle="1">
    <w:name w:val="Título 4 Char"/>
    <w:basedOn w:val="DefaultParagraphFont"/>
    <w:uiPriority w:val="9"/>
    <w:semiHidden/>
    <w:qFormat/>
    <w:rsid w:val="0067787f"/>
    <w:rPr>
      <w:rFonts w:ascii="Aptos Display" w:hAnsi="Aptos Display" w:eastAsia="" w:cs="" w:asciiTheme="majorHAnsi" w:cstheme="majorBidi" w:eastAsiaTheme="majorEastAsia" w:hAnsiTheme="majorHAnsi"/>
      <w:color w:themeColor="accent1" w:themeShade="bf" w:val="0F4761"/>
      <w:sz w:val="24"/>
      <w:szCs w:val="24"/>
    </w:rPr>
  </w:style>
  <w:style w:type="character" w:styleId="Ttulo5Char" w:customStyle="1">
    <w:name w:val="Título 5 Char"/>
    <w:basedOn w:val="DefaultParagraphFont"/>
    <w:uiPriority w:val="9"/>
    <w:semiHidden/>
    <w:qFormat/>
    <w:rsid w:val="0067787f"/>
    <w:rPr>
      <w:rFonts w:ascii="Aptos Display" w:hAnsi="Aptos Display" w:eastAsia="" w:cs="" w:asciiTheme="majorHAnsi" w:cstheme="majorBidi" w:eastAsiaTheme="majorEastAsia" w:hAnsiTheme="majorHAnsi"/>
      <w:caps/>
      <w:color w:themeColor="accent1" w:themeShade="bf" w:val="0F4761"/>
    </w:rPr>
  </w:style>
  <w:style w:type="character" w:styleId="Ttulo6Char" w:customStyle="1">
    <w:name w:val="Título 6 Char"/>
    <w:basedOn w:val="DefaultParagraphFont"/>
    <w:uiPriority w:val="9"/>
    <w:semiHidden/>
    <w:qFormat/>
    <w:rsid w:val="0067787f"/>
    <w:rPr>
      <w:rFonts w:ascii="Aptos Display" w:hAnsi="Aptos Display" w:eastAsia="" w:cs="" w:asciiTheme="majorHAnsi" w:cstheme="majorBidi" w:eastAsiaTheme="majorEastAsia" w:hAnsiTheme="majorHAnsi"/>
      <w:i/>
      <w:iCs/>
      <w:caps/>
      <w:color w:themeColor="accent1" w:themeShade="80" w:val="0A2F41"/>
    </w:rPr>
  </w:style>
  <w:style w:type="character" w:styleId="Ttulo7Char" w:customStyle="1">
    <w:name w:val="Título 7 Char"/>
    <w:basedOn w:val="DefaultParagraphFont"/>
    <w:uiPriority w:val="9"/>
    <w:semiHidden/>
    <w:qFormat/>
    <w:rsid w:val="0067787f"/>
    <w:rPr>
      <w:rFonts w:ascii="Aptos Display" w:hAnsi="Aptos Display" w:eastAsia="" w:cs="" w:asciiTheme="majorHAnsi" w:cstheme="majorBidi" w:eastAsiaTheme="majorEastAsia" w:hAnsiTheme="majorHAnsi"/>
      <w:b/>
      <w:bCs/>
      <w:color w:themeColor="accent1" w:themeShade="80" w:val="0A2F41"/>
    </w:rPr>
  </w:style>
  <w:style w:type="character" w:styleId="Ttulo8Char" w:customStyle="1">
    <w:name w:val="Título 8 Char"/>
    <w:basedOn w:val="DefaultParagraphFont"/>
    <w:uiPriority w:val="9"/>
    <w:semiHidden/>
    <w:qFormat/>
    <w:rsid w:val="0067787f"/>
    <w:rPr>
      <w:rFonts w:ascii="Aptos Display" w:hAnsi="Aptos Display" w:eastAsia="" w:cs="" w:asciiTheme="majorHAnsi" w:cstheme="majorBidi" w:eastAsiaTheme="majorEastAsia" w:hAnsiTheme="majorHAnsi"/>
      <w:b/>
      <w:bCs/>
      <w:i/>
      <w:iCs/>
      <w:color w:themeColor="accent1" w:themeShade="80" w:val="0A2F41"/>
    </w:rPr>
  </w:style>
  <w:style w:type="character" w:styleId="Ttulo9Char" w:customStyle="1">
    <w:name w:val="Título 9 Char"/>
    <w:basedOn w:val="DefaultParagraphFont"/>
    <w:uiPriority w:val="9"/>
    <w:qFormat/>
    <w:rsid w:val="0067787f"/>
    <w:rPr>
      <w:rFonts w:ascii="Aptos Display" w:hAnsi="Aptos Display" w:eastAsia="" w:cs="" w:asciiTheme="majorHAnsi" w:cstheme="majorBidi" w:eastAsiaTheme="majorEastAsia" w:hAnsiTheme="majorHAnsi"/>
      <w:i/>
      <w:iCs/>
      <w:color w:themeColor="accent1" w:themeShade="80" w:val="0A2F41"/>
    </w:rPr>
  </w:style>
  <w:style w:type="character" w:styleId="TtuloChar" w:customStyle="1">
    <w:name w:val="Título Char"/>
    <w:basedOn w:val="DefaultParagraphFont"/>
    <w:uiPriority w:val="10"/>
    <w:qFormat/>
    <w:rsid w:val="0067787f"/>
    <w:rPr>
      <w:rFonts w:ascii="Aptos Display" w:hAnsi="Aptos Display" w:eastAsia="" w:cs="" w:asciiTheme="majorHAnsi" w:cstheme="majorBidi" w:eastAsiaTheme="majorEastAsia" w:hAnsiTheme="majorHAnsi"/>
      <w:caps/>
      <w:color w:themeColor="text2" w:val="0E2841"/>
      <w:spacing w:val="-15"/>
      <w:sz w:val="72"/>
      <w:szCs w:val="72"/>
    </w:rPr>
  </w:style>
  <w:style w:type="character" w:styleId="SubttuloChar" w:customStyle="1">
    <w:name w:val="Subtítulo Char"/>
    <w:basedOn w:val="DefaultParagraphFont"/>
    <w:uiPriority w:val="11"/>
    <w:qFormat/>
    <w:rsid w:val="0067787f"/>
    <w:rPr>
      <w:rFonts w:ascii="Aptos Display" w:hAnsi="Aptos Display" w:eastAsia="" w:cs="" w:asciiTheme="majorHAnsi" w:cstheme="majorBidi" w:eastAsiaTheme="majorEastAsia" w:hAnsiTheme="majorHAnsi"/>
      <w:color w:themeColor="accent1" w:val="156082"/>
      <w:sz w:val="28"/>
      <w:szCs w:val="28"/>
    </w:rPr>
  </w:style>
  <w:style w:type="character" w:styleId="CitaoChar" w:customStyle="1">
    <w:name w:val="Citação Char"/>
    <w:basedOn w:val="DefaultParagraphFont"/>
    <w:link w:val="Quote"/>
    <w:uiPriority w:val="29"/>
    <w:qFormat/>
    <w:rsid w:val="0067787f"/>
    <w:rPr>
      <w:color w:themeColor="text2" w:val="0E2841"/>
      <w:sz w:val="24"/>
      <w:szCs w:val="24"/>
    </w:rPr>
  </w:style>
  <w:style w:type="character" w:styleId="IntenseEmphasis">
    <w:name w:val="Intense Emphasis"/>
    <w:basedOn w:val="DefaultParagraphFont"/>
    <w:uiPriority w:val="21"/>
    <w:qFormat/>
    <w:rsid w:val="0067787f"/>
    <w:rPr>
      <w:b/>
      <w:bCs/>
      <w:i/>
      <w:iCs/>
    </w:rPr>
  </w:style>
  <w:style w:type="character" w:styleId="CitaoIntensaChar" w:customStyle="1">
    <w:name w:val="Citação Intensa Char"/>
    <w:basedOn w:val="DefaultParagraphFont"/>
    <w:link w:val="IntenseQuote"/>
    <w:uiPriority w:val="30"/>
    <w:qFormat/>
    <w:rsid w:val="0067787f"/>
    <w:rPr>
      <w:rFonts w:ascii="Aptos Display" w:hAnsi="Aptos Display" w:eastAsia="" w:cs="" w:asciiTheme="majorHAnsi" w:cstheme="majorBidi" w:eastAsiaTheme="majorEastAsia" w:hAnsiTheme="majorHAnsi"/>
      <w:color w:themeColor="text2" w:val="0E2841"/>
      <w:spacing w:val="-6"/>
      <w:sz w:val="32"/>
      <w:szCs w:val="32"/>
    </w:rPr>
  </w:style>
  <w:style w:type="character" w:styleId="IntenseReference">
    <w:name w:val="Intense Reference"/>
    <w:basedOn w:val="DefaultParagraphFont"/>
    <w:uiPriority w:val="32"/>
    <w:qFormat/>
    <w:rsid w:val="0067787f"/>
    <w:rPr>
      <w:b/>
      <w:bCs/>
      <w:smallCaps/>
      <w:color w:themeColor="text2" w:val="0E2841"/>
      <w:u w:val="single"/>
    </w:rPr>
  </w:style>
  <w:style w:type="character" w:styleId="Strong">
    <w:name w:val="Strong"/>
    <w:basedOn w:val="DefaultParagraphFont"/>
    <w:uiPriority w:val="22"/>
    <w:qFormat/>
    <w:rsid w:val="0067787f"/>
    <w:rPr>
      <w:b/>
      <w:bCs/>
    </w:rPr>
  </w:style>
  <w:style w:type="character" w:styleId="Emphasis">
    <w:name w:val="Emphasis"/>
    <w:basedOn w:val="DefaultParagraphFont"/>
    <w:uiPriority w:val="20"/>
    <w:qFormat/>
    <w:rsid w:val="0067787f"/>
    <w:rPr>
      <w:i/>
      <w:iCs/>
    </w:rPr>
  </w:style>
  <w:style w:type="character" w:styleId="SubtleEmphasis">
    <w:name w:val="Subtle Emphasis"/>
    <w:basedOn w:val="DefaultParagraphFont"/>
    <w:uiPriority w:val="19"/>
    <w:qFormat/>
    <w:rsid w:val="0067787f"/>
    <w:rPr>
      <w:i/>
      <w:iCs/>
      <w:color w:themeColor="text1" w:themeTint="a6" w:val="595959"/>
    </w:rPr>
  </w:style>
  <w:style w:type="character" w:styleId="SubtleReference">
    <w:name w:val="Subtle Reference"/>
    <w:basedOn w:val="DefaultParagraphFont"/>
    <w:uiPriority w:val="31"/>
    <w:qFormat/>
    <w:rsid w:val="0067787f"/>
    <w:rPr>
      <w:smallCaps/>
      <w:color w:themeColor="text1" w:themeTint="a6" w:val="595959"/>
      <w:u w:val="none" w:color="7F7F7F"/>
    </w:rPr>
  </w:style>
  <w:style w:type="character" w:styleId="BookTitle">
    <w:name w:val="Book Title"/>
    <w:basedOn w:val="DefaultParagraphFont"/>
    <w:uiPriority w:val="33"/>
    <w:qFormat/>
    <w:rsid w:val="0067787f"/>
    <w:rPr>
      <w:b/>
      <w:bCs/>
      <w:smallCaps/>
      <w:spacing w:val="10"/>
    </w:rPr>
  </w:style>
  <w:style w:type="character" w:styleId="CabealhoChar" w:customStyle="1">
    <w:name w:val="Cabeçalho Char"/>
    <w:basedOn w:val="DefaultParagraphFont"/>
    <w:uiPriority w:val="99"/>
    <w:qFormat/>
    <w:rsid w:val="00e0110c"/>
    <w:rPr/>
  </w:style>
  <w:style w:type="character" w:styleId="RodapChar" w:customStyle="1">
    <w:name w:val="Rodapé Char"/>
    <w:basedOn w:val="DefaultParagraphFont"/>
    <w:uiPriority w:val="99"/>
    <w:qFormat/>
    <w:rsid w:val="00e0110c"/>
    <w:rPr/>
  </w:style>
  <w:style w:type="character" w:styleId="Linenumber">
    <w:name w:val="line number"/>
    <w:basedOn w:val="DefaultParagraphFont"/>
    <w:uiPriority w:val="99"/>
    <w:semiHidden/>
    <w:unhideWhenUsed/>
    <w:qFormat/>
    <w:rsid w:val="00617c16"/>
    <w:rPr/>
  </w:style>
  <w:style w:type="character" w:styleId="Hyperlink1" w:customStyle="1">
    <w:name w:val="Hyperlink1"/>
    <w:basedOn w:val="DefaultParagraphFont"/>
    <w:uiPriority w:val="99"/>
    <w:unhideWhenUsed/>
    <w:qFormat/>
    <w:rsid w:val="00e234a8"/>
    <w:rPr>
      <w:color w:val="0000FF"/>
      <w:u w:val="single"/>
    </w:rPr>
  </w:style>
  <w:style w:type="character" w:styleId="MenoPendente1" w:customStyle="1">
    <w:name w:val="Menção Pendente1"/>
    <w:basedOn w:val="DefaultParagraphFont"/>
    <w:uiPriority w:val="99"/>
    <w:semiHidden/>
    <w:unhideWhenUsed/>
    <w:qFormat/>
    <w:rsid w:val="00973365"/>
    <w:rPr>
      <w:color w:val="605E5C"/>
      <w:shd w:fill="E1DFDD" w:val="clear"/>
    </w:rPr>
  </w:style>
  <w:style w:type="character" w:styleId="TextodebaloChar" w:customStyle="1">
    <w:name w:val="Texto de balão Char"/>
    <w:basedOn w:val="DefaultParagraphFont"/>
    <w:link w:val="BalloonText"/>
    <w:uiPriority w:val="99"/>
    <w:semiHidden/>
    <w:qFormat/>
    <w:rsid w:val="001e022c"/>
    <w:rPr>
      <w:rFonts w:ascii="Tahoma" w:hAnsi="Tahoma" w:cs="Tahoma"/>
      <w:sz w:val="16"/>
      <w:szCs w:val="16"/>
    </w:rPr>
  </w:style>
  <w:style w:type="character" w:styleId="HiperlinkVisitado1" w:customStyle="1">
    <w:name w:val="HiperlinkVisitado1"/>
    <w:basedOn w:val="DefaultParagraphFont"/>
    <w:uiPriority w:val="99"/>
    <w:semiHidden/>
    <w:unhideWhenUsed/>
    <w:qFormat/>
    <w:rsid w:val="006f7069"/>
    <w:rPr>
      <w:color w:themeColor="followedHyperlink" w:val="96607D"/>
      <w:u w:val="single"/>
    </w:rPr>
  </w:style>
  <w:style w:type="character" w:styleId="Marcadores" w:customStyle="1">
    <w:name w:val="Marcadores"/>
    <w:qFormat/>
    <w:rPr>
      <w:rFonts w:ascii="OpenSymbol" w:hAnsi="OpenSymbol" w:eastAsia="OpenSymbol" w:cs="OpenSymbol"/>
    </w:rPr>
  </w:style>
  <w:style w:type="character" w:styleId="PlaceholderText">
    <w:name w:val="Placeholder Text"/>
    <w:basedOn w:val="DefaultParagraphFont"/>
    <w:uiPriority w:val="99"/>
    <w:semiHidden/>
    <w:qFormat/>
    <w:rsid w:val="001e68c3"/>
    <w:rPr>
      <w:color w:val="808080"/>
    </w:rPr>
  </w:style>
  <w:style w:type="character" w:styleId="Hyperlink">
    <w:name w:val="Hyperlink"/>
    <w:rPr>
      <w:color w:val="000080"/>
      <w:u w:val="single"/>
    </w:rPr>
  </w:style>
  <w:style w:type="character" w:styleId="Caracteresdenotaderodap" w:customStyle="1">
    <w:name w:val="Caracteres de nota de rodapé"/>
    <w:qFormat/>
    <w:rPr>
      <w:vertAlign w:val="superscript"/>
    </w:rPr>
  </w:style>
  <w:style w:type="character" w:styleId="FootnoteReference">
    <w:name w:val="Footnote Reference"/>
    <w:rPr>
      <w:vertAlign w:val="superscript"/>
    </w:rPr>
  </w:style>
  <w:style w:type="character" w:styleId="Caracteresdenotadefim" w:customStyle="1">
    <w:name w:val="Caracteres de nota de fim"/>
    <w:qFormat/>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6a28a0"/>
    <w:rPr>
      <w:color w:val="605E5C"/>
      <w:shd w:fill="E1DFDD" w:val="clear"/>
    </w:rPr>
  </w:style>
  <w:style w:type="character" w:styleId="Smbolosdenumerao">
    <w:name w:val="Símbolos de numeração"/>
    <w:qFormat/>
    <w:rPr/>
  </w:style>
  <w:style w:type="character" w:styleId="Cdigo-fonte">
    <w:name w:val="Código-fonte"/>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Ndice" w:customStyle="1">
    <w:name w:val="Índice"/>
    <w:basedOn w:val="Normal"/>
    <w:qFormat/>
    <w:pPr>
      <w:suppressLineNumbers/>
    </w:pPr>
    <w:rPr>
      <w:rFonts w:cs="Arial Unicode MS"/>
    </w:rPr>
  </w:style>
  <w:style w:type="paragraph" w:styleId="Title">
    <w:name w:val="Title"/>
    <w:basedOn w:val="Normal"/>
    <w:next w:val="BodyText"/>
    <w:link w:val="TtuloChar"/>
    <w:uiPriority w:val="10"/>
    <w:qFormat/>
    <w:rsid w:val="0067787f"/>
    <w:pPr>
      <w:spacing w:lineRule="auto" w:line="204" w:before="0" w:after="0"/>
      <w:contextualSpacing/>
    </w:pPr>
    <w:rPr>
      <w:rFonts w:ascii="Aptos Display" w:hAnsi="Aptos Display" w:eastAsia="" w:cs="" w:asciiTheme="majorHAnsi" w:cstheme="majorBidi" w:eastAsiaTheme="majorEastAsia" w:hAnsiTheme="majorHAnsi"/>
      <w:caps/>
      <w:color w:themeColor="text2" w:val="0E2841"/>
      <w:spacing w:val="-15"/>
      <w:sz w:val="72"/>
      <w:szCs w:val="72"/>
    </w:rPr>
  </w:style>
  <w:style w:type="paragraph" w:styleId="Caption1">
    <w:name w:val="caption1"/>
    <w:basedOn w:val="Normal"/>
    <w:qFormat/>
    <w:pPr>
      <w:suppressLineNumbers/>
      <w:spacing w:before="120" w:after="120"/>
    </w:pPr>
    <w:rPr>
      <w:rFonts w:cs="Arial Unicode MS"/>
      <w:i/>
      <w:iCs/>
      <w:sz w:val="24"/>
      <w:szCs w:val="24"/>
    </w:rPr>
  </w:style>
  <w:style w:type="paragraph" w:styleId="Caption11" w:customStyle="1">
    <w:name w:val="caption11"/>
    <w:basedOn w:val="Normal"/>
    <w:qFormat/>
    <w:pPr>
      <w:suppressLineNumbers/>
      <w:spacing w:before="120" w:after="120"/>
    </w:pPr>
    <w:rPr>
      <w:rFonts w:cs="Arial Unicode MS"/>
      <w:i/>
      <w:iCs/>
      <w:sz w:val="24"/>
      <w:szCs w:val="24"/>
    </w:rPr>
  </w:style>
  <w:style w:type="paragraph" w:styleId="Caption111" w:customStyle="1">
    <w:name w:val="caption111"/>
    <w:basedOn w:val="Normal"/>
    <w:qFormat/>
    <w:pPr>
      <w:suppressLineNumbers/>
      <w:spacing w:before="120" w:after="120"/>
    </w:pPr>
    <w:rPr>
      <w:rFonts w:cs="Arial Unicode MS"/>
      <w:i/>
      <w:iCs/>
      <w:sz w:val="24"/>
      <w:szCs w:val="24"/>
    </w:rPr>
  </w:style>
  <w:style w:type="paragraph" w:styleId="Caption1111" w:customStyle="1">
    <w:name w:val="caption1111"/>
    <w:basedOn w:val="Normal"/>
    <w:next w:val="Normal"/>
    <w:uiPriority w:val="35"/>
    <w:semiHidden/>
    <w:unhideWhenUsed/>
    <w:qFormat/>
    <w:rsid w:val="0067787f"/>
    <w:pPr>
      <w:spacing w:lineRule="auto" w:line="240"/>
    </w:pPr>
    <w:rPr>
      <w:b/>
      <w:bCs/>
      <w:smallCaps/>
      <w:color w:themeColor="text2" w:val="0E2841"/>
    </w:rPr>
  </w:style>
  <w:style w:type="paragraph" w:styleId="Subtitle">
    <w:name w:val="Subtitle"/>
    <w:basedOn w:val="Normal"/>
    <w:next w:val="Normal"/>
    <w:link w:val="SubttuloChar"/>
    <w:uiPriority w:val="11"/>
    <w:qFormat/>
    <w:rsid w:val="0067787f"/>
    <w:pPr>
      <w:spacing w:lineRule="auto" w:line="240" w:before="0" w:after="240"/>
    </w:pPr>
    <w:rPr>
      <w:rFonts w:ascii="Aptos Display" w:hAnsi="Aptos Display" w:eastAsia="" w:cs="" w:asciiTheme="majorHAnsi" w:cstheme="majorBidi" w:eastAsiaTheme="majorEastAsia" w:hAnsiTheme="majorHAnsi"/>
      <w:color w:themeColor="accent1" w:val="156082"/>
      <w:sz w:val="28"/>
      <w:szCs w:val="28"/>
    </w:rPr>
  </w:style>
  <w:style w:type="paragraph" w:styleId="Quote">
    <w:name w:val="Quote"/>
    <w:basedOn w:val="Normal"/>
    <w:next w:val="Normal"/>
    <w:link w:val="CitaoChar"/>
    <w:uiPriority w:val="29"/>
    <w:qFormat/>
    <w:rsid w:val="0067787f"/>
    <w:pPr>
      <w:spacing w:before="120" w:after="120"/>
      <w:ind w:left="720"/>
    </w:pPr>
    <w:rPr>
      <w:color w:themeColor="text2" w:val="0E2841"/>
      <w:sz w:val="24"/>
      <w:szCs w:val="24"/>
    </w:rPr>
  </w:style>
  <w:style w:type="paragraph" w:styleId="ListParagraph">
    <w:name w:val="List Paragraph"/>
    <w:basedOn w:val="Normal"/>
    <w:uiPriority w:val="34"/>
    <w:qFormat/>
    <w:rsid w:val="0067787f"/>
    <w:pPr>
      <w:spacing w:before="0" w:after="160"/>
      <w:ind w:left="720"/>
      <w:contextualSpacing/>
    </w:pPr>
    <w:rPr/>
  </w:style>
  <w:style w:type="paragraph" w:styleId="IntenseQuote">
    <w:name w:val="Intense Quote"/>
    <w:basedOn w:val="Normal"/>
    <w:next w:val="Normal"/>
    <w:link w:val="CitaoIntensaChar"/>
    <w:uiPriority w:val="30"/>
    <w:qFormat/>
    <w:rsid w:val="0067787f"/>
    <w:pPr>
      <w:spacing w:lineRule="auto" w:line="240" w:beforeAutospacing="1" w:after="240"/>
      <w:ind w:left="720"/>
      <w:jc w:val="center"/>
    </w:pPr>
    <w:rPr>
      <w:rFonts w:ascii="Aptos Display" w:hAnsi="Aptos Display" w:eastAsia="" w:cs="" w:asciiTheme="majorHAnsi" w:cstheme="majorBidi" w:eastAsiaTheme="majorEastAsia" w:hAnsiTheme="majorHAnsi"/>
      <w:color w:themeColor="text2" w:val="0E2841"/>
      <w:spacing w:val="-6"/>
      <w:sz w:val="32"/>
      <w:szCs w:val="32"/>
    </w:rPr>
  </w:style>
  <w:style w:type="paragraph" w:styleId="NoSpacing">
    <w:name w:val="No Spacing"/>
    <w:uiPriority w:val="1"/>
    <w:qFormat/>
    <w:rsid w:val="0067787f"/>
    <w:pPr>
      <w:widowControl/>
      <w:suppressAutoHyphens w:val="true"/>
      <w:bidi w:val="0"/>
      <w:spacing w:before="0" w:after="0"/>
      <w:jc w:val="left"/>
    </w:pPr>
    <w:rPr>
      <w:rFonts w:ascii="Aptos" w:hAnsi="Aptos" w:eastAsia="" w:cs="" w:asciiTheme="minorHAnsi" w:cstheme="minorBidi" w:eastAsiaTheme="minorEastAsia" w:hAnsiTheme="minorHAnsi"/>
      <w:color w:val="auto"/>
      <w:kern w:val="0"/>
      <w:sz w:val="22"/>
      <w:szCs w:val="22"/>
      <w:lang w:val="pt-BR" w:eastAsia="en-US" w:bidi="ar-SA"/>
    </w:rPr>
  </w:style>
  <w:style w:type="paragraph" w:styleId="Indexheading1" w:customStyle="1">
    <w:name w:val="index heading1"/>
    <w:basedOn w:val="Title"/>
    <w:qFormat/>
    <w:pPr/>
    <w:rPr/>
  </w:style>
  <w:style w:type="paragraph" w:styleId="Indexheading2" w:customStyle="1">
    <w:name w:val="index heading2"/>
    <w:basedOn w:val="Title"/>
    <w:qFormat/>
    <w:pPr/>
    <w:rPr/>
  </w:style>
  <w:style w:type="paragraph" w:styleId="Indexheading3">
    <w:name w:val="index heading3"/>
    <w:basedOn w:val="Title"/>
    <w:qFormat/>
    <w:pPr/>
    <w:rPr/>
  </w:style>
  <w:style w:type="paragraph" w:styleId="IndexHeading">
    <w:name w:val="Index Heading"/>
    <w:basedOn w:val="Ttulo"/>
    <w:pPr/>
    <w:rPr/>
  </w:style>
  <w:style w:type="paragraph" w:styleId="TOCHeading">
    <w:name w:val="TOC Heading"/>
    <w:basedOn w:val="Heading1"/>
    <w:next w:val="Normal"/>
    <w:uiPriority w:val="39"/>
    <w:unhideWhenUsed/>
    <w:qFormat/>
    <w:rsid w:val="0067787f"/>
    <w:pPr>
      <w:numPr>
        <w:ilvl w:val="0"/>
        <w:numId w:val="0"/>
      </w:numPr>
    </w:pPr>
    <w:rPr/>
  </w:style>
  <w:style w:type="paragraph" w:styleId="CabealhoeRodap" w:customStyle="1">
    <w:name w:val="Cabeçalho e Rodapé"/>
    <w:basedOn w:val="Normal"/>
    <w:qFormat/>
    <w:pPr/>
    <w:rPr/>
  </w:style>
  <w:style w:type="paragraph" w:styleId="Cabealhoerodap1" w:customStyle="1">
    <w:name w:val="Cabeçalho e rodapé1"/>
    <w:basedOn w:val="Normal"/>
    <w:qFormat/>
    <w:pPr/>
    <w:rPr/>
  </w:style>
  <w:style w:type="paragraph" w:styleId="Header">
    <w:name w:val="Header"/>
    <w:basedOn w:val="Normal"/>
    <w:link w:val="CabealhoChar"/>
    <w:uiPriority w:val="99"/>
    <w:unhideWhenUsed/>
    <w:rsid w:val="00e0110c"/>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e0110c"/>
    <w:pPr>
      <w:tabs>
        <w:tab w:val="clear" w:pos="708"/>
        <w:tab w:val="center" w:pos="4252" w:leader="none"/>
        <w:tab w:val="right" w:pos="8504" w:leader="none"/>
      </w:tabs>
      <w:spacing w:lineRule="auto" w:line="240" w:before="0" w:after="0"/>
    </w:pPr>
    <w:rPr/>
  </w:style>
  <w:style w:type="paragraph" w:styleId="NormalWeb">
    <w:name w:val="Normal (Web)"/>
    <w:basedOn w:val="Normal"/>
    <w:uiPriority w:val="99"/>
    <w:unhideWhenUsed/>
    <w:qFormat/>
    <w:rsid w:val="00e0110c"/>
    <w:pPr>
      <w:spacing w:lineRule="auto" w:line="240" w:beforeAutospacing="1" w:afterAutospacing="1"/>
    </w:pPr>
    <w:rPr>
      <w:rFonts w:ascii="Times New Roman" w:hAnsi="Times New Roman" w:eastAsia="Times New Roman" w:cs="Times New Roman"/>
      <w:sz w:val="24"/>
      <w:szCs w:val="24"/>
      <w:lang w:eastAsia="pt-BR"/>
    </w:rPr>
  </w:style>
  <w:style w:type="paragraph" w:styleId="BalloonText">
    <w:name w:val="Balloon Text"/>
    <w:basedOn w:val="Normal"/>
    <w:link w:val="TextodebaloChar"/>
    <w:uiPriority w:val="99"/>
    <w:semiHidden/>
    <w:unhideWhenUsed/>
    <w:qFormat/>
    <w:rsid w:val="001e022c"/>
    <w:pPr>
      <w:spacing w:lineRule="auto" w:line="240" w:before="0" w:after="0"/>
    </w:pPr>
    <w:rPr>
      <w:rFonts w:ascii="Tahoma" w:hAnsi="Tahoma" w:cs="Tahoma"/>
      <w:sz w:val="16"/>
      <w:szCs w:val="16"/>
    </w:rPr>
  </w:style>
  <w:style w:type="paragraph" w:styleId="Referencia" w:customStyle="1">
    <w:name w:val="Referencia"/>
    <w:basedOn w:val="Normal"/>
    <w:qFormat/>
    <w:rsid w:val="005853a1"/>
    <w:pPr>
      <w:spacing w:lineRule="auto" w:line="240" w:before="60" w:after="60"/>
      <w:ind w:left="567"/>
    </w:pPr>
    <w:rPr>
      <w:rFonts w:ascii="Book Antiqua" w:hAnsi="Book Antiqua" w:eastAsia="Times New Roman" w:cs="Times New Roman"/>
      <w:sz w:val="20"/>
      <w:szCs w:val="20"/>
      <w:lang w:eastAsia="pt-BR"/>
    </w:rPr>
  </w:style>
  <w:style w:type="paragraph" w:styleId="Card-text" w:customStyle="1">
    <w:name w:val="card-text"/>
    <w:basedOn w:val="Normal"/>
    <w:qFormat/>
    <w:rsid w:val="00003c33"/>
    <w:pPr>
      <w:spacing w:lineRule="auto" w:line="240" w:beforeAutospacing="1" w:afterAutospacing="1"/>
    </w:pPr>
    <w:rPr>
      <w:rFonts w:ascii="Times New Roman" w:hAnsi="Times New Roman" w:eastAsia="Times New Roman" w:cs="Times New Roman"/>
      <w:sz w:val="24"/>
      <w:szCs w:val="24"/>
      <w:lang w:eastAsia="pt-BR"/>
    </w:rPr>
  </w:style>
  <w:style w:type="paragraph" w:styleId="FootnoteText">
    <w:name w:val="Footnote Text"/>
    <w:basedOn w:val="Normal"/>
    <w:pPr>
      <w:suppressLineNumbers/>
      <w:ind w:hanging="340" w:left="340"/>
    </w:pPr>
    <w:rPr>
      <w:sz w:val="20"/>
      <w:szCs w:val="20"/>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f161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pcmassonjr/ProjetoAplicado4"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dados.gov.br/dados/conjuntos-dados/base-de-dados-da-carteira-de-investimento-do-ministerio-das-cidades" TargetMode="External"/><Relationship Id="rId14" Type="http://schemas.openxmlformats.org/officeDocument/2006/relationships/hyperlink" Target="https://imef.furg.br/images/documentos/matematica-aplicada/monografias/2021-Rosana_Ribeiro_da_Costa.pdf" TargetMode="External"/><Relationship Id="rId15" Type="http://schemas.openxmlformats.org/officeDocument/2006/relationships/hyperlink" Target="https://repositorio.ipea.gov.br/bitstreams/38d2ac47-9091-4fbb-aeb6-4b5ef0a24d07/download" TargetMode="External"/><Relationship Id="rId16" Type="http://schemas.openxmlformats.org/officeDocument/2006/relationships/hyperlink" Target="https://www.repositorio.ufc.br/bitstream/riufc/80020/1/2025_tcc_lzbviana.pdf" TargetMode="External"/><Relationship Id="rId17" Type="http://schemas.openxmlformats.org/officeDocument/2006/relationships/hyperlink" Target="https://dados.gov.br/"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Apto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B7F50-1D2C-4568-B39A-D34E1AA19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Application>LibreOffice/7.6.7.2$Windows_X86_64 LibreOffice_project/dd47e4b30cb7dab30588d6c79c651f218165e3c5</Application>
  <AppVersion>15.0000</AppVersion>
  <Pages>13</Pages>
  <Words>1912</Words>
  <Characters>12366</Characters>
  <CharactersWithSpaces>14131</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2025-09-26T17:44:00Z</dcterms:created>
  <dc:creator>Paulo Masson</dc:creator>
  <dc:description/>
  <dc:language>pt-BR</dc:language>
  <cp:lastModifiedBy/>
  <cp:lastPrinted>2025-05-30T02:57:00Z</cp:lastPrinted>
  <dcterms:modified xsi:type="dcterms:W3CDTF">2025-10-29T19:45:43Z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3573e4e-3478-4a3d-9ff6-44bc0f7b0839_ActionId">
    <vt:lpwstr>d80a22b8-833c-40eb-abeb-b82510840632</vt:lpwstr>
  </property>
  <property fmtid="{D5CDD505-2E9C-101B-9397-08002B2CF9AE}" pid="3" name="MSIP_Label_a3573e4e-3478-4a3d-9ff6-44bc0f7b0839_ContentBits">
    <vt:lpwstr>0</vt:lpwstr>
  </property>
  <property fmtid="{D5CDD505-2E9C-101B-9397-08002B2CF9AE}" pid="4" name="MSIP_Label_a3573e4e-3478-4a3d-9ff6-44bc0f7b0839_Enabled">
    <vt:lpwstr>true</vt:lpwstr>
  </property>
  <property fmtid="{D5CDD505-2E9C-101B-9397-08002B2CF9AE}" pid="5" name="MSIP_Label_a3573e4e-3478-4a3d-9ff6-44bc0f7b0839_Method">
    <vt:lpwstr>Standard</vt:lpwstr>
  </property>
  <property fmtid="{D5CDD505-2E9C-101B-9397-08002B2CF9AE}" pid="6" name="MSIP_Label_a3573e4e-3478-4a3d-9ff6-44bc0f7b0839_Name">
    <vt:lpwstr>C1 - Standard (Internals)</vt:lpwstr>
  </property>
  <property fmtid="{D5CDD505-2E9C-101B-9397-08002B2CF9AE}" pid="7" name="MSIP_Label_a3573e4e-3478-4a3d-9ff6-44bc0f7b0839_SetDate">
    <vt:lpwstr>2025-05-28T22:45:32Z</vt:lpwstr>
  </property>
  <property fmtid="{D5CDD505-2E9C-101B-9397-08002B2CF9AE}" pid="8" name="MSIP_Label_a3573e4e-3478-4a3d-9ff6-44bc0f7b0839_SiteId">
    <vt:lpwstr>02aaf53c-da95-474b-bf1c-fefd6b731cb0</vt:lpwstr>
  </property>
  <property fmtid="{D5CDD505-2E9C-101B-9397-08002B2CF9AE}" pid="9" name="MSIP_Label_a3573e4e-3478-4a3d-9ff6-44bc0f7b0839_Tag">
    <vt:lpwstr>10, 3, 0, 1</vt:lpwstr>
  </property>
</Properties>
</file>