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A864E" w14:textId="0F3BB36B"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Patient:</w:t>
      </w:r>
      <w:r w:rsidRPr="00AB16EB">
        <w:rPr>
          <w:rFonts w:ascii="Arial" w:eastAsia="Times New Roman" w:hAnsi="Arial" w:cs="Arial"/>
          <w:color w:val="000000"/>
          <w:kern w:val="0"/>
          <w:lang w:val="en-US" w:eastAsia="de-DE"/>
          <w14:ligatures w14:val="none"/>
        </w:rPr>
        <w:t> Eleanor Parker</w:t>
      </w:r>
      <w:r w:rsidR="009D790F" w:rsidRPr="0064400F">
        <w:rPr>
          <w:rFonts w:ascii="Arial" w:eastAsia="Times New Roman" w:hAnsi="Arial" w:cs="Arial"/>
          <w:color w:val="000000"/>
          <w:kern w:val="0"/>
          <w:lang w:val="en-US" w:eastAsia="de-DE"/>
          <w14:ligatures w14:val="none"/>
        </w:rPr>
        <w:t xml:space="preserve"> (DOB 1956-05-15)</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b/>
          <w:bCs/>
          <w:color w:val="000000"/>
          <w:kern w:val="0"/>
          <w:lang w:val="en-US" w:eastAsia="de-DE"/>
          <w14:ligatures w14:val="none"/>
        </w:rPr>
        <w:t>Medical Record Number:</w:t>
      </w:r>
      <w:r w:rsidRPr="00AB16EB">
        <w:rPr>
          <w:rFonts w:ascii="Arial" w:eastAsia="Times New Roman" w:hAnsi="Arial" w:cs="Arial"/>
          <w:color w:val="000000"/>
          <w:kern w:val="0"/>
          <w:lang w:val="en-US" w:eastAsia="de-DE"/>
          <w14:ligatures w14:val="none"/>
        </w:rPr>
        <w:t> 629384</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b/>
          <w:bCs/>
          <w:color w:val="000000"/>
          <w:kern w:val="0"/>
          <w:lang w:val="en-US" w:eastAsia="de-DE"/>
          <w14:ligatures w14:val="none"/>
        </w:rPr>
        <w:t>Date of Admission:</w:t>
      </w:r>
      <w:r w:rsidRPr="00AB16EB">
        <w:rPr>
          <w:rFonts w:ascii="Arial" w:eastAsia="Times New Roman" w:hAnsi="Arial" w:cs="Arial"/>
          <w:color w:val="000000"/>
          <w:kern w:val="0"/>
          <w:lang w:val="en-US" w:eastAsia="de-DE"/>
          <w14:ligatures w14:val="none"/>
        </w:rPr>
        <w:t> 2025-03-16</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b/>
          <w:bCs/>
          <w:color w:val="000000"/>
          <w:kern w:val="0"/>
          <w:lang w:val="en-US" w:eastAsia="de-DE"/>
          <w14:ligatures w14:val="none"/>
        </w:rPr>
        <w:t>Date of Discharge:</w:t>
      </w:r>
      <w:r w:rsidRPr="00AB16EB">
        <w:rPr>
          <w:rFonts w:ascii="Arial" w:eastAsia="Times New Roman" w:hAnsi="Arial" w:cs="Arial"/>
          <w:color w:val="000000"/>
          <w:kern w:val="0"/>
          <w:lang w:val="en-US" w:eastAsia="de-DE"/>
          <w14:ligatures w14:val="none"/>
        </w:rPr>
        <w:t> 2025-03-27</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b/>
          <w:bCs/>
          <w:color w:val="000000"/>
          <w:kern w:val="0"/>
          <w:lang w:val="en-US" w:eastAsia="de-DE"/>
          <w14:ligatures w14:val="none"/>
        </w:rPr>
        <w:t>Admitting Physician:</w:t>
      </w:r>
      <w:r w:rsidRPr="00AB16EB">
        <w:rPr>
          <w:rFonts w:ascii="Arial" w:eastAsia="Times New Roman" w:hAnsi="Arial" w:cs="Arial"/>
          <w:color w:val="000000"/>
          <w:kern w:val="0"/>
          <w:lang w:val="en-US" w:eastAsia="de-DE"/>
          <w14:ligatures w14:val="none"/>
        </w:rPr>
        <w:t> Dr. A. Nguyen (Medical Oncology)</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b/>
          <w:bCs/>
          <w:color w:val="000000"/>
          <w:kern w:val="0"/>
          <w:lang w:val="en-US" w:eastAsia="de-DE"/>
          <w14:ligatures w14:val="none"/>
        </w:rPr>
        <w:t>Consulting Physicians:</w:t>
      </w:r>
      <w:r w:rsidRPr="00AB16EB">
        <w:rPr>
          <w:rFonts w:ascii="Arial" w:eastAsia="Times New Roman" w:hAnsi="Arial" w:cs="Arial"/>
          <w:color w:val="000000"/>
          <w:kern w:val="0"/>
          <w:lang w:val="en-US" w:eastAsia="de-DE"/>
          <w14:ligatures w14:val="none"/>
        </w:rPr>
        <w:t> Dr. S. Goldstein (Hepatology), Dr. R. Martinez (Gastroenterology)</w:t>
      </w:r>
    </w:p>
    <w:p w14:paraId="316043BF" w14:textId="77777777" w:rsidR="009D790F" w:rsidRPr="0064400F" w:rsidRDefault="009D790F" w:rsidP="0064400F">
      <w:pPr>
        <w:rPr>
          <w:rFonts w:ascii="Arial" w:eastAsia="Times New Roman" w:hAnsi="Arial" w:cs="Arial"/>
          <w:b/>
          <w:bCs/>
          <w:color w:val="000000"/>
          <w:kern w:val="0"/>
          <w:lang w:val="en-US" w:eastAsia="de-DE"/>
          <w14:ligatures w14:val="none"/>
        </w:rPr>
      </w:pPr>
    </w:p>
    <w:p w14:paraId="361F164F" w14:textId="20532933" w:rsidR="00AB16EB" w:rsidRPr="0064400F" w:rsidRDefault="00AB16EB" w:rsidP="0064400F">
      <w:pPr>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Discharge Diagnosis: Pembrolizumab-induced Autoimmune Hepatitis in Patient with Stage IV NSCLC</w:t>
      </w:r>
    </w:p>
    <w:p w14:paraId="74EE69D1" w14:textId="77777777" w:rsidR="009D790F" w:rsidRPr="00AB16EB" w:rsidRDefault="009D790F" w:rsidP="0064400F">
      <w:pPr>
        <w:rPr>
          <w:rFonts w:ascii="Arial" w:eastAsia="Times New Roman" w:hAnsi="Arial" w:cs="Arial"/>
          <w:b/>
          <w:bCs/>
          <w:color w:val="000000"/>
          <w:kern w:val="0"/>
          <w:lang w:val="en-US" w:eastAsia="de-DE"/>
          <w14:ligatures w14:val="none"/>
        </w:rPr>
      </w:pPr>
    </w:p>
    <w:p w14:paraId="61A7A279" w14:textId="77777777"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1. Detailed Oncological Diagnosis:</w:t>
      </w:r>
    </w:p>
    <w:p w14:paraId="7710EAA0"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u w:val="single"/>
          <w:lang w:val="en-US" w:eastAsia="de-DE"/>
          <w14:ligatures w14:val="none"/>
        </w:rPr>
        <w:t>Primary Diagnosis:</w:t>
      </w:r>
      <w:r w:rsidRPr="00AB16EB">
        <w:rPr>
          <w:rFonts w:ascii="Arial" w:eastAsia="Times New Roman" w:hAnsi="Arial" w:cs="Arial"/>
          <w:color w:val="000000"/>
          <w:kern w:val="0"/>
          <w:lang w:val="en-US" w:eastAsia="de-DE"/>
          <w14:ligatures w14:val="none"/>
        </w:rPr>
        <w:t> Non-Small Cell Lung Cancer (NSCLC), Adenocarcinoma, Stage IVB</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color w:val="000000"/>
          <w:kern w:val="0"/>
          <w:u w:val="single"/>
          <w:lang w:val="en-US" w:eastAsia="de-DE"/>
          <w14:ligatures w14:val="none"/>
        </w:rPr>
        <w:t>Date of Initial Diagnosis</w:t>
      </w:r>
      <w:r w:rsidRPr="00AB16EB">
        <w:rPr>
          <w:rFonts w:ascii="Arial" w:eastAsia="Times New Roman" w:hAnsi="Arial" w:cs="Arial"/>
          <w:color w:val="000000"/>
          <w:kern w:val="0"/>
          <w:lang w:val="en-US" w:eastAsia="de-DE"/>
          <w14:ligatures w14:val="none"/>
        </w:rPr>
        <w:t>: October 2024</w:t>
      </w:r>
    </w:p>
    <w:p w14:paraId="5F05E0D4" w14:textId="77777777" w:rsidR="00AB16EB" w:rsidRPr="00AB16EB" w:rsidRDefault="00AB16EB" w:rsidP="0064400F">
      <w:pPr>
        <w:rPr>
          <w:rFonts w:ascii="Arial" w:eastAsia="Times New Roman" w:hAnsi="Arial" w:cs="Arial"/>
          <w:color w:val="000000"/>
          <w:kern w:val="0"/>
          <w:u w:val="single"/>
          <w:lang w:eastAsia="de-DE"/>
          <w14:ligatures w14:val="none"/>
        </w:rPr>
      </w:pPr>
      <w:proofErr w:type="spellStart"/>
      <w:r w:rsidRPr="00AB16EB">
        <w:rPr>
          <w:rFonts w:ascii="Arial" w:eastAsia="Times New Roman" w:hAnsi="Arial" w:cs="Arial"/>
          <w:color w:val="000000"/>
          <w:kern w:val="0"/>
          <w:u w:val="single"/>
          <w:lang w:eastAsia="de-DE"/>
          <w14:ligatures w14:val="none"/>
        </w:rPr>
        <w:t>Histology</w:t>
      </w:r>
      <w:proofErr w:type="spellEnd"/>
      <w:r w:rsidRPr="00AB16EB">
        <w:rPr>
          <w:rFonts w:ascii="Arial" w:eastAsia="Times New Roman" w:hAnsi="Arial" w:cs="Arial"/>
          <w:color w:val="000000"/>
          <w:kern w:val="0"/>
          <w:u w:val="single"/>
          <w:lang w:eastAsia="de-DE"/>
          <w14:ligatures w14:val="none"/>
        </w:rPr>
        <w:t>:</w:t>
      </w:r>
    </w:p>
    <w:p w14:paraId="7F8F03A6" w14:textId="77777777" w:rsidR="00AB16EB" w:rsidRPr="00AB16EB" w:rsidRDefault="00AB16EB" w:rsidP="0064400F">
      <w:pPr>
        <w:numPr>
          <w:ilvl w:val="0"/>
          <w:numId w:val="1"/>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CT-guided biopsy of right upper lobe lung mass (October 2024) revealed poorly differentiated adenocarcinoma.</w:t>
      </w:r>
    </w:p>
    <w:p w14:paraId="2C8BE0F5" w14:textId="77777777" w:rsidR="00AB16EB" w:rsidRPr="00AB16EB" w:rsidRDefault="00AB16EB" w:rsidP="0064400F">
      <w:pPr>
        <w:numPr>
          <w:ilvl w:val="0"/>
          <w:numId w:val="1"/>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Immunohistochemistry: Positive for TTF-1, CK7, </w:t>
      </w:r>
      <w:proofErr w:type="spellStart"/>
      <w:r w:rsidRPr="00AB16EB">
        <w:rPr>
          <w:rFonts w:ascii="Arial" w:eastAsia="Times New Roman" w:hAnsi="Arial" w:cs="Arial"/>
          <w:color w:val="000000"/>
          <w:kern w:val="0"/>
          <w:lang w:val="en-US" w:eastAsia="de-DE"/>
          <w14:ligatures w14:val="none"/>
        </w:rPr>
        <w:t>Napsin</w:t>
      </w:r>
      <w:proofErr w:type="spellEnd"/>
      <w:r w:rsidRPr="00AB16EB">
        <w:rPr>
          <w:rFonts w:ascii="Arial" w:eastAsia="Times New Roman" w:hAnsi="Arial" w:cs="Arial"/>
          <w:color w:val="000000"/>
          <w:kern w:val="0"/>
          <w:lang w:val="en-US" w:eastAsia="de-DE"/>
          <w14:ligatures w14:val="none"/>
        </w:rPr>
        <w:t xml:space="preserve"> A. Negative for CK20, p40, and synaptophysin.</w:t>
      </w:r>
    </w:p>
    <w:p w14:paraId="0DA6554B" w14:textId="77777777" w:rsidR="009D790F" w:rsidRPr="0064400F" w:rsidRDefault="00AB16EB" w:rsidP="0064400F">
      <w:pPr>
        <w:numPr>
          <w:ilvl w:val="0"/>
          <w:numId w:val="1"/>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Molecular testing:</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EGFR: Wild-type</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ALK: No rearrangement</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ROS1: No rearrangement</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BRAF: Wild-type</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KRAS: G12C mutation positive</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MET: No exon 14 skipping mutation</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RET: No rearrangement</w:t>
      </w:r>
    </w:p>
    <w:p w14:paraId="17C9C045" w14:textId="3AFDCD70" w:rsidR="00AB16EB" w:rsidRPr="00AB16EB" w:rsidRDefault="00AB16EB" w:rsidP="0064400F">
      <w:pPr>
        <w:numPr>
          <w:ilvl w:val="0"/>
          <w:numId w:val="1"/>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PD-L1 expression</w:t>
      </w:r>
      <w:r w:rsidR="006440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80% Tumor Proportion Score (TPS)</w:t>
      </w:r>
    </w:p>
    <w:p w14:paraId="31E1D795" w14:textId="77777777" w:rsidR="00AB16EB" w:rsidRPr="00AB16EB"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Staging:</w:t>
      </w:r>
    </w:p>
    <w:p w14:paraId="401831AA" w14:textId="6F117EC2" w:rsidR="00AB16EB" w:rsidRPr="00AB16EB" w:rsidRDefault="00AB16EB" w:rsidP="0064400F">
      <w:pPr>
        <w:numPr>
          <w:ilvl w:val="0"/>
          <w:numId w:val="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TNM (8th edition): cT</w:t>
      </w:r>
      <w:r w:rsidR="00414C10">
        <w:rPr>
          <w:rFonts w:ascii="Arial" w:eastAsia="Times New Roman" w:hAnsi="Arial" w:cs="Arial"/>
          <w:color w:val="000000"/>
          <w:kern w:val="0"/>
          <w:lang w:val="en-US" w:eastAsia="de-DE"/>
          <w14:ligatures w14:val="none"/>
        </w:rPr>
        <w:t>3</w:t>
      </w:r>
      <w:r w:rsidRPr="00AB16EB">
        <w:rPr>
          <w:rFonts w:ascii="Arial" w:eastAsia="Times New Roman" w:hAnsi="Arial" w:cs="Arial"/>
          <w:color w:val="000000"/>
          <w:kern w:val="0"/>
          <w:lang w:val="en-US" w:eastAsia="de-DE"/>
          <w14:ligatures w14:val="none"/>
        </w:rPr>
        <w:t>N2M1c (Stage IVB)</w:t>
      </w:r>
    </w:p>
    <w:p w14:paraId="3DC19F14" w14:textId="77777777" w:rsidR="009D790F" w:rsidRPr="0064400F" w:rsidRDefault="00AB16EB" w:rsidP="0064400F">
      <w:pPr>
        <w:numPr>
          <w:ilvl w:val="0"/>
          <w:numId w:val="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eastAsia="de-DE"/>
          <w14:ligatures w14:val="none"/>
        </w:rPr>
        <w:t>Imaging Studies:</w:t>
      </w:r>
    </w:p>
    <w:p w14:paraId="5A7F11D0" w14:textId="77777777" w:rsidR="009D790F" w:rsidRPr="0064400F" w:rsidRDefault="00AB16EB" w:rsidP="0064400F">
      <w:pPr>
        <w:numPr>
          <w:ilvl w:val="1"/>
          <w:numId w:val="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Chest CT (October 2024): 5.2 cm spiculated mass in right upper lobe with ipsilateral hilar and mediastinal lymphadenopathy.</w:t>
      </w:r>
    </w:p>
    <w:p w14:paraId="5460CADB" w14:textId="77777777" w:rsidR="009D790F" w:rsidRPr="0064400F" w:rsidRDefault="00AB16EB" w:rsidP="0064400F">
      <w:pPr>
        <w:numPr>
          <w:ilvl w:val="1"/>
          <w:numId w:val="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PET/CT (October 2024): FDG-avid primary mass (</w:t>
      </w:r>
      <w:proofErr w:type="spellStart"/>
      <w:r w:rsidRPr="00AB16EB">
        <w:rPr>
          <w:rFonts w:ascii="Arial" w:eastAsia="Times New Roman" w:hAnsi="Arial" w:cs="Arial"/>
          <w:color w:val="000000"/>
          <w:kern w:val="0"/>
          <w:lang w:val="en-US" w:eastAsia="de-DE"/>
          <w14:ligatures w14:val="none"/>
        </w:rPr>
        <w:t>SUVmax</w:t>
      </w:r>
      <w:proofErr w:type="spellEnd"/>
      <w:r w:rsidRPr="00AB16EB">
        <w:rPr>
          <w:rFonts w:ascii="Arial" w:eastAsia="Times New Roman" w:hAnsi="Arial" w:cs="Arial"/>
          <w:color w:val="000000"/>
          <w:kern w:val="0"/>
          <w:lang w:val="en-US" w:eastAsia="de-DE"/>
          <w14:ligatures w14:val="none"/>
        </w:rPr>
        <w:t xml:space="preserve"> 15.2), mediastinal/hilar lymphadenopathy, multiple bone metastases, and bilateral adrenal involvement.</w:t>
      </w:r>
    </w:p>
    <w:p w14:paraId="1E679EAB" w14:textId="638DDCE9" w:rsidR="00AB16EB" w:rsidRPr="00AB16EB" w:rsidRDefault="00AB16EB" w:rsidP="0064400F">
      <w:pPr>
        <w:numPr>
          <w:ilvl w:val="1"/>
          <w:numId w:val="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Brain MRI (October 2024): No evidence of brain metastases.</w:t>
      </w:r>
    </w:p>
    <w:p w14:paraId="748B316E" w14:textId="77777777" w:rsidR="009D790F" w:rsidRPr="0064400F" w:rsidRDefault="009D790F" w:rsidP="0064400F">
      <w:pPr>
        <w:outlineLvl w:val="1"/>
        <w:rPr>
          <w:rFonts w:ascii="Arial" w:eastAsia="Times New Roman" w:hAnsi="Arial" w:cs="Arial"/>
          <w:b/>
          <w:bCs/>
          <w:color w:val="000000"/>
          <w:kern w:val="0"/>
          <w:lang w:val="en-US" w:eastAsia="de-DE"/>
          <w14:ligatures w14:val="none"/>
        </w:rPr>
      </w:pPr>
    </w:p>
    <w:p w14:paraId="69EFCDEA" w14:textId="5A265E9B"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 xml:space="preserve">2. </w:t>
      </w:r>
      <w:r w:rsidR="009D790F" w:rsidRPr="0064400F">
        <w:rPr>
          <w:rFonts w:ascii="Arial" w:eastAsia="Times New Roman" w:hAnsi="Arial" w:cs="Arial"/>
          <w:b/>
          <w:bCs/>
          <w:color w:val="000000"/>
          <w:kern w:val="0"/>
          <w:lang w:val="en-US" w:eastAsia="de-DE"/>
          <w14:ligatures w14:val="none"/>
        </w:rPr>
        <w:t>History of</w:t>
      </w:r>
      <w:r w:rsidRPr="00AB16EB">
        <w:rPr>
          <w:rFonts w:ascii="Arial" w:eastAsia="Times New Roman" w:hAnsi="Arial" w:cs="Arial"/>
          <w:b/>
          <w:bCs/>
          <w:color w:val="000000"/>
          <w:kern w:val="0"/>
          <w:lang w:val="en-US" w:eastAsia="de-DE"/>
          <w14:ligatures w14:val="none"/>
        </w:rPr>
        <w:t xml:space="preserve"> Oncological Treatment:</w:t>
      </w:r>
    </w:p>
    <w:p w14:paraId="2FBB7FA6" w14:textId="77777777" w:rsidR="00AB16EB" w:rsidRPr="00AB16EB" w:rsidRDefault="00AB16EB" w:rsidP="0064400F">
      <w:pPr>
        <w:rPr>
          <w:rFonts w:ascii="Arial" w:eastAsia="Times New Roman" w:hAnsi="Arial" w:cs="Arial"/>
          <w:color w:val="000000"/>
          <w:kern w:val="0"/>
          <w:u w:val="single"/>
          <w:lang w:val="en-US" w:eastAsia="de-DE"/>
          <w14:ligatures w14:val="none"/>
        </w:rPr>
      </w:pPr>
      <w:r w:rsidRPr="00AB16EB">
        <w:rPr>
          <w:rFonts w:ascii="Arial" w:eastAsia="Times New Roman" w:hAnsi="Arial" w:cs="Arial"/>
          <w:color w:val="000000"/>
          <w:kern w:val="0"/>
          <w:u w:val="single"/>
          <w:lang w:val="en-US" w:eastAsia="de-DE"/>
          <w14:ligatures w14:val="none"/>
        </w:rPr>
        <w:t>Immunotherapy:</w:t>
      </w:r>
    </w:p>
    <w:p w14:paraId="471CBD86" w14:textId="77777777" w:rsidR="00AB16EB" w:rsidRPr="00AB16EB" w:rsidRDefault="00AB16EB" w:rsidP="0064400F">
      <w:pPr>
        <w:numPr>
          <w:ilvl w:val="0"/>
          <w:numId w:val="4"/>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Pembrolizumab 200 mg IV every 3 </w:t>
      </w:r>
      <w:proofErr w:type="gramStart"/>
      <w:r w:rsidRPr="00AB16EB">
        <w:rPr>
          <w:rFonts w:ascii="Arial" w:eastAsia="Times New Roman" w:hAnsi="Arial" w:cs="Arial"/>
          <w:color w:val="000000"/>
          <w:kern w:val="0"/>
          <w:lang w:val="en-US" w:eastAsia="de-DE"/>
          <w14:ligatures w14:val="none"/>
        </w:rPr>
        <w:t>weeks initiated</w:t>
      </w:r>
      <w:proofErr w:type="gramEnd"/>
      <w:r w:rsidRPr="00AB16EB">
        <w:rPr>
          <w:rFonts w:ascii="Arial" w:eastAsia="Times New Roman" w:hAnsi="Arial" w:cs="Arial"/>
          <w:color w:val="000000"/>
          <w:kern w:val="0"/>
          <w:lang w:val="en-US" w:eastAsia="de-DE"/>
          <w14:ligatures w14:val="none"/>
        </w:rPr>
        <w:t xml:space="preserve"> December 2024</w:t>
      </w:r>
    </w:p>
    <w:p w14:paraId="349F9CB1" w14:textId="77777777" w:rsidR="00AB16EB" w:rsidRPr="00AB16EB" w:rsidRDefault="00AB16EB" w:rsidP="0064400F">
      <w:pPr>
        <w:numPr>
          <w:ilvl w:val="0"/>
          <w:numId w:val="4"/>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3 cycles completed (December 2024, January 2025, February 2025)</w:t>
      </w:r>
    </w:p>
    <w:p w14:paraId="6ACFB1CA" w14:textId="77777777" w:rsidR="009D790F" w:rsidRPr="00AB16EB" w:rsidRDefault="009D790F" w:rsidP="0064400F">
      <w:pPr>
        <w:ind w:left="720"/>
        <w:rPr>
          <w:rFonts w:ascii="Arial" w:eastAsia="Times New Roman" w:hAnsi="Arial" w:cs="Arial"/>
          <w:color w:val="000000"/>
          <w:kern w:val="0"/>
          <w:lang w:val="en-US" w:eastAsia="de-DE"/>
          <w14:ligatures w14:val="none"/>
        </w:rPr>
      </w:pPr>
    </w:p>
    <w:p w14:paraId="58353FC1" w14:textId="77777777" w:rsidR="00AB16EB" w:rsidRPr="00AB16EB"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 xml:space="preserve">Palliative </w:t>
      </w:r>
      <w:proofErr w:type="spellStart"/>
      <w:r w:rsidRPr="00AB16EB">
        <w:rPr>
          <w:rFonts w:ascii="Arial" w:eastAsia="Times New Roman" w:hAnsi="Arial" w:cs="Arial"/>
          <w:color w:val="000000"/>
          <w:kern w:val="0"/>
          <w:u w:val="single"/>
          <w:lang w:eastAsia="de-DE"/>
          <w14:ligatures w14:val="none"/>
        </w:rPr>
        <w:t>Radiotherapy</w:t>
      </w:r>
      <w:proofErr w:type="spellEnd"/>
      <w:r w:rsidRPr="00AB16EB">
        <w:rPr>
          <w:rFonts w:ascii="Arial" w:eastAsia="Times New Roman" w:hAnsi="Arial" w:cs="Arial"/>
          <w:color w:val="000000"/>
          <w:kern w:val="0"/>
          <w:u w:val="single"/>
          <w:lang w:eastAsia="de-DE"/>
          <w14:ligatures w14:val="none"/>
        </w:rPr>
        <w:t>:</w:t>
      </w:r>
    </w:p>
    <w:p w14:paraId="0DDBB731" w14:textId="77777777" w:rsidR="00AB16EB" w:rsidRPr="00AB16EB" w:rsidRDefault="00AB16EB" w:rsidP="0064400F">
      <w:pPr>
        <w:numPr>
          <w:ilvl w:val="0"/>
          <w:numId w:val="5"/>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External beam radiation therapy to painful T10-L1 vertebral metastases (January 2025)</w:t>
      </w:r>
    </w:p>
    <w:p w14:paraId="410F91BE" w14:textId="77777777" w:rsidR="00AB16EB" w:rsidRPr="0064400F" w:rsidRDefault="00AB16EB" w:rsidP="0064400F">
      <w:pPr>
        <w:numPr>
          <w:ilvl w:val="0"/>
          <w:numId w:val="5"/>
        </w:num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 xml:space="preserve">Total dose: 30 Gy in 10 </w:t>
      </w:r>
      <w:proofErr w:type="spellStart"/>
      <w:r w:rsidRPr="00AB16EB">
        <w:rPr>
          <w:rFonts w:ascii="Arial" w:eastAsia="Times New Roman" w:hAnsi="Arial" w:cs="Arial"/>
          <w:color w:val="000000"/>
          <w:kern w:val="0"/>
          <w:lang w:eastAsia="de-DE"/>
          <w14:ligatures w14:val="none"/>
        </w:rPr>
        <w:t>fractions</w:t>
      </w:r>
      <w:proofErr w:type="spellEnd"/>
    </w:p>
    <w:p w14:paraId="589A2190" w14:textId="77777777" w:rsidR="009D790F" w:rsidRPr="00AB16EB" w:rsidRDefault="009D790F" w:rsidP="0064400F">
      <w:pPr>
        <w:ind w:left="720"/>
        <w:rPr>
          <w:rFonts w:ascii="Arial" w:eastAsia="Times New Roman" w:hAnsi="Arial" w:cs="Arial"/>
          <w:color w:val="000000"/>
          <w:kern w:val="0"/>
          <w:lang w:eastAsia="de-DE"/>
          <w14:ligatures w14:val="none"/>
        </w:rPr>
      </w:pPr>
    </w:p>
    <w:p w14:paraId="0D56EFAE" w14:textId="77777777" w:rsidR="00AB16EB" w:rsidRPr="00AB16EB"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Supportive Therapy:</w:t>
      </w:r>
    </w:p>
    <w:p w14:paraId="044B8E53" w14:textId="433CF235" w:rsidR="009D790F" w:rsidRPr="0064400F" w:rsidRDefault="009D790F" w:rsidP="0064400F">
      <w:pPr>
        <w:pStyle w:val="ng-star-inserted"/>
        <w:numPr>
          <w:ilvl w:val="0"/>
          <w:numId w:val="18"/>
        </w:numPr>
        <w:spacing w:before="0" w:beforeAutospacing="0" w:after="0" w:afterAutospacing="0"/>
        <w:rPr>
          <w:rFonts w:ascii="Arial" w:hAnsi="Arial" w:cs="Arial"/>
          <w:color w:val="000000"/>
          <w:lang w:val="en-US"/>
        </w:rPr>
      </w:pPr>
      <w:r w:rsidRPr="0064400F">
        <w:rPr>
          <w:rFonts w:ascii="Arial" w:hAnsi="Arial" w:cs="Arial"/>
          <w:color w:val="000000"/>
          <w:lang w:val="en-US"/>
        </w:rPr>
        <w:t>Zoledronic acid 4 mg IV every 4 weeks (initiated December 2024 for bone metastases). </w:t>
      </w:r>
    </w:p>
    <w:p w14:paraId="619FC7F0" w14:textId="0477A6E3" w:rsidR="009D790F" w:rsidRPr="0064400F" w:rsidRDefault="009D790F" w:rsidP="0064400F">
      <w:pPr>
        <w:pStyle w:val="ng-star-inserted"/>
        <w:numPr>
          <w:ilvl w:val="1"/>
          <w:numId w:val="18"/>
        </w:numPr>
        <w:spacing w:before="0" w:beforeAutospacing="0" w:after="0" w:afterAutospacing="0"/>
        <w:rPr>
          <w:rFonts w:ascii="Arial" w:hAnsi="Arial" w:cs="Arial"/>
          <w:color w:val="000000"/>
        </w:rPr>
      </w:pPr>
      <w:r w:rsidRPr="0064400F">
        <w:rPr>
          <w:rFonts w:ascii="Arial" w:hAnsi="Arial" w:cs="Arial"/>
          <w:color w:val="000000"/>
          <w:lang w:val="en-US"/>
        </w:rPr>
        <w:t>Previous cycle administered February 2, 2025 </w:t>
      </w:r>
    </w:p>
    <w:p w14:paraId="1A7B1FD2" w14:textId="00806E9F" w:rsidR="009D790F" w:rsidRPr="0064400F" w:rsidRDefault="009D790F" w:rsidP="0064400F">
      <w:pPr>
        <w:pStyle w:val="ng-star-inserted"/>
        <w:numPr>
          <w:ilvl w:val="1"/>
          <w:numId w:val="18"/>
        </w:numPr>
        <w:spacing w:before="0" w:beforeAutospacing="0" w:after="0" w:afterAutospacing="0"/>
        <w:rPr>
          <w:rFonts w:ascii="Arial" w:hAnsi="Arial" w:cs="Arial"/>
          <w:color w:val="000000"/>
          <w:lang w:val="en-US"/>
        </w:rPr>
      </w:pPr>
      <w:r w:rsidRPr="0064400F">
        <w:rPr>
          <w:rFonts w:ascii="Arial" w:hAnsi="Arial" w:cs="Arial"/>
          <w:color w:val="000000"/>
          <w:lang w:val="en-US"/>
        </w:rPr>
        <w:t>Current cycle (due early March) held due to acute presentation of hepatitis and initiation of high-dose steroids. Plan to resume with next oncology visit if clinically stable and no contraindications.</w:t>
      </w:r>
    </w:p>
    <w:p w14:paraId="00A7D138" w14:textId="77777777" w:rsidR="009D790F" w:rsidRPr="0064400F" w:rsidRDefault="009D790F" w:rsidP="0064400F">
      <w:pPr>
        <w:rPr>
          <w:rFonts w:ascii="Arial" w:eastAsia="Times New Roman" w:hAnsi="Arial" w:cs="Arial"/>
          <w:color w:val="000000"/>
          <w:kern w:val="0"/>
          <w:lang w:val="en-US" w:eastAsia="de-DE"/>
          <w14:ligatures w14:val="none"/>
        </w:rPr>
      </w:pPr>
    </w:p>
    <w:p w14:paraId="7A84E3DE" w14:textId="7E8D3207" w:rsidR="009D790F" w:rsidRPr="0064400F" w:rsidRDefault="009D790F" w:rsidP="0064400F">
      <w:pPr>
        <w:rPr>
          <w:rFonts w:ascii="Arial" w:eastAsia="Times New Roman" w:hAnsi="Arial" w:cs="Arial"/>
          <w:color w:val="000000"/>
          <w:kern w:val="0"/>
          <w:lang w:eastAsia="de-DE"/>
          <w14:ligatures w14:val="none"/>
        </w:rPr>
      </w:pPr>
      <w:r w:rsidRPr="0064400F">
        <w:rPr>
          <w:rFonts w:ascii="Arial" w:eastAsia="Times New Roman" w:hAnsi="Arial" w:cs="Arial"/>
          <w:b/>
          <w:bCs/>
          <w:color w:val="000000"/>
          <w:kern w:val="0"/>
          <w:lang w:eastAsia="de-DE"/>
          <w14:ligatures w14:val="none"/>
        </w:rPr>
        <w:t>3. Imaging</w:t>
      </w:r>
    </w:p>
    <w:p w14:paraId="756E8D02" w14:textId="77777777" w:rsidR="009D790F" w:rsidRPr="00AB16EB" w:rsidRDefault="009D790F" w:rsidP="0064400F">
      <w:pPr>
        <w:numPr>
          <w:ilvl w:val="0"/>
          <w:numId w:val="3"/>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CT Chest/Abdomen/Pelvis (February 2025, after 3 cycles of pembrolizumab): Partial response with 30% reduction in size of primary lesion and lymphadenopathy; stable bone and adrenal metastases.</w:t>
      </w:r>
    </w:p>
    <w:p w14:paraId="6947755E" w14:textId="77777777" w:rsidR="009D790F" w:rsidRPr="0064400F" w:rsidRDefault="009D790F" w:rsidP="0064400F">
      <w:pPr>
        <w:rPr>
          <w:rFonts w:ascii="Arial" w:eastAsia="Times New Roman" w:hAnsi="Arial" w:cs="Arial"/>
          <w:color w:val="000000"/>
          <w:kern w:val="0"/>
          <w:lang w:val="en-US" w:eastAsia="de-DE"/>
          <w14:ligatures w14:val="none"/>
        </w:rPr>
      </w:pPr>
    </w:p>
    <w:p w14:paraId="62174214" w14:textId="449D9EA2" w:rsidR="00AB16EB" w:rsidRPr="00AB16EB" w:rsidRDefault="0064400F" w:rsidP="0064400F">
      <w:pPr>
        <w:outlineLvl w:val="1"/>
        <w:rPr>
          <w:rFonts w:ascii="Arial" w:eastAsia="Times New Roman" w:hAnsi="Arial" w:cs="Arial"/>
          <w:b/>
          <w:bCs/>
          <w:color w:val="000000"/>
          <w:kern w:val="0"/>
          <w:lang w:eastAsia="de-DE"/>
          <w14:ligatures w14:val="none"/>
        </w:rPr>
      </w:pPr>
      <w:r w:rsidRPr="0064400F">
        <w:rPr>
          <w:rFonts w:ascii="Arial" w:eastAsia="Times New Roman" w:hAnsi="Arial" w:cs="Arial"/>
          <w:b/>
          <w:bCs/>
          <w:color w:val="000000"/>
          <w:kern w:val="0"/>
          <w:lang w:eastAsia="de-DE"/>
          <w14:ligatures w14:val="none"/>
        </w:rPr>
        <w:t xml:space="preserve">4. </w:t>
      </w:r>
      <w:proofErr w:type="spellStart"/>
      <w:r w:rsidR="00AB16EB" w:rsidRPr="00AB16EB">
        <w:rPr>
          <w:rFonts w:ascii="Arial" w:eastAsia="Times New Roman" w:hAnsi="Arial" w:cs="Arial"/>
          <w:b/>
          <w:bCs/>
          <w:color w:val="000000"/>
          <w:kern w:val="0"/>
          <w:lang w:eastAsia="de-DE"/>
          <w14:ligatures w14:val="none"/>
        </w:rPr>
        <w:t>Comorbidities</w:t>
      </w:r>
      <w:proofErr w:type="spellEnd"/>
      <w:r w:rsidR="00AB16EB" w:rsidRPr="00AB16EB">
        <w:rPr>
          <w:rFonts w:ascii="Arial" w:eastAsia="Times New Roman" w:hAnsi="Arial" w:cs="Arial"/>
          <w:b/>
          <w:bCs/>
          <w:color w:val="000000"/>
          <w:kern w:val="0"/>
          <w:lang w:eastAsia="de-DE"/>
          <w14:ligatures w14:val="none"/>
        </w:rPr>
        <w:t>:</w:t>
      </w:r>
    </w:p>
    <w:p w14:paraId="314EF4E6" w14:textId="77777777" w:rsidR="00AB16EB" w:rsidRPr="00AB16EB"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Chronic obstructive pulmonary disease (GOLD stage 2, diagnosed 2018)</w:t>
      </w:r>
    </w:p>
    <w:p w14:paraId="3D15EA28" w14:textId="77777777" w:rsidR="00AB16EB" w:rsidRPr="00AB16EB"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Rheumatoid arthritis (diagnosed 2010, in remission on hydroxychloroquine)</w:t>
      </w:r>
    </w:p>
    <w:p w14:paraId="0CC4C8C4" w14:textId="572A7648" w:rsidR="00AB16EB" w:rsidRPr="00AB16EB"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Osteoporosis (diagnosed 2019</w:t>
      </w:r>
      <w:r w:rsidR="0064400F" w:rsidRPr="0064400F">
        <w:rPr>
          <w:rFonts w:ascii="Arial" w:eastAsia="Times New Roman" w:hAnsi="Arial" w:cs="Arial"/>
          <w:color w:val="000000"/>
          <w:kern w:val="0"/>
          <w:lang w:val="en-US" w:eastAsia="de-DE"/>
          <w14:ligatures w14:val="none"/>
        </w:rPr>
        <w:t>, on denosumab q6m until 2024)</w:t>
      </w:r>
    </w:p>
    <w:p w14:paraId="3ED9F029" w14:textId="77777777" w:rsidR="00AB16EB"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Hypothyroidism (well-controlled on levothyroxine)</w:t>
      </w:r>
    </w:p>
    <w:p w14:paraId="679E6899" w14:textId="273FB666" w:rsidR="00081019" w:rsidRPr="00AB16EB" w:rsidRDefault="00081019" w:rsidP="0064400F">
      <w:pPr>
        <w:numPr>
          <w:ilvl w:val="0"/>
          <w:numId w:val="7"/>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Pulmonary embolism September 2024 (on Apixaban)</w:t>
      </w:r>
    </w:p>
    <w:p w14:paraId="49DF17CE" w14:textId="77777777" w:rsidR="00AB16EB" w:rsidRPr="00AB16EB"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Former smoker (60 pack-year history, quit 2018)</w:t>
      </w:r>
    </w:p>
    <w:p w14:paraId="0EA11B8C" w14:textId="77777777" w:rsidR="00AB16EB" w:rsidRPr="00AB16EB" w:rsidRDefault="00AB16EB" w:rsidP="0064400F">
      <w:pPr>
        <w:numPr>
          <w:ilvl w:val="0"/>
          <w:numId w:val="7"/>
        </w:num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Anxiety</w:t>
      </w:r>
      <w:proofErr w:type="spellEnd"/>
      <w:r w:rsidRPr="00AB16EB">
        <w:rPr>
          <w:rFonts w:ascii="Arial" w:eastAsia="Times New Roman" w:hAnsi="Arial" w:cs="Arial"/>
          <w:color w:val="000000"/>
          <w:kern w:val="0"/>
          <w:lang w:eastAsia="de-DE"/>
          <w14:ligatures w14:val="none"/>
        </w:rPr>
        <w:t xml:space="preserve"> </w:t>
      </w:r>
      <w:proofErr w:type="spellStart"/>
      <w:r w:rsidRPr="00AB16EB">
        <w:rPr>
          <w:rFonts w:ascii="Arial" w:eastAsia="Times New Roman" w:hAnsi="Arial" w:cs="Arial"/>
          <w:color w:val="000000"/>
          <w:kern w:val="0"/>
          <w:lang w:eastAsia="de-DE"/>
          <w14:ligatures w14:val="none"/>
        </w:rPr>
        <w:t>disorder</w:t>
      </w:r>
      <w:proofErr w:type="spellEnd"/>
    </w:p>
    <w:p w14:paraId="55AA77F0" w14:textId="77777777" w:rsidR="00AB16EB" w:rsidRPr="0064400F"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Allergies: Penicillin (urticaria), Sulfa drugs (rash)</w:t>
      </w:r>
    </w:p>
    <w:p w14:paraId="0A1B33EC" w14:textId="77777777" w:rsidR="009D790F" w:rsidRPr="00AB16EB" w:rsidRDefault="009D790F" w:rsidP="0064400F">
      <w:pPr>
        <w:ind w:left="720"/>
        <w:rPr>
          <w:rFonts w:ascii="Arial" w:eastAsia="Times New Roman" w:hAnsi="Arial" w:cs="Arial"/>
          <w:color w:val="000000"/>
          <w:kern w:val="0"/>
          <w:lang w:val="en-US" w:eastAsia="de-DE"/>
          <w14:ligatures w14:val="none"/>
        </w:rPr>
      </w:pPr>
    </w:p>
    <w:p w14:paraId="07C8273B" w14:textId="63A73976"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 xml:space="preserve">5. Physical Exam at </w:t>
      </w:r>
      <w:r w:rsidR="0064400F" w:rsidRPr="0064400F">
        <w:rPr>
          <w:rFonts w:ascii="Arial" w:eastAsia="Times New Roman" w:hAnsi="Arial" w:cs="Arial"/>
          <w:b/>
          <w:bCs/>
          <w:color w:val="000000"/>
          <w:kern w:val="0"/>
          <w:lang w:val="en-US" w:eastAsia="de-DE"/>
          <w14:ligatures w14:val="none"/>
        </w:rPr>
        <w:t>Admission</w:t>
      </w:r>
      <w:r w:rsidRPr="00AB16EB">
        <w:rPr>
          <w:rFonts w:ascii="Arial" w:eastAsia="Times New Roman" w:hAnsi="Arial" w:cs="Arial"/>
          <w:b/>
          <w:bCs/>
          <w:color w:val="000000"/>
          <w:kern w:val="0"/>
          <w:lang w:val="en-US" w:eastAsia="de-DE"/>
          <w14:ligatures w14:val="none"/>
        </w:rPr>
        <w:t>:</w:t>
      </w:r>
    </w:p>
    <w:p w14:paraId="2495AB46"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General: 68-year-old female appearing comfortable, mildly fatigued but in no acute distress.</w:t>
      </w:r>
    </w:p>
    <w:p w14:paraId="1CD84FAF"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Vitals: BP 126/74 mmHg, HR 78 bpm, RR 16/min, Temp 36.7°C, SpO2 94% on room air.</w:t>
      </w:r>
    </w:p>
    <w:p w14:paraId="3175A958"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HEENT: Normocephalic, atraumatic. No scleral icterus. No oral lesions.</w:t>
      </w:r>
    </w:p>
    <w:p w14:paraId="09EE545D"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Neck: Supple. No cervical or supraclavicular lymphadenopathy.</w:t>
      </w:r>
    </w:p>
    <w:p w14:paraId="17271A87"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Cardiovascular: Regular rate and rhythm. Normal S1, S2. No murmurs, rubs, or gallops.</w:t>
      </w:r>
    </w:p>
    <w:p w14:paraId="52315CFF"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Respiratory: Decreased breath sounds in right upper lung field. No wheezes or crackles.</w:t>
      </w:r>
    </w:p>
    <w:p w14:paraId="4AC98611"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Abdomen: Soft, non-tender, non-distended. No hepatosplenomegaly. Normal bowel sounds.</w:t>
      </w:r>
    </w:p>
    <w:p w14:paraId="30291571"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Extremities: No edema, clubbing, or cyanosis. No joint swelling or deformity.</w:t>
      </w:r>
    </w:p>
    <w:p w14:paraId="33284CAB"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Skin: No rashes, jaundice, or other lesions.</w:t>
      </w:r>
    </w:p>
    <w:p w14:paraId="2C1213F0"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Neurological: Alert and oriented x3. Cranial nerves II-XII intact. Motor strength 5/5 throughout. Sensation intact.</w:t>
      </w:r>
    </w:p>
    <w:p w14:paraId="4C93B388" w14:textId="379D44A1"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ECOG Performance Status: </w:t>
      </w:r>
      <w:r w:rsidR="0064400F">
        <w:rPr>
          <w:rFonts w:ascii="Arial" w:eastAsia="Times New Roman" w:hAnsi="Arial" w:cs="Arial"/>
          <w:color w:val="000000"/>
          <w:kern w:val="0"/>
          <w:lang w:val="en-US" w:eastAsia="de-DE"/>
          <w14:ligatures w14:val="none"/>
        </w:rPr>
        <w:t>1</w:t>
      </w:r>
      <w:r w:rsidR="00081019">
        <w:rPr>
          <w:rFonts w:ascii="Arial" w:eastAsia="Times New Roman" w:hAnsi="Arial" w:cs="Arial"/>
          <w:color w:val="000000"/>
          <w:kern w:val="0"/>
          <w:lang w:val="en-US" w:eastAsia="de-DE"/>
          <w14:ligatures w14:val="none"/>
        </w:rPr>
        <w:tab/>
      </w:r>
    </w:p>
    <w:p w14:paraId="242BF07D" w14:textId="77777777" w:rsidR="009D790F" w:rsidRPr="00AB16EB" w:rsidRDefault="009D790F" w:rsidP="0064400F">
      <w:pPr>
        <w:rPr>
          <w:rFonts w:ascii="Arial" w:eastAsia="Times New Roman" w:hAnsi="Arial" w:cs="Arial"/>
          <w:color w:val="000000"/>
          <w:kern w:val="0"/>
          <w:lang w:val="en-US" w:eastAsia="de-DE"/>
          <w14:ligatures w14:val="none"/>
        </w:rPr>
      </w:pPr>
    </w:p>
    <w:p w14:paraId="595B3DF9" w14:textId="77777777"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6. Hospital Course Summary:</w:t>
      </w:r>
    </w:p>
    <w:p w14:paraId="1C6563EF" w14:textId="77777777"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Ms. Parker was admitted for evaluation and management of asymptomatic grade 3 hepatotoxicity detected on routine laboratory assessment prior to her scheduled 4th cycle of pembrolizumab for metastatic NSCLC. Given the temporal relationship to immunotherapy and the absence of other clear etiologies, immune-related hepatitis was strongly suspected.</w:t>
      </w:r>
    </w:p>
    <w:p w14:paraId="2CA91D18" w14:textId="77777777" w:rsidR="009D790F" w:rsidRPr="00AB16EB" w:rsidRDefault="009D790F" w:rsidP="0064400F">
      <w:pPr>
        <w:rPr>
          <w:rFonts w:ascii="Arial" w:eastAsia="Times New Roman" w:hAnsi="Arial" w:cs="Arial"/>
          <w:color w:val="000000"/>
          <w:kern w:val="0"/>
          <w:lang w:val="en-US" w:eastAsia="de-DE"/>
          <w14:ligatures w14:val="none"/>
        </w:rPr>
      </w:pPr>
    </w:p>
    <w:p w14:paraId="78B77F91"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A comprehensive diagnostic evaluation was performed to exclude other causes of liver injury. Viral hepatitis panel (HAV, HBV, HCV) was negative. Autoimmune serologies showed mildly positive ANA (1:160) and ASMA (1:40), supporting an immune-mediated process. Abdominal ultrasound showed normal liver echotexture without evidence of biliary dilation or obstruction. MRCP confirmed the absence of biliary disease. CT abdomen with contrast revealed stable adrenal metastases but no evidence of liver metastases or other hepatic pathology.</w:t>
      </w:r>
    </w:p>
    <w:p w14:paraId="32A5E346" w14:textId="77777777"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Liver biopsy was performed on hospital day 2, which demonstrated interface hepatitis with predominantly lymphocytic infiltrate and scattered plasma cells, compatible with </w:t>
      </w:r>
      <w:r w:rsidRPr="00AB16EB">
        <w:rPr>
          <w:rFonts w:ascii="Arial" w:eastAsia="Times New Roman" w:hAnsi="Arial" w:cs="Arial"/>
          <w:color w:val="000000"/>
          <w:kern w:val="0"/>
          <w:lang w:val="en-US" w:eastAsia="de-DE"/>
          <w14:ligatures w14:val="none"/>
        </w:rPr>
        <w:lastRenderedPageBreak/>
        <w:t>autoimmune hepatitis and consistent with an immune-related adverse event (</w:t>
      </w:r>
      <w:proofErr w:type="spellStart"/>
      <w:r w:rsidRPr="00AB16EB">
        <w:rPr>
          <w:rFonts w:ascii="Arial" w:eastAsia="Times New Roman" w:hAnsi="Arial" w:cs="Arial"/>
          <w:color w:val="000000"/>
          <w:kern w:val="0"/>
          <w:lang w:val="en-US" w:eastAsia="de-DE"/>
          <w14:ligatures w14:val="none"/>
        </w:rPr>
        <w:t>irAE</w:t>
      </w:r>
      <w:proofErr w:type="spellEnd"/>
      <w:r w:rsidRPr="00AB16EB">
        <w:rPr>
          <w:rFonts w:ascii="Arial" w:eastAsia="Times New Roman" w:hAnsi="Arial" w:cs="Arial"/>
          <w:color w:val="000000"/>
          <w:kern w:val="0"/>
          <w:lang w:val="en-US" w:eastAsia="de-DE"/>
          <w14:ligatures w14:val="none"/>
        </w:rPr>
        <w:t>) due to pembrolizumab.</w:t>
      </w:r>
    </w:p>
    <w:p w14:paraId="6FB4090F" w14:textId="77777777" w:rsidR="009D790F" w:rsidRPr="00AB16EB" w:rsidRDefault="009D790F" w:rsidP="0064400F">
      <w:pPr>
        <w:rPr>
          <w:rFonts w:ascii="Arial" w:eastAsia="Times New Roman" w:hAnsi="Arial" w:cs="Arial"/>
          <w:color w:val="000000"/>
          <w:kern w:val="0"/>
          <w:lang w:val="en-US" w:eastAsia="de-DE"/>
          <w14:ligatures w14:val="none"/>
        </w:rPr>
      </w:pPr>
    </w:p>
    <w:p w14:paraId="210CC92D" w14:textId="77777777"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Treatment with high-dose intravenous methylprednisolone (2 mg/kg/day) was initiated on admission. The patient tolerated steroid therapy well, with gradual improvement in liver enzymes. By hospital day 10, transaminases had decreased by approximately 60% from peak values, allowing transition to oral prednisone (60 mg daily).</w:t>
      </w:r>
    </w:p>
    <w:p w14:paraId="1BBCD377" w14:textId="77777777" w:rsidR="009D790F" w:rsidRPr="00AB16EB" w:rsidRDefault="009D790F" w:rsidP="0064400F">
      <w:pPr>
        <w:rPr>
          <w:rFonts w:ascii="Arial" w:eastAsia="Times New Roman" w:hAnsi="Arial" w:cs="Arial"/>
          <w:color w:val="000000"/>
          <w:kern w:val="0"/>
          <w:lang w:val="en-US" w:eastAsia="de-DE"/>
          <w14:ligatures w14:val="none"/>
        </w:rPr>
      </w:pPr>
    </w:p>
    <w:p w14:paraId="30F2517C" w14:textId="77777777"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Hepatology recommended a slow prednisone taper over 6-8 weeks with close monitoring of liver enzymes. PCP prophylaxis with trimethoprim-sulfamethoxazole was initiated due to prolonged corticosteroid </w:t>
      </w:r>
      <w:proofErr w:type="gramStart"/>
      <w:r w:rsidRPr="00AB16EB">
        <w:rPr>
          <w:rFonts w:ascii="Arial" w:eastAsia="Times New Roman" w:hAnsi="Arial" w:cs="Arial"/>
          <w:color w:val="000000"/>
          <w:kern w:val="0"/>
          <w:lang w:val="en-US" w:eastAsia="de-DE"/>
          <w14:ligatures w14:val="none"/>
        </w:rPr>
        <w:t>use, but</w:t>
      </w:r>
      <w:proofErr w:type="gramEnd"/>
      <w:r w:rsidRPr="00AB16EB">
        <w:rPr>
          <w:rFonts w:ascii="Arial" w:eastAsia="Times New Roman" w:hAnsi="Arial" w:cs="Arial"/>
          <w:color w:val="000000"/>
          <w:kern w:val="0"/>
          <w:lang w:val="en-US" w:eastAsia="de-DE"/>
          <w14:ligatures w14:val="none"/>
        </w:rPr>
        <w:t xml:space="preserve"> was changed to atovaquone due to a history of sulfa allergy.</w:t>
      </w:r>
    </w:p>
    <w:p w14:paraId="1AA0171C" w14:textId="77777777" w:rsidR="009D790F" w:rsidRPr="00AB16EB" w:rsidRDefault="009D790F" w:rsidP="0064400F">
      <w:pPr>
        <w:rPr>
          <w:rFonts w:ascii="Arial" w:eastAsia="Times New Roman" w:hAnsi="Arial" w:cs="Arial"/>
          <w:color w:val="000000"/>
          <w:kern w:val="0"/>
          <w:lang w:val="en-US" w:eastAsia="de-DE"/>
          <w14:ligatures w14:val="none"/>
        </w:rPr>
      </w:pPr>
    </w:p>
    <w:p w14:paraId="5B2CDD29" w14:textId="0759EE64"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By discharge, the patient remained clinically stable without symptoms of liver dysfunction, with continuing improvement in liver function tests. </w:t>
      </w:r>
    </w:p>
    <w:p w14:paraId="3383D705" w14:textId="77777777" w:rsidR="009D790F" w:rsidRPr="00AB16EB" w:rsidRDefault="009D790F" w:rsidP="0064400F">
      <w:pPr>
        <w:rPr>
          <w:rFonts w:ascii="Arial" w:eastAsia="Times New Roman" w:hAnsi="Arial" w:cs="Arial"/>
          <w:color w:val="000000"/>
          <w:kern w:val="0"/>
          <w:lang w:val="en-US" w:eastAsia="de-DE"/>
          <w14:ligatures w14:val="none"/>
        </w:rPr>
      </w:pPr>
    </w:p>
    <w:p w14:paraId="632D59F0" w14:textId="77777777"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7. Medication at Discharge:</w:t>
      </w:r>
    </w:p>
    <w:p w14:paraId="77684152" w14:textId="6B8B7DDE" w:rsidR="009D790F" w:rsidRPr="0064400F" w:rsidRDefault="00AB16EB" w:rsidP="0064400F">
      <w:pPr>
        <w:rPr>
          <w:rFonts w:ascii="Arial" w:eastAsia="Times New Roman" w:hAnsi="Arial" w:cs="Arial"/>
          <w:color w:val="000000"/>
          <w:kern w:val="0"/>
          <w:u w:val="single"/>
          <w:lang w:val="en-US" w:eastAsia="de-DE"/>
          <w14:ligatures w14:val="none"/>
        </w:rPr>
      </w:pPr>
      <w:r w:rsidRPr="00AB16EB">
        <w:rPr>
          <w:rFonts w:ascii="Arial" w:eastAsia="Times New Roman" w:hAnsi="Arial" w:cs="Arial"/>
          <w:color w:val="000000"/>
          <w:kern w:val="0"/>
          <w:u w:val="single"/>
          <w:lang w:val="en-US" w:eastAsia="de-DE"/>
          <w14:ligatures w14:val="none"/>
        </w:rPr>
        <w:t>New Medications:</w:t>
      </w:r>
    </w:p>
    <w:p w14:paraId="759EEC29" w14:textId="6B8391FB"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 xml:space="preserve">Prednisone 60 mg PO daily for 2 weeks, then taper by 10 mg every week </w:t>
      </w:r>
    </w:p>
    <w:p w14:paraId="6CD6C705"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Atovaquone 1500 mg PO daily (PCP prophylaxis while on prednisone &gt;20mg/day).</w:t>
      </w:r>
    </w:p>
    <w:p w14:paraId="069DFAD7"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Calcium carbonate 600 mg + Vitamin D 400 IU PO BID (Bone health support while on steroids).</w:t>
      </w:r>
    </w:p>
    <w:p w14:paraId="75ACAC7F"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Pantoprazole 40 mg PO daily (GI prophylaxis while on steroids).</w:t>
      </w:r>
    </w:p>
    <w:p w14:paraId="7C626C49"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Insulin sliding scale PRN for steroid-induced hyperglycemia:</w:t>
      </w:r>
    </w:p>
    <w:p w14:paraId="66E118CA" w14:textId="043F7084" w:rsidR="009D790F" w:rsidRPr="0064400F" w:rsidRDefault="009D790F" w:rsidP="0064400F">
      <w:pPr>
        <w:pStyle w:val="ng-star-inserted"/>
        <w:numPr>
          <w:ilvl w:val="1"/>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Regimen:</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Lispro Insulin: 0 units if BG &lt;150, 2 units if 151-200, 4 units if 201-250, 6 units if 251-300, 8 units if 301-350, 10 units if &gt;350 + call provider.</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Patient provided with specific written scale.</w:t>
      </w:r>
    </w:p>
    <w:p w14:paraId="6480E95A" w14:textId="77777777" w:rsidR="009D790F" w:rsidRPr="0064400F" w:rsidRDefault="009D790F" w:rsidP="0064400F">
      <w:pPr>
        <w:pStyle w:val="ng-star-inserted"/>
        <w:numPr>
          <w:ilvl w:val="1"/>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Monitoring:</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Check blood glucose (BG) before meals and at bedtime (QID).</w:t>
      </w:r>
    </w:p>
    <w:p w14:paraId="40851815" w14:textId="77777777" w:rsidR="009D790F" w:rsidRPr="0064400F" w:rsidRDefault="009D790F" w:rsidP="0064400F">
      <w:pPr>
        <w:pStyle w:val="ng-star-inserted"/>
        <w:numPr>
          <w:ilvl w:val="1"/>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Target:</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Aim for BG 100-180 mg/dL pre-meals.</w:t>
      </w:r>
    </w:p>
    <w:p w14:paraId="4CF9B72B" w14:textId="77777777" w:rsidR="009D790F" w:rsidRPr="0064400F" w:rsidRDefault="009D790F" w:rsidP="0064400F">
      <w:pPr>
        <w:pStyle w:val="ng-star-inserted"/>
        <w:numPr>
          <w:ilvl w:val="1"/>
          <w:numId w:val="19"/>
        </w:numPr>
        <w:spacing w:before="0" w:beforeAutospacing="0" w:after="0" w:afterAutospacing="0"/>
        <w:ind w:hanging="357"/>
        <w:rPr>
          <w:rStyle w:val="ng-star-inserted1"/>
          <w:rFonts w:ascii="Arial" w:hAnsi="Arial" w:cs="Arial"/>
          <w:color w:val="1A1C1E"/>
          <w:lang w:val="en-US"/>
        </w:rPr>
      </w:pPr>
      <w:r w:rsidRPr="0064400F">
        <w:rPr>
          <w:rStyle w:val="ng-star-inserted1"/>
          <w:rFonts w:ascii="Arial" w:eastAsiaTheme="majorEastAsia" w:hAnsi="Arial" w:cs="Arial"/>
          <w:color w:val="1A1C1E"/>
          <w:lang w:val="en-US"/>
        </w:rPr>
        <w:t>Education:</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Patient and family educated on BG monitoring, insulin administration technique, signs/symptoms/treatment of hypoglycemia (&lt;70 mg/dL) and hyperglycemia, and when to contact the clinic. Patient demonstrated understanding and correct technique (teach-back confirmed).</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Glucometer and supplies provided/prescription sent.</w:t>
      </w:r>
    </w:p>
    <w:p w14:paraId="369A5E04" w14:textId="77777777" w:rsidR="009D790F" w:rsidRPr="0064400F" w:rsidRDefault="009D790F" w:rsidP="0064400F">
      <w:pPr>
        <w:pStyle w:val="ng-star-inserted"/>
        <w:spacing w:before="0" w:beforeAutospacing="0" w:after="0" w:afterAutospacing="0"/>
        <w:ind w:left="1440"/>
        <w:rPr>
          <w:rFonts w:ascii="Arial" w:hAnsi="Arial" w:cs="Arial"/>
          <w:color w:val="1A1C1E"/>
          <w:lang w:val="en-US"/>
        </w:rPr>
      </w:pPr>
    </w:p>
    <w:p w14:paraId="22F4C8C9" w14:textId="77777777" w:rsidR="009D790F" w:rsidRPr="0064400F" w:rsidRDefault="009D790F" w:rsidP="0064400F">
      <w:pPr>
        <w:pStyle w:val="ng-star-inserted"/>
        <w:spacing w:before="0" w:beforeAutospacing="0" w:after="0" w:afterAutospacing="0"/>
        <w:rPr>
          <w:rFonts w:ascii="Arial" w:hAnsi="Arial" w:cs="Arial"/>
          <w:color w:val="1A1C1E"/>
          <w:u w:val="single"/>
        </w:rPr>
      </w:pPr>
      <w:proofErr w:type="spellStart"/>
      <w:r w:rsidRPr="0064400F">
        <w:rPr>
          <w:rStyle w:val="ng-star-inserted1"/>
          <w:rFonts w:ascii="Arial" w:eastAsiaTheme="majorEastAsia" w:hAnsi="Arial" w:cs="Arial"/>
          <w:color w:val="1A1C1E"/>
          <w:u w:val="single"/>
        </w:rPr>
        <w:t>Continued</w:t>
      </w:r>
      <w:proofErr w:type="spellEnd"/>
      <w:r w:rsidRPr="0064400F">
        <w:rPr>
          <w:rStyle w:val="ng-star-inserted1"/>
          <w:rFonts w:ascii="Arial" w:eastAsiaTheme="majorEastAsia" w:hAnsi="Arial" w:cs="Arial"/>
          <w:color w:val="1A1C1E"/>
          <w:u w:val="single"/>
        </w:rPr>
        <w:t xml:space="preserve"> Home </w:t>
      </w:r>
      <w:proofErr w:type="spellStart"/>
      <w:r w:rsidRPr="0064400F">
        <w:rPr>
          <w:rStyle w:val="ng-star-inserted1"/>
          <w:rFonts w:ascii="Arial" w:eastAsiaTheme="majorEastAsia" w:hAnsi="Arial" w:cs="Arial"/>
          <w:color w:val="1A1C1E"/>
          <w:u w:val="single"/>
        </w:rPr>
        <w:t>Medications</w:t>
      </w:r>
      <w:proofErr w:type="spellEnd"/>
      <w:r w:rsidRPr="0064400F">
        <w:rPr>
          <w:rStyle w:val="ng-star-inserted1"/>
          <w:rFonts w:ascii="Arial" w:eastAsiaTheme="majorEastAsia" w:hAnsi="Arial" w:cs="Arial"/>
          <w:color w:val="1A1C1E"/>
          <w:u w:val="single"/>
        </w:rPr>
        <w:t>:</w:t>
      </w:r>
    </w:p>
    <w:p w14:paraId="36DA93EB" w14:textId="6BD65ABF" w:rsidR="00081019" w:rsidRPr="00081019" w:rsidRDefault="00081019" w:rsidP="0064400F">
      <w:pPr>
        <w:pStyle w:val="ng-star-inserted"/>
        <w:numPr>
          <w:ilvl w:val="0"/>
          <w:numId w:val="19"/>
        </w:numPr>
        <w:spacing w:before="0" w:beforeAutospacing="0" w:after="0" w:afterAutospacing="0"/>
        <w:ind w:hanging="357"/>
        <w:rPr>
          <w:rStyle w:val="ng-star-inserted1"/>
          <w:rFonts w:ascii="Arial" w:hAnsi="Arial" w:cs="Arial"/>
          <w:color w:val="1A1C1E"/>
          <w:lang w:val="en-US"/>
        </w:rPr>
      </w:pPr>
      <w:r>
        <w:rPr>
          <w:rStyle w:val="ng-star-inserted1"/>
          <w:rFonts w:ascii="Arial" w:hAnsi="Arial" w:cs="Arial"/>
          <w:color w:val="1A1C1E"/>
          <w:lang w:val="en-US"/>
        </w:rPr>
        <w:t>Apixaban 5 mg PO BID (for PE)</w:t>
      </w:r>
    </w:p>
    <w:p w14:paraId="23C78A88" w14:textId="456B0CE5"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Levothyroxine 88 mcg PO daily (take on empty stomach).</w:t>
      </w:r>
    </w:p>
    <w:p w14:paraId="391A5022"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Hydroxychloroquine 200 mg PO daily (for rheumatoid arthritis).</w:t>
      </w:r>
    </w:p>
    <w:p w14:paraId="41810231"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rPr>
      </w:pPr>
      <w:proofErr w:type="spellStart"/>
      <w:r w:rsidRPr="0064400F">
        <w:rPr>
          <w:rStyle w:val="ng-star-inserted1"/>
          <w:rFonts w:ascii="Arial" w:eastAsiaTheme="majorEastAsia" w:hAnsi="Arial" w:cs="Arial"/>
          <w:color w:val="1A1C1E"/>
        </w:rPr>
        <w:t>Tiotropium</w:t>
      </w:r>
      <w:proofErr w:type="spellEnd"/>
      <w:r w:rsidRPr="0064400F">
        <w:rPr>
          <w:rStyle w:val="ng-star-inserted1"/>
          <w:rFonts w:ascii="Arial" w:eastAsiaTheme="majorEastAsia" w:hAnsi="Arial" w:cs="Arial"/>
          <w:color w:val="1A1C1E"/>
        </w:rPr>
        <w:t xml:space="preserve"> </w:t>
      </w:r>
      <w:proofErr w:type="spellStart"/>
      <w:r w:rsidRPr="0064400F">
        <w:rPr>
          <w:rStyle w:val="ng-star-inserted1"/>
          <w:rFonts w:ascii="Arial" w:eastAsiaTheme="majorEastAsia" w:hAnsi="Arial" w:cs="Arial"/>
          <w:color w:val="1A1C1E"/>
        </w:rPr>
        <w:t>bromide</w:t>
      </w:r>
      <w:proofErr w:type="spellEnd"/>
      <w:r w:rsidRPr="0064400F">
        <w:rPr>
          <w:rStyle w:val="ng-star-inserted1"/>
          <w:rFonts w:ascii="Arial" w:eastAsiaTheme="majorEastAsia" w:hAnsi="Arial" w:cs="Arial"/>
          <w:color w:val="1A1C1E"/>
        </w:rPr>
        <w:t xml:space="preserve"> </w:t>
      </w:r>
      <w:proofErr w:type="spellStart"/>
      <w:r w:rsidRPr="0064400F">
        <w:rPr>
          <w:rStyle w:val="ng-star-inserted1"/>
          <w:rFonts w:ascii="Arial" w:eastAsiaTheme="majorEastAsia" w:hAnsi="Arial" w:cs="Arial"/>
          <w:color w:val="1A1C1E"/>
        </w:rPr>
        <w:t>inhaler</w:t>
      </w:r>
      <w:proofErr w:type="spellEnd"/>
      <w:r w:rsidRPr="0064400F">
        <w:rPr>
          <w:rStyle w:val="ng-star-inserted1"/>
          <w:rFonts w:ascii="Arial" w:eastAsiaTheme="majorEastAsia" w:hAnsi="Arial" w:cs="Arial"/>
          <w:color w:val="1A1C1E"/>
        </w:rPr>
        <w:t xml:space="preserve"> 1 </w:t>
      </w:r>
      <w:proofErr w:type="spellStart"/>
      <w:r w:rsidRPr="0064400F">
        <w:rPr>
          <w:rStyle w:val="ng-star-inserted1"/>
          <w:rFonts w:ascii="Arial" w:eastAsiaTheme="majorEastAsia" w:hAnsi="Arial" w:cs="Arial"/>
          <w:color w:val="1A1C1E"/>
        </w:rPr>
        <w:t>inhalation</w:t>
      </w:r>
      <w:proofErr w:type="spellEnd"/>
      <w:r w:rsidRPr="0064400F">
        <w:rPr>
          <w:rStyle w:val="ng-star-inserted1"/>
          <w:rFonts w:ascii="Arial" w:eastAsiaTheme="majorEastAsia" w:hAnsi="Arial" w:cs="Arial"/>
          <w:color w:val="1A1C1E"/>
        </w:rPr>
        <w:t xml:space="preserve"> </w:t>
      </w:r>
      <w:proofErr w:type="spellStart"/>
      <w:r w:rsidRPr="0064400F">
        <w:rPr>
          <w:rStyle w:val="ng-star-inserted1"/>
          <w:rFonts w:ascii="Arial" w:eastAsiaTheme="majorEastAsia" w:hAnsi="Arial" w:cs="Arial"/>
          <w:color w:val="1A1C1E"/>
        </w:rPr>
        <w:t>daily</w:t>
      </w:r>
      <w:proofErr w:type="spellEnd"/>
      <w:r w:rsidRPr="0064400F">
        <w:rPr>
          <w:rStyle w:val="ng-star-inserted1"/>
          <w:rFonts w:ascii="Arial" w:eastAsiaTheme="majorEastAsia" w:hAnsi="Arial" w:cs="Arial"/>
          <w:color w:val="1A1C1E"/>
        </w:rPr>
        <w:t xml:space="preserve"> (</w:t>
      </w:r>
      <w:proofErr w:type="spellStart"/>
      <w:r w:rsidRPr="0064400F">
        <w:rPr>
          <w:rStyle w:val="ng-star-inserted1"/>
          <w:rFonts w:ascii="Arial" w:eastAsiaTheme="majorEastAsia" w:hAnsi="Arial" w:cs="Arial"/>
          <w:color w:val="1A1C1E"/>
        </w:rPr>
        <w:t>for</w:t>
      </w:r>
      <w:proofErr w:type="spellEnd"/>
      <w:r w:rsidRPr="0064400F">
        <w:rPr>
          <w:rStyle w:val="ng-star-inserted1"/>
          <w:rFonts w:ascii="Arial" w:eastAsiaTheme="majorEastAsia" w:hAnsi="Arial" w:cs="Arial"/>
          <w:color w:val="1A1C1E"/>
        </w:rPr>
        <w:t xml:space="preserve"> COPD).</w:t>
      </w:r>
    </w:p>
    <w:p w14:paraId="0D3DE37A"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Albuterol inhaler 2 puffs Q4H PRN for shortness of breath.</w:t>
      </w:r>
    </w:p>
    <w:p w14:paraId="1A4C7259"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Fluticasone/vilanterol inhaler 1 inhalation daily (for COPD).</w:t>
      </w:r>
    </w:p>
    <w:p w14:paraId="7928CFB3"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Escitalopram 10 mg PO daily (for anxiety).</w:t>
      </w:r>
    </w:p>
    <w:p w14:paraId="052D6034" w14:textId="77777777" w:rsidR="009D790F" w:rsidRPr="00081019" w:rsidRDefault="009D790F" w:rsidP="0064400F">
      <w:pPr>
        <w:pStyle w:val="ng-star-inserted"/>
        <w:spacing w:before="0" w:beforeAutospacing="0" w:after="0" w:afterAutospacing="0"/>
        <w:rPr>
          <w:rStyle w:val="ng-star-inserted1"/>
          <w:rFonts w:ascii="Arial" w:eastAsiaTheme="majorEastAsia" w:hAnsi="Arial" w:cs="Arial"/>
          <w:b/>
          <w:bCs/>
          <w:color w:val="1A1C1E"/>
          <w:lang w:val="en-US"/>
        </w:rPr>
      </w:pPr>
    </w:p>
    <w:p w14:paraId="12A925F6" w14:textId="5C838538" w:rsidR="009D790F" w:rsidRPr="0064400F" w:rsidRDefault="009D790F" w:rsidP="0064400F">
      <w:pPr>
        <w:pStyle w:val="ng-star-inserted"/>
        <w:spacing w:before="0" w:beforeAutospacing="0" w:after="0" w:afterAutospacing="0"/>
        <w:rPr>
          <w:rFonts w:ascii="Arial" w:hAnsi="Arial" w:cs="Arial"/>
          <w:color w:val="1A1C1E"/>
          <w:u w:val="single"/>
        </w:rPr>
      </w:pPr>
      <w:proofErr w:type="spellStart"/>
      <w:r w:rsidRPr="0064400F">
        <w:rPr>
          <w:rStyle w:val="ng-star-inserted1"/>
          <w:rFonts w:ascii="Arial" w:eastAsiaTheme="majorEastAsia" w:hAnsi="Arial" w:cs="Arial"/>
          <w:color w:val="1A1C1E"/>
          <w:u w:val="single"/>
        </w:rPr>
        <w:t>Discontinued</w:t>
      </w:r>
      <w:proofErr w:type="spellEnd"/>
      <w:r w:rsidRPr="0064400F">
        <w:rPr>
          <w:rStyle w:val="ng-star-inserted1"/>
          <w:rFonts w:ascii="Arial" w:eastAsiaTheme="majorEastAsia" w:hAnsi="Arial" w:cs="Arial"/>
          <w:color w:val="1A1C1E"/>
          <w:u w:val="single"/>
        </w:rPr>
        <w:t xml:space="preserve"> </w:t>
      </w:r>
      <w:proofErr w:type="spellStart"/>
      <w:r w:rsidRPr="0064400F">
        <w:rPr>
          <w:rStyle w:val="ng-star-inserted1"/>
          <w:rFonts w:ascii="Arial" w:eastAsiaTheme="majorEastAsia" w:hAnsi="Arial" w:cs="Arial"/>
          <w:color w:val="1A1C1E"/>
          <w:u w:val="single"/>
        </w:rPr>
        <w:t>Medications</w:t>
      </w:r>
      <w:proofErr w:type="spellEnd"/>
      <w:r w:rsidRPr="0064400F">
        <w:rPr>
          <w:rStyle w:val="ng-star-inserted1"/>
          <w:rFonts w:ascii="Arial" w:eastAsiaTheme="majorEastAsia" w:hAnsi="Arial" w:cs="Arial"/>
          <w:color w:val="1A1C1E"/>
          <w:u w:val="single"/>
        </w:rPr>
        <w:t>:</w:t>
      </w:r>
    </w:p>
    <w:p w14:paraId="7E2212D9" w14:textId="3432F177" w:rsidR="009D790F" w:rsidRPr="0064400F" w:rsidRDefault="0064400F" w:rsidP="0064400F">
      <w:pPr>
        <w:pStyle w:val="ng-star-inserted"/>
        <w:numPr>
          <w:ilvl w:val="0"/>
          <w:numId w:val="19"/>
        </w:numPr>
        <w:spacing w:before="0" w:beforeAutospacing="0" w:after="0" w:afterAutospacing="0"/>
        <w:ind w:hanging="357"/>
        <w:rPr>
          <w:rStyle w:val="ng-star-inserted1"/>
          <w:rFonts w:ascii="Arial" w:hAnsi="Arial" w:cs="Arial"/>
          <w:color w:val="1A1C1E"/>
          <w:lang w:val="en-US"/>
        </w:rPr>
      </w:pPr>
      <w:r w:rsidRPr="0064400F">
        <w:rPr>
          <w:rStyle w:val="ng-star-inserted1"/>
          <w:rFonts w:ascii="Arial" w:eastAsiaTheme="majorEastAsia" w:hAnsi="Arial" w:cs="Arial"/>
          <w:color w:val="1A1C1E"/>
          <w:lang w:val="en-US"/>
        </w:rPr>
        <w:t xml:space="preserve">Temporarily: </w:t>
      </w:r>
      <w:r w:rsidR="009D790F" w:rsidRPr="0064400F">
        <w:rPr>
          <w:rStyle w:val="ng-star-inserted1"/>
          <w:rFonts w:ascii="Arial" w:eastAsiaTheme="majorEastAsia" w:hAnsi="Arial" w:cs="Arial"/>
          <w:color w:val="1A1C1E"/>
          <w:lang w:val="en-US"/>
        </w:rPr>
        <w:t>Zoledronic acid (</w:t>
      </w:r>
      <w:r w:rsidRPr="0064400F">
        <w:rPr>
          <w:rStyle w:val="ng-star-inserted1"/>
          <w:rFonts w:ascii="Arial" w:eastAsiaTheme="majorEastAsia" w:hAnsi="Arial" w:cs="Arial"/>
          <w:color w:val="1A1C1E"/>
          <w:lang w:val="en-US"/>
        </w:rPr>
        <w:t>cu</w:t>
      </w:r>
      <w:r w:rsidR="009D790F" w:rsidRPr="0064400F">
        <w:rPr>
          <w:rStyle w:val="ng-star-inserted1"/>
          <w:rFonts w:ascii="Arial" w:eastAsiaTheme="majorEastAsia" w:hAnsi="Arial" w:cs="Arial"/>
          <w:color w:val="1A1C1E"/>
          <w:lang w:val="en-US"/>
        </w:rPr>
        <w:t>rrent cycle held, see Section 2. Plan to resume with oncology).</w:t>
      </w:r>
    </w:p>
    <w:p w14:paraId="3C6C98C1" w14:textId="77777777" w:rsidR="009D790F" w:rsidRPr="0064400F" w:rsidRDefault="009D790F" w:rsidP="0064400F">
      <w:pPr>
        <w:pStyle w:val="ng-star-inserted"/>
        <w:spacing w:before="0" w:beforeAutospacing="0" w:after="0" w:afterAutospacing="0"/>
        <w:ind w:left="720"/>
        <w:rPr>
          <w:rFonts w:ascii="Arial" w:hAnsi="Arial" w:cs="Arial"/>
          <w:color w:val="1A1C1E"/>
        </w:rPr>
      </w:pPr>
    </w:p>
    <w:p w14:paraId="56FAFFD6" w14:textId="77777777"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lastRenderedPageBreak/>
        <w:t>8. Further Procedure / Follow-up:</w:t>
      </w:r>
    </w:p>
    <w:p w14:paraId="763586DC" w14:textId="77777777" w:rsidR="00AB16EB" w:rsidRPr="00AB16EB" w:rsidRDefault="00AB16EB" w:rsidP="0064400F">
      <w:pPr>
        <w:rPr>
          <w:rFonts w:ascii="Arial" w:eastAsia="Times New Roman" w:hAnsi="Arial" w:cs="Arial"/>
          <w:color w:val="000000"/>
          <w:kern w:val="0"/>
          <w:u w:val="single"/>
          <w:lang w:val="en-US" w:eastAsia="de-DE"/>
          <w14:ligatures w14:val="none"/>
        </w:rPr>
      </w:pPr>
      <w:r w:rsidRPr="00AB16EB">
        <w:rPr>
          <w:rFonts w:ascii="Arial" w:eastAsia="Times New Roman" w:hAnsi="Arial" w:cs="Arial"/>
          <w:color w:val="000000"/>
          <w:kern w:val="0"/>
          <w:u w:val="single"/>
          <w:lang w:val="en-US" w:eastAsia="de-DE"/>
          <w14:ligatures w14:val="none"/>
        </w:rPr>
        <w:t>Oncology Follow-up:</w:t>
      </w:r>
    </w:p>
    <w:p w14:paraId="7E83A91E" w14:textId="71580731" w:rsidR="00AB16EB" w:rsidRPr="00AB16EB" w:rsidRDefault="00AB16EB" w:rsidP="0064400F">
      <w:pPr>
        <w:numPr>
          <w:ilvl w:val="0"/>
          <w:numId w:val="1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Follow up with Dr. A. Nguyen in </w:t>
      </w:r>
      <w:r w:rsidR="00FC0CF1">
        <w:rPr>
          <w:rFonts w:ascii="Arial" w:eastAsia="Times New Roman" w:hAnsi="Arial" w:cs="Arial"/>
          <w:color w:val="000000"/>
          <w:kern w:val="0"/>
          <w:lang w:val="en-US" w:eastAsia="de-DE"/>
          <w14:ligatures w14:val="none"/>
        </w:rPr>
        <w:t>2</w:t>
      </w:r>
      <w:r w:rsidRPr="00AB16EB">
        <w:rPr>
          <w:rFonts w:ascii="Arial" w:eastAsia="Times New Roman" w:hAnsi="Arial" w:cs="Arial"/>
          <w:color w:val="000000"/>
          <w:kern w:val="0"/>
          <w:lang w:val="en-US" w:eastAsia="de-DE"/>
          <w14:ligatures w14:val="none"/>
        </w:rPr>
        <w:t xml:space="preserve"> week</w:t>
      </w:r>
      <w:r w:rsidR="00FC0CF1">
        <w:rPr>
          <w:rFonts w:ascii="Arial" w:eastAsia="Times New Roman" w:hAnsi="Arial" w:cs="Arial"/>
          <w:color w:val="000000"/>
          <w:kern w:val="0"/>
          <w:lang w:val="en-US" w:eastAsia="de-DE"/>
          <w14:ligatures w14:val="none"/>
        </w:rPr>
        <w:t>s</w:t>
      </w:r>
      <w:r w:rsidRPr="00AB16EB">
        <w:rPr>
          <w:rFonts w:ascii="Arial" w:eastAsia="Times New Roman" w:hAnsi="Arial" w:cs="Arial"/>
          <w:color w:val="000000"/>
          <w:kern w:val="0"/>
          <w:lang w:val="en-US" w:eastAsia="de-DE"/>
          <w14:ligatures w14:val="none"/>
        </w:rPr>
        <w:t xml:space="preserve"> (April </w:t>
      </w:r>
      <w:r w:rsidR="00FC0CF1">
        <w:rPr>
          <w:rFonts w:ascii="Arial" w:eastAsia="Times New Roman" w:hAnsi="Arial" w:cs="Arial"/>
          <w:color w:val="000000"/>
          <w:kern w:val="0"/>
          <w:lang w:val="en-US" w:eastAsia="de-DE"/>
          <w14:ligatures w14:val="none"/>
        </w:rPr>
        <w:t>09</w:t>
      </w:r>
      <w:r w:rsidRPr="00AB16EB">
        <w:rPr>
          <w:rFonts w:ascii="Arial" w:eastAsia="Times New Roman" w:hAnsi="Arial" w:cs="Arial"/>
          <w:color w:val="000000"/>
          <w:kern w:val="0"/>
          <w:lang w:val="en-US" w:eastAsia="de-DE"/>
          <w14:ligatures w14:val="none"/>
        </w:rPr>
        <w:t xml:space="preserve">, 2025) </w:t>
      </w:r>
      <w:r w:rsidR="00C427BE">
        <w:rPr>
          <w:rFonts w:ascii="Arial" w:eastAsia="Times New Roman" w:hAnsi="Arial" w:cs="Arial"/>
          <w:color w:val="000000"/>
          <w:kern w:val="0"/>
          <w:lang w:val="en-US" w:eastAsia="de-DE"/>
          <w14:ligatures w14:val="none"/>
        </w:rPr>
        <w:t xml:space="preserve">for next cycle of Pembrolizumab 200 mg </w:t>
      </w:r>
    </w:p>
    <w:p w14:paraId="488D9D8B" w14:textId="77777777" w:rsidR="009D790F" w:rsidRPr="00C427BE" w:rsidRDefault="009D790F" w:rsidP="0064400F">
      <w:pPr>
        <w:ind w:left="1440"/>
        <w:rPr>
          <w:rFonts w:ascii="Arial" w:eastAsia="Times New Roman" w:hAnsi="Arial" w:cs="Arial"/>
          <w:color w:val="000000"/>
          <w:kern w:val="0"/>
          <w:lang w:val="en-US" w:eastAsia="de-DE"/>
          <w14:ligatures w14:val="none"/>
        </w:rPr>
      </w:pPr>
    </w:p>
    <w:p w14:paraId="0EE3DC76" w14:textId="77777777" w:rsidR="00AB16EB" w:rsidRPr="00AB16EB" w:rsidRDefault="00AB16EB" w:rsidP="0064400F">
      <w:pPr>
        <w:rPr>
          <w:rFonts w:ascii="Arial" w:eastAsia="Times New Roman" w:hAnsi="Arial" w:cs="Arial"/>
          <w:color w:val="000000"/>
          <w:kern w:val="0"/>
          <w:u w:val="single"/>
          <w:lang w:eastAsia="de-DE"/>
          <w14:ligatures w14:val="none"/>
        </w:rPr>
      </w:pPr>
      <w:proofErr w:type="spellStart"/>
      <w:r w:rsidRPr="00AB16EB">
        <w:rPr>
          <w:rFonts w:ascii="Arial" w:eastAsia="Times New Roman" w:hAnsi="Arial" w:cs="Arial"/>
          <w:color w:val="000000"/>
          <w:kern w:val="0"/>
          <w:u w:val="single"/>
          <w:lang w:eastAsia="de-DE"/>
          <w14:ligatures w14:val="none"/>
        </w:rPr>
        <w:t>Hepatology</w:t>
      </w:r>
      <w:proofErr w:type="spellEnd"/>
      <w:r w:rsidRPr="00AB16EB">
        <w:rPr>
          <w:rFonts w:ascii="Arial" w:eastAsia="Times New Roman" w:hAnsi="Arial" w:cs="Arial"/>
          <w:color w:val="000000"/>
          <w:kern w:val="0"/>
          <w:u w:val="single"/>
          <w:lang w:eastAsia="de-DE"/>
          <w14:ligatures w14:val="none"/>
        </w:rPr>
        <w:t xml:space="preserve"> Follow-</w:t>
      </w:r>
      <w:proofErr w:type="spellStart"/>
      <w:r w:rsidRPr="00AB16EB">
        <w:rPr>
          <w:rFonts w:ascii="Arial" w:eastAsia="Times New Roman" w:hAnsi="Arial" w:cs="Arial"/>
          <w:color w:val="000000"/>
          <w:kern w:val="0"/>
          <w:u w:val="single"/>
          <w:lang w:eastAsia="de-DE"/>
          <w14:ligatures w14:val="none"/>
        </w:rPr>
        <w:t>up</w:t>
      </w:r>
      <w:proofErr w:type="spellEnd"/>
      <w:r w:rsidRPr="00AB16EB">
        <w:rPr>
          <w:rFonts w:ascii="Arial" w:eastAsia="Times New Roman" w:hAnsi="Arial" w:cs="Arial"/>
          <w:color w:val="000000"/>
          <w:kern w:val="0"/>
          <w:u w:val="single"/>
          <w:lang w:eastAsia="de-DE"/>
          <w14:ligatures w14:val="none"/>
        </w:rPr>
        <w:t>:</w:t>
      </w:r>
    </w:p>
    <w:p w14:paraId="568D61D3" w14:textId="77777777" w:rsidR="00AB16EB" w:rsidRPr="00AB16EB" w:rsidRDefault="00AB16EB" w:rsidP="0064400F">
      <w:pPr>
        <w:numPr>
          <w:ilvl w:val="0"/>
          <w:numId w:val="13"/>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Follow up with Dr. S. Goldstein in 2 weeks (April 10, 2025)</w:t>
      </w:r>
    </w:p>
    <w:p w14:paraId="08EEB605" w14:textId="77777777" w:rsidR="00AB16EB" w:rsidRPr="00AB16EB" w:rsidRDefault="00AB16EB" w:rsidP="0064400F">
      <w:pPr>
        <w:numPr>
          <w:ilvl w:val="0"/>
          <w:numId w:val="13"/>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Liver function testing twice weekly for first 2 weeks, then weekly until normalized</w:t>
      </w:r>
    </w:p>
    <w:p w14:paraId="2AD75C1C" w14:textId="6D64B6F7" w:rsidR="009D790F" w:rsidRPr="0064400F" w:rsidRDefault="00AB16EB" w:rsidP="0064400F">
      <w:pPr>
        <w:numPr>
          <w:ilvl w:val="0"/>
          <w:numId w:val="13"/>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Monitor for rebound hepatitis during steroid taper</w:t>
      </w:r>
    </w:p>
    <w:p w14:paraId="1B467295" w14:textId="77777777" w:rsidR="009D790F" w:rsidRPr="00AB16EB" w:rsidRDefault="009D790F" w:rsidP="0064400F">
      <w:pPr>
        <w:ind w:left="720"/>
        <w:rPr>
          <w:rFonts w:ascii="Arial" w:eastAsia="Times New Roman" w:hAnsi="Arial" w:cs="Arial"/>
          <w:color w:val="000000"/>
          <w:kern w:val="0"/>
          <w:lang w:val="en-US" w:eastAsia="de-DE"/>
          <w14:ligatures w14:val="none"/>
        </w:rPr>
      </w:pPr>
    </w:p>
    <w:p w14:paraId="782DF809" w14:textId="77777777" w:rsidR="00AB16EB" w:rsidRPr="00AB16EB"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Laboratory Monitoring:</w:t>
      </w:r>
    </w:p>
    <w:p w14:paraId="022F7FF4" w14:textId="77777777" w:rsidR="009D790F" w:rsidRPr="0064400F" w:rsidRDefault="009D790F" w:rsidP="0064400F">
      <w:pPr>
        <w:pStyle w:val="ng-star-inserted"/>
        <w:numPr>
          <w:ilvl w:val="0"/>
          <w:numId w:val="14"/>
        </w:numPr>
        <w:spacing w:before="0" w:beforeAutospacing="0" w:after="0" w:afterAutospacing="0"/>
        <w:ind w:left="714" w:hanging="357"/>
        <w:rPr>
          <w:rFonts w:ascii="Arial" w:hAnsi="Arial" w:cs="Arial"/>
          <w:color w:val="1A1C1E"/>
          <w:lang w:val="en-US"/>
        </w:rPr>
      </w:pPr>
      <w:r w:rsidRPr="0064400F">
        <w:rPr>
          <w:rStyle w:val="ng-star-inserted1"/>
          <w:rFonts w:ascii="Arial" w:eastAsiaTheme="majorEastAsia" w:hAnsi="Arial" w:cs="Arial"/>
          <w:color w:val="1A1C1E"/>
          <w:lang w:val="en-US"/>
        </w:rPr>
        <w:t>CBC, CMP (including LFTs), and fasting glucose weekly while on high-dose steroids (prednisone &gt;20mg/day).</w:t>
      </w:r>
    </w:p>
    <w:p w14:paraId="734C6983" w14:textId="77777777" w:rsidR="009D790F" w:rsidRPr="0064400F" w:rsidRDefault="009D790F" w:rsidP="0064400F">
      <w:pPr>
        <w:pStyle w:val="ng-star-inserted"/>
        <w:numPr>
          <w:ilvl w:val="0"/>
          <w:numId w:val="14"/>
        </w:numPr>
        <w:spacing w:before="0" w:beforeAutospacing="0" w:after="0" w:afterAutospacing="0"/>
        <w:ind w:left="714" w:hanging="357"/>
        <w:rPr>
          <w:rFonts w:ascii="Arial" w:hAnsi="Arial" w:cs="Arial"/>
          <w:color w:val="1A1C1E"/>
          <w:lang w:val="en-US"/>
        </w:rPr>
      </w:pPr>
      <w:r w:rsidRPr="0064400F">
        <w:rPr>
          <w:rStyle w:val="ng-star-inserted1"/>
          <w:rFonts w:ascii="Arial" w:eastAsiaTheme="majorEastAsia" w:hAnsi="Arial" w:cs="Arial"/>
          <w:color w:val="1A1C1E"/>
          <w:lang w:val="en-US"/>
        </w:rPr>
        <w:t>Home Blood Glucose Monitoring:</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QID (before meals and bedtime) while on insulin sliding scale, adjust frequency per oncology/PCP as steroids taper and glucose normalizes.</w:t>
      </w:r>
    </w:p>
    <w:p w14:paraId="5578B76F" w14:textId="77777777" w:rsidR="009D790F" w:rsidRPr="0064400F" w:rsidRDefault="009D790F" w:rsidP="0064400F">
      <w:pPr>
        <w:pStyle w:val="ng-star-inserted"/>
        <w:numPr>
          <w:ilvl w:val="0"/>
          <w:numId w:val="14"/>
        </w:numPr>
        <w:spacing w:before="0" w:beforeAutospacing="0" w:after="0" w:afterAutospacing="0"/>
        <w:ind w:left="714" w:hanging="357"/>
        <w:rPr>
          <w:rFonts w:ascii="Arial" w:hAnsi="Arial" w:cs="Arial"/>
          <w:color w:val="1A1C1E"/>
          <w:lang w:val="en-US"/>
        </w:rPr>
      </w:pPr>
      <w:r w:rsidRPr="0064400F">
        <w:rPr>
          <w:rStyle w:val="ng-star-inserted1"/>
          <w:rFonts w:ascii="Arial" w:eastAsiaTheme="majorEastAsia" w:hAnsi="Arial" w:cs="Arial"/>
          <w:color w:val="1A1C1E"/>
          <w:lang w:val="en-US"/>
        </w:rPr>
        <w:t>LFTs twice weekly for first 2 weeks post-discharge, then weekly until normalized per hepatology.</w:t>
      </w:r>
    </w:p>
    <w:p w14:paraId="1321FCDC" w14:textId="77777777" w:rsidR="009D790F" w:rsidRPr="0064400F" w:rsidRDefault="009D790F" w:rsidP="0064400F">
      <w:pPr>
        <w:pStyle w:val="ng-star-inserted"/>
        <w:numPr>
          <w:ilvl w:val="0"/>
          <w:numId w:val="14"/>
        </w:numPr>
        <w:spacing w:before="0" w:beforeAutospacing="0" w:after="0" w:afterAutospacing="0"/>
        <w:ind w:left="714" w:hanging="357"/>
        <w:rPr>
          <w:rFonts w:ascii="Arial" w:hAnsi="Arial" w:cs="Arial"/>
          <w:color w:val="1A1C1E"/>
          <w:lang w:val="en-US"/>
        </w:rPr>
      </w:pPr>
      <w:r w:rsidRPr="0064400F">
        <w:rPr>
          <w:rStyle w:val="ng-star-inserted1"/>
          <w:rFonts w:ascii="Arial" w:eastAsiaTheme="majorEastAsia" w:hAnsi="Arial" w:cs="Arial"/>
          <w:color w:val="1A1C1E"/>
          <w:lang w:val="en-US"/>
        </w:rPr>
        <w:t>TSH in 4 weeks to monitor for immune-related thyroiditis.</w:t>
      </w:r>
    </w:p>
    <w:p w14:paraId="7E4C4FFB" w14:textId="77777777" w:rsidR="009D790F" w:rsidRPr="0064400F" w:rsidRDefault="009D790F" w:rsidP="0064400F">
      <w:pPr>
        <w:rPr>
          <w:rFonts w:ascii="Arial" w:eastAsia="Times New Roman" w:hAnsi="Arial" w:cs="Arial"/>
          <w:color w:val="000000"/>
          <w:kern w:val="0"/>
          <w:lang w:val="en-US" w:eastAsia="de-DE"/>
          <w14:ligatures w14:val="none"/>
        </w:rPr>
      </w:pPr>
    </w:p>
    <w:p w14:paraId="2469B898" w14:textId="77777777" w:rsidR="009D790F" w:rsidRPr="00AB16EB" w:rsidRDefault="009D790F" w:rsidP="0064400F">
      <w:pPr>
        <w:ind w:left="360"/>
        <w:rPr>
          <w:rFonts w:ascii="Arial" w:eastAsia="Times New Roman" w:hAnsi="Arial" w:cs="Arial"/>
          <w:color w:val="000000"/>
          <w:kern w:val="0"/>
          <w:lang w:val="en-US" w:eastAsia="de-DE"/>
          <w14:ligatures w14:val="none"/>
        </w:rPr>
      </w:pPr>
    </w:p>
    <w:p w14:paraId="441536DE" w14:textId="77777777" w:rsidR="00AB16EB" w:rsidRPr="00AB16EB"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Imaging:</w:t>
      </w:r>
    </w:p>
    <w:p w14:paraId="7CE6CC85" w14:textId="77777777" w:rsidR="00AB16EB" w:rsidRPr="0064400F" w:rsidRDefault="00AB16EB" w:rsidP="0064400F">
      <w:pPr>
        <w:numPr>
          <w:ilvl w:val="0"/>
          <w:numId w:val="15"/>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Repeat CT Chest/Abdomen/Pelvis scheduled for April 15, </w:t>
      </w:r>
      <w:proofErr w:type="gramStart"/>
      <w:r w:rsidRPr="00AB16EB">
        <w:rPr>
          <w:rFonts w:ascii="Arial" w:eastAsia="Times New Roman" w:hAnsi="Arial" w:cs="Arial"/>
          <w:color w:val="000000"/>
          <w:kern w:val="0"/>
          <w:lang w:val="en-US" w:eastAsia="de-DE"/>
          <w14:ligatures w14:val="none"/>
        </w:rPr>
        <w:t>2025</w:t>
      </w:r>
      <w:proofErr w:type="gramEnd"/>
      <w:r w:rsidRPr="00AB16EB">
        <w:rPr>
          <w:rFonts w:ascii="Arial" w:eastAsia="Times New Roman" w:hAnsi="Arial" w:cs="Arial"/>
          <w:color w:val="000000"/>
          <w:kern w:val="0"/>
          <w:lang w:val="en-US" w:eastAsia="de-DE"/>
          <w14:ligatures w14:val="none"/>
        </w:rPr>
        <w:t xml:space="preserve"> to assess disease status</w:t>
      </w:r>
    </w:p>
    <w:p w14:paraId="241D2F16" w14:textId="77777777" w:rsidR="009D790F" w:rsidRPr="00AB16EB" w:rsidRDefault="009D790F" w:rsidP="0064400F">
      <w:pPr>
        <w:ind w:left="720"/>
        <w:rPr>
          <w:rFonts w:ascii="Arial" w:eastAsia="Times New Roman" w:hAnsi="Arial" w:cs="Arial"/>
          <w:color w:val="000000"/>
          <w:kern w:val="0"/>
          <w:lang w:val="en-US" w:eastAsia="de-DE"/>
          <w14:ligatures w14:val="none"/>
        </w:rPr>
      </w:pPr>
    </w:p>
    <w:p w14:paraId="3D40FD68" w14:textId="77777777" w:rsidR="00AB16EB" w:rsidRPr="0064400F"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 xml:space="preserve">Patient Education </w:t>
      </w:r>
      <w:proofErr w:type="spellStart"/>
      <w:r w:rsidRPr="00AB16EB">
        <w:rPr>
          <w:rFonts w:ascii="Arial" w:eastAsia="Times New Roman" w:hAnsi="Arial" w:cs="Arial"/>
          <w:color w:val="000000"/>
          <w:kern w:val="0"/>
          <w:u w:val="single"/>
          <w:lang w:eastAsia="de-DE"/>
          <w14:ligatures w14:val="none"/>
        </w:rPr>
        <w:t>Provided</w:t>
      </w:r>
      <w:proofErr w:type="spellEnd"/>
      <w:r w:rsidRPr="00AB16EB">
        <w:rPr>
          <w:rFonts w:ascii="Arial" w:eastAsia="Times New Roman" w:hAnsi="Arial" w:cs="Arial"/>
          <w:color w:val="000000"/>
          <w:kern w:val="0"/>
          <w:u w:val="single"/>
          <w:lang w:eastAsia="de-DE"/>
          <w14:ligatures w14:val="none"/>
        </w:rPr>
        <w:t>:</w:t>
      </w:r>
    </w:p>
    <w:p w14:paraId="48BADC7E"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Detailed explanation of immune-related adverse event (hepatitis) and treatment plan.</w:t>
      </w:r>
    </w:p>
    <w:p w14:paraId="43A997E1"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rPr>
      </w:pPr>
      <w:r w:rsidRPr="0064400F">
        <w:rPr>
          <w:rStyle w:val="ng-star-inserted1"/>
          <w:rFonts w:ascii="Arial" w:eastAsiaTheme="majorEastAsia" w:hAnsi="Arial" w:cs="Arial"/>
          <w:color w:val="1A1C1E"/>
        </w:rPr>
        <w:t>Steroid Education:</w:t>
      </w:r>
    </w:p>
    <w:p w14:paraId="5C345EDD" w14:textId="77777777" w:rsidR="009D790F" w:rsidRPr="0064400F" w:rsidRDefault="009D790F" w:rsidP="0064400F">
      <w:pPr>
        <w:pStyle w:val="ng-star-inserted"/>
        <w:numPr>
          <w:ilvl w:val="1"/>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Importance of strict adherence to provided taper schedule.</w:t>
      </w:r>
    </w:p>
    <w:p w14:paraId="6028331A" w14:textId="77777777" w:rsidR="009D790F" w:rsidRPr="0064400F" w:rsidRDefault="009D790F" w:rsidP="0064400F">
      <w:pPr>
        <w:pStyle w:val="ng-star-inserted"/>
        <w:numPr>
          <w:ilvl w:val="1"/>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CRITICAL:</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Do NOT stop prednisone abruptly; risk of adrenal insufficiency.</w:t>
      </w:r>
    </w:p>
    <w:p w14:paraId="013D5F17" w14:textId="77777777" w:rsidR="009D790F" w:rsidRPr="0064400F" w:rsidRDefault="009D790F" w:rsidP="0064400F">
      <w:pPr>
        <w:pStyle w:val="ng-star-inserted"/>
        <w:numPr>
          <w:ilvl w:val="1"/>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Common side effects (e.g., hyperglycemia, insomnia, mood changes, increased appetite, fluid retention, increased infection risk) and management strategies.</w:t>
      </w:r>
    </w:p>
    <w:p w14:paraId="2A75A563" w14:textId="77777777" w:rsidR="009D790F" w:rsidRPr="0064400F" w:rsidRDefault="009D790F" w:rsidP="0064400F">
      <w:pPr>
        <w:pStyle w:val="ng-star-inserted"/>
        <w:numPr>
          <w:ilvl w:val="1"/>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When to call provider regarding side effects.</w:t>
      </w:r>
    </w:p>
    <w:p w14:paraId="7E568AFF"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Insulin Sliding Scale Management:</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i/>
          <w:iCs/>
          <w:color w:val="1A1C1E"/>
          <w:lang w:val="en-US"/>
        </w:rPr>
        <w:t xml:space="preserve">(Details moved to Section </w:t>
      </w:r>
      <w:proofErr w:type="gramStart"/>
      <w:r w:rsidRPr="0064400F">
        <w:rPr>
          <w:rStyle w:val="ng-star-inserted1"/>
          <w:rFonts w:ascii="Arial" w:eastAsiaTheme="majorEastAsia" w:hAnsi="Arial" w:cs="Arial"/>
          <w:i/>
          <w:iCs/>
          <w:color w:val="1A1C1E"/>
          <w:lang w:val="en-US"/>
        </w:rPr>
        <w:t>7, but</w:t>
      </w:r>
      <w:proofErr w:type="gramEnd"/>
      <w:r w:rsidRPr="0064400F">
        <w:rPr>
          <w:rStyle w:val="ng-star-inserted1"/>
          <w:rFonts w:ascii="Arial" w:eastAsiaTheme="majorEastAsia" w:hAnsi="Arial" w:cs="Arial"/>
          <w:i/>
          <w:iCs/>
          <w:color w:val="1A1C1E"/>
          <w:lang w:val="en-US"/>
        </w:rPr>
        <w:t xml:space="preserve"> reinforce education here)</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Confirmed understanding of BG monitoring, insulin administration, hypo/hyperglycemia management.</w:t>
      </w:r>
    </w:p>
    <w:p w14:paraId="591F61A4"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Signs and symptoms of worsening hepatitis (jaundice, worsening fatigue, abdominal pain, confusion) requiring immediate attention.</w:t>
      </w:r>
    </w:p>
    <w:p w14:paraId="23F1C28C"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Potential other immune-related toxicities to monitor for (e.g., colitis, pneumonitis, endocrinopathies).</w:t>
      </w:r>
    </w:p>
    <w:p w14:paraId="0CC132E7"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Contact information for oncology nurse navigator and on-call physician.</w:t>
      </w:r>
    </w:p>
    <w:p w14:paraId="6ACA8AAD"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Importance of avoiding hepatotoxic medications/substances (NSAIDs, alcohol, certain supplements).</w:t>
      </w:r>
    </w:p>
    <w:p w14:paraId="773708FA"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Need for PCP prophylaxis (Atovaquone) while on high-dose steroids.</w:t>
      </w:r>
    </w:p>
    <w:p w14:paraId="156061DF"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Need for GI prophylaxis (Pantoprazole) while on high-dose steroids.</w:t>
      </w:r>
    </w:p>
    <w:p w14:paraId="2D977603"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Need for Calcium/Vitamin D supplementation.</w:t>
      </w:r>
    </w:p>
    <w:p w14:paraId="0E0A4563" w14:textId="77777777" w:rsidR="009D790F" w:rsidRPr="00AB16EB" w:rsidRDefault="009D790F" w:rsidP="0064400F">
      <w:pPr>
        <w:rPr>
          <w:rFonts w:ascii="Arial" w:eastAsia="Times New Roman" w:hAnsi="Arial" w:cs="Arial"/>
          <w:color w:val="000000"/>
          <w:kern w:val="0"/>
          <w:lang w:val="en-US" w:eastAsia="de-DE"/>
          <w14:ligatures w14:val="none"/>
        </w:rPr>
      </w:pPr>
    </w:p>
    <w:p w14:paraId="4ACC5014" w14:textId="77777777" w:rsidR="009D790F" w:rsidRPr="0064400F" w:rsidRDefault="009D790F" w:rsidP="0064400F">
      <w:pPr>
        <w:outlineLvl w:val="1"/>
        <w:rPr>
          <w:rFonts w:ascii="Arial" w:eastAsia="Times New Roman" w:hAnsi="Arial" w:cs="Arial"/>
          <w:color w:val="000000"/>
          <w:kern w:val="0"/>
          <w:lang w:val="en-US" w:eastAsia="de-DE"/>
          <w14:ligatures w14:val="none"/>
        </w:rPr>
      </w:pPr>
    </w:p>
    <w:p w14:paraId="76FBC584" w14:textId="0EA4292D" w:rsidR="00AB16EB" w:rsidRPr="0064400F" w:rsidRDefault="00AB16EB" w:rsidP="0064400F">
      <w:pPr>
        <w:outlineLvl w:val="1"/>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9. Lab Values (</w:t>
      </w:r>
      <w:proofErr w:type="spellStart"/>
      <w:r w:rsidRPr="00AB16EB">
        <w:rPr>
          <w:rFonts w:ascii="Arial" w:eastAsia="Times New Roman" w:hAnsi="Arial" w:cs="Arial"/>
          <w:b/>
          <w:bCs/>
          <w:color w:val="000000"/>
          <w:kern w:val="0"/>
          <w:lang w:eastAsia="de-DE"/>
          <w14:ligatures w14:val="none"/>
        </w:rPr>
        <w:t>Excerpt</w:t>
      </w:r>
      <w:proofErr w:type="spellEnd"/>
      <w:r w:rsidRPr="00AB16EB">
        <w:rPr>
          <w:rFonts w:ascii="Arial" w:eastAsia="Times New Roman" w:hAnsi="Arial" w:cs="Arial"/>
          <w:b/>
          <w:bCs/>
          <w:color w:val="000000"/>
          <w:kern w:val="0"/>
          <w:lang w:eastAsia="de-DE"/>
          <w14:ligatures w14:val="none"/>
        </w:rPr>
        <w:t>):</w:t>
      </w:r>
    </w:p>
    <w:p w14:paraId="3E03177F" w14:textId="77777777" w:rsidR="009D790F" w:rsidRPr="00AB16EB" w:rsidRDefault="009D790F" w:rsidP="0064400F">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539"/>
        <w:gridCol w:w="1187"/>
        <w:gridCol w:w="1376"/>
        <w:gridCol w:w="1376"/>
        <w:gridCol w:w="1376"/>
        <w:gridCol w:w="890"/>
        <w:gridCol w:w="1312"/>
      </w:tblGrid>
      <w:tr w:rsidR="00AB16EB" w:rsidRPr="00AB16EB" w14:paraId="4ECEE0EA" w14:textId="77777777" w:rsidTr="009D790F">
        <w:tc>
          <w:tcPr>
            <w:tcW w:w="0" w:type="auto"/>
            <w:hideMark/>
          </w:tcPr>
          <w:p w14:paraId="33D55051" w14:textId="77777777" w:rsidR="00AB16EB" w:rsidRPr="00AB16EB" w:rsidRDefault="00AB16EB" w:rsidP="0064400F">
            <w:pPr>
              <w:jc w:val="center"/>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Parameter</w:t>
            </w:r>
          </w:p>
        </w:tc>
        <w:tc>
          <w:tcPr>
            <w:tcW w:w="0" w:type="auto"/>
            <w:hideMark/>
          </w:tcPr>
          <w:p w14:paraId="1976F48B" w14:textId="77777777" w:rsidR="00AB16EB" w:rsidRPr="00AB16EB" w:rsidRDefault="00AB16EB" w:rsidP="0064400F">
            <w:pPr>
              <w:jc w:val="center"/>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Baseline (12/2024)</w:t>
            </w:r>
          </w:p>
        </w:tc>
        <w:tc>
          <w:tcPr>
            <w:tcW w:w="0" w:type="auto"/>
            <w:hideMark/>
          </w:tcPr>
          <w:p w14:paraId="0390260E" w14:textId="77777777" w:rsidR="00AB16EB" w:rsidRPr="00AB16EB" w:rsidRDefault="00AB16EB" w:rsidP="0064400F">
            <w:pPr>
              <w:jc w:val="center"/>
              <w:rPr>
                <w:rFonts w:ascii="Arial" w:eastAsia="Times New Roman" w:hAnsi="Arial" w:cs="Arial"/>
                <w:b/>
                <w:bCs/>
                <w:color w:val="000000"/>
                <w:kern w:val="0"/>
                <w:lang w:eastAsia="de-DE"/>
                <w14:ligatures w14:val="none"/>
              </w:rPr>
            </w:pPr>
            <w:proofErr w:type="spellStart"/>
            <w:r w:rsidRPr="00AB16EB">
              <w:rPr>
                <w:rFonts w:ascii="Arial" w:eastAsia="Times New Roman" w:hAnsi="Arial" w:cs="Arial"/>
                <w:b/>
                <w:bCs/>
                <w:color w:val="000000"/>
                <w:kern w:val="0"/>
                <w:lang w:eastAsia="de-DE"/>
                <w14:ligatures w14:val="none"/>
              </w:rPr>
              <w:t>Pre</w:t>
            </w:r>
            <w:proofErr w:type="spellEnd"/>
            <w:r w:rsidRPr="00AB16EB">
              <w:rPr>
                <w:rFonts w:ascii="Arial" w:eastAsia="Times New Roman" w:hAnsi="Arial" w:cs="Arial"/>
                <w:b/>
                <w:bCs/>
                <w:color w:val="000000"/>
                <w:kern w:val="0"/>
                <w:lang w:eastAsia="de-DE"/>
                <w14:ligatures w14:val="none"/>
              </w:rPr>
              <w:t>-admission (3/15/2025)</w:t>
            </w:r>
          </w:p>
        </w:tc>
        <w:tc>
          <w:tcPr>
            <w:tcW w:w="0" w:type="auto"/>
            <w:hideMark/>
          </w:tcPr>
          <w:p w14:paraId="4C10AB58" w14:textId="77777777" w:rsidR="00AB16EB" w:rsidRPr="00AB16EB" w:rsidRDefault="00AB16EB" w:rsidP="0064400F">
            <w:pPr>
              <w:jc w:val="center"/>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Peak (3/18/2025)</w:t>
            </w:r>
          </w:p>
        </w:tc>
        <w:tc>
          <w:tcPr>
            <w:tcW w:w="0" w:type="auto"/>
            <w:hideMark/>
          </w:tcPr>
          <w:p w14:paraId="368A3B04" w14:textId="77777777" w:rsidR="00AB16EB" w:rsidRPr="00AB16EB" w:rsidRDefault="00AB16EB" w:rsidP="0064400F">
            <w:pPr>
              <w:jc w:val="center"/>
              <w:rPr>
                <w:rFonts w:ascii="Arial" w:eastAsia="Times New Roman" w:hAnsi="Arial" w:cs="Arial"/>
                <w:b/>
                <w:bCs/>
                <w:color w:val="000000"/>
                <w:kern w:val="0"/>
                <w:lang w:eastAsia="de-DE"/>
                <w14:ligatures w14:val="none"/>
              </w:rPr>
            </w:pPr>
            <w:proofErr w:type="spellStart"/>
            <w:r w:rsidRPr="00AB16EB">
              <w:rPr>
                <w:rFonts w:ascii="Arial" w:eastAsia="Times New Roman" w:hAnsi="Arial" w:cs="Arial"/>
                <w:b/>
                <w:bCs/>
                <w:color w:val="000000"/>
                <w:kern w:val="0"/>
                <w:lang w:eastAsia="de-DE"/>
                <w14:ligatures w14:val="none"/>
              </w:rPr>
              <w:t>Discharge</w:t>
            </w:r>
            <w:proofErr w:type="spellEnd"/>
            <w:r w:rsidRPr="00AB16EB">
              <w:rPr>
                <w:rFonts w:ascii="Arial" w:eastAsia="Times New Roman" w:hAnsi="Arial" w:cs="Arial"/>
                <w:b/>
                <w:bCs/>
                <w:color w:val="000000"/>
                <w:kern w:val="0"/>
                <w:lang w:eastAsia="de-DE"/>
                <w14:ligatures w14:val="none"/>
              </w:rPr>
              <w:t xml:space="preserve"> (3/27/2025)</w:t>
            </w:r>
          </w:p>
        </w:tc>
        <w:tc>
          <w:tcPr>
            <w:tcW w:w="0" w:type="auto"/>
            <w:hideMark/>
          </w:tcPr>
          <w:p w14:paraId="7006DF71" w14:textId="77777777" w:rsidR="00AB16EB" w:rsidRPr="00AB16EB" w:rsidRDefault="00AB16EB" w:rsidP="0064400F">
            <w:pPr>
              <w:jc w:val="center"/>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Units</w:t>
            </w:r>
          </w:p>
        </w:tc>
        <w:tc>
          <w:tcPr>
            <w:tcW w:w="0" w:type="auto"/>
            <w:hideMark/>
          </w:tcPr>
          <w:p w14:paraId="52B6EDD5" w14:textId="77777777" w:rsidR="00AB16EB" w:rsidRPr="00AB16EB" w:rsidRDefault="00AB16EB" w:rsidP="0064400F">
            <w:pPr>
              <w:jc w:val="center"/>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Reference Range</w:t>
            </w:r>
          </w:p>
        </w:tc>
      </w:tr>
      <w:tr w:rsidR="00AB16EB" w:rsidRPr="00AB16EB" w14:paraId="48925945" w14:textId="77777777" w:rsidTr="009D790F">
        <w:tc>
          <w:tcPr>
            <w:tcW w:w="0" w:type="auto"/>
            <w:hideMark/>
          </w:tcPr>
          <w:p w14:paraId="7197575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ALT</w:t>
            </w:r>
          </w:p>
        </w:tc>
        <w:tc>
          <w:tcPr>
            <w:tcW w:w="0" w:type="auto"/>
            <w:hideMark/>
          </w:tcPr>
          <w:p w14:paraId="55FF42E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25</w:t>
            </w:r>
          </w:p>
        </w:tc>
        <w:tc>
          <w:tcPr>
            <w:tcW w:w="0" w:type="auto"/>
            <w:hideMark/>
          </w:tcPr>
          <w:p w14:paraId="3CB69A1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865</w:t>
            </w:r>
          </w:p>
        </w:tc>
        <w:tc>
          <w:tcPr>
            <w:tcW w:w="0" w:type="auto"/>
            <w:hideMark/>
          </w:tcPr>
          <w:p w14:paraId="44416B9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968</w:t>
            </w:r>
          </w:p>
        </w:tc>
        <w:tc>
          <w:tcPr>
            <w:tcW w:w="0" w:type="auto"/>
            <w:hideMark/>
          </w:tcPr>
          <w:p w14:paraId="1CC8A160"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342</w:t>
            </w:r>
          </w:p>
        </w:tc>
        <w:tc>
          <w:tcPr>
            <w:tcW w:w="0" w:type="auto"/>
            <w:hideMark/>
          </w:tcPr>
          <w:p w14:paraId="57E3917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U/L</w:t>
            </w:r>
          </w:p>
        </w:tc>
        <w:tc>
          <w:tcPr>
            <w:tcW w:w="0" w:type="auto"/>
            <w:hideMark/>
          </w:tcPr>
          <w:p w14:paraId="5050D89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7-56</w:t>
            </w:r>
          </w:p>
        </w:tc>
      </w:tr>
      <w:tr w:rsidR="00AB16EB" w:rsidRPr="00AB16EB" w14:paraId="6D4577AB" w14:textId="77777777" w:rsidTr="009D790F">
        <w:tc>
          <w:tcPr>
            <w:tcW w:w="0" w:type="auto"/>
            <w:hideMark/>
          </w:tcPr>
          <w:p w14:paraId="3177974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AST</w:t>
            </w:r>
          </w:p>
        </w:tc>
        <w:tc>
          <w:tcPr>
            <w:tcW w:w="0" w:type="auto"/>
            <w:hideMark/>
          </w:tcPr>
          <w:p w14:paraId="53F3C8F3"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22</w:t>
            </w:r>
          </w:p>
        </w:tc>
        <w:tc>
          <w:tcPr>
            <w:tcW w:w="0" w:type="auto"/>
            <w:hideMark/>
          </w:tcPr>
          <w:p w14:paraId="4A70EEA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723</w:t>
            </w:r>
          </w:p>
        </w:tc>
        <w:tc>
          <w:tcPr>
            <w:tcW w:w="0" w:type="auto"/>
            <w:hideMark/>
          </w:tcPr>
          <w:p w14:paraId="6980C82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824</w:t>
            </w:r>
          </w:p>
        </w:tc>
        <w:tc>
          <w:tcPr>
            <w:tcW w:w="0" w:type="auto"/>
            <w:hideMark/>
          </w:tcPr>
          <w:p w14:paraId="0C8C26B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255</w:t>
            </w:r>
          </w:p>
        </w:tc>
        <w:tc>
          <w:tcPr>
            <w:tcW w:w="0" w:type="auto"/>
            <w:hideMark/>
          </w:tcPr>
          <w:p w14:paraId="77B5EF14"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U/L</w:t>
            </w:r>
          </w:p>
        </w:tc>
        <w:tc>
          <w:tcPr>
            <w:tcW w:w="0" w:type="auto"/>
            <w:hideMark/>
          </w:tcPr>
          <w:p w14:paraId="19A1BFBD"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8-48</w:t>
            </w:r>
          </w:p>
        </w:tc>
      </w:tr>
      <w:tr w:rsidR="00AB16EB" w:rsidRPr="00AB16EB" w14:paraId="7B44E06A" w14:textId="77777777" w:rsidTr="009D790F">
        <w:tc>
          <w:tcPr>
            <w:tcW w:w="0" w:type="auto"/>
            <w:hideMark/>
          </w:tcPr>
          <w:p w14:paraId="1D0CDC4D"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Alkaline Phosphatase</w:t>
            </w:r>
          </w:p>
        </w:tc>
        <w:tc>
          <w:tcPr>
            <w:tcW w:w="0" w:type="auto"/>
            <w:hideMark/>
          </w:tcPr>
          <w:p w14:paraId="116C2F25"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85</w:t>
            </w:r>
          </w:p>
        </w:tc>
        <w:tc>
          <w:tcPr>
            <w:tcW w:w="0" w:type="auto"/>
            <w:hideMark/>
          </w:tcPr>
          <w:p w14:paraId="7E59689E"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246</w:t>
            </w:r>
          </w:p>
        </w:tc>
        <w:tc>
          <w:tcPr>
            <w:tcW w:w="0" w:type="auto"/>
            <w:hideMark/>
          </w:tcPr>
          <w:p w14:paraId="470F6ED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278</w:t>
            </w:r>
          </w:p>
        </w:tc>
        <w:tc>
          <w:tcPr>
            <w:tcW w:w="0" w:type="auto"/>
            <w:hideMark/>
          </w:tcPr>
          <w:p w14:paraId="361CB255"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182</w:t>
            </w:r>
          </w:p>
        </w:tc>
        <w:tc>
          <w:tcPr>
            <w:tcW w:w="0" w:type="auto"/>
            <w:hideMark/>
          </w:tcPr>
          <w:p w14:paraId="05F23A8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U/L</w:t>
            </w:r>
          </w:p>
        </w:tc>
        <w:tc>
          <w:tcPr>
            <w:tcW w:w="0" w:type="auto"/>
            <w:hideMark/>
          </w:tcPr>
          <w:p w14:paraId="38BB0F40"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45-115</w:t>
            </w:r>
          </w:p>
        </w:tc>
      </w:tr>
      <w:tr w:rsidR="00AB16EB" w:rsidRPr="00AB16EB" w14:paraId="398E5F76" w14:textId="77777777" w:rsidTr="009D790F">
        <w:tc>
          <w:tcPr>
            <w:tcW w:w="0" w:type="auto"/>
            <w:hideMark/>
          </w:tcPr>
          <w:p w14:paraId="1C623E5E"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Total Bilirubin</w:t>
            </w:r>
          </w:p>
        </w:tc>
        <w:tc>
          <w:tcPr>
            <w:tcW w:w="0" w:type="auto"/>
            <w:hideMark/>
          </w:tcPr>
          <w:p w14:paraId="7FFF595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0.6</w:t>
            </w:r>
          </w:p>
        </w:tc>
        <w:tc>
          <w:tcPr>
            <w:tcW w:w="0" w:type="auto"/>
            <w:hideMark/>
          </w:tcPr>
          <w:p w14:paraId="02142DFD" w14:textId="7438045F"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w:t>
            </w:r>
            <w:r w:rsidR="00FC1363">
              <w:rPr>
                <w:rFonts w:ascii="Arial" w:eastAsia="Times New Roman" w:hAnsi="Arial" w:cs="Arial"/>
                <w:color w:val="000000"/>
                <w:kern w:val="0"/>
                <w:lang w:eastAsia="de-DE"/>
                <w14:ligatures w14:val="none"/>
              </w:rPr>
              <w:t>6</w:t>
            </w:r>
          </w:p>
        </w:tc>
        <w:tc>
          <w:tcPr>
            <w:tcW w:w="0" w:type="auto"/>
            <w:hideMark/>
          </w:tcPr>
          <w:p w14:paraId="5B34F749"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2.2</w:t>
            </w:r>
          </w:p>
        </w:tc>
        <w:tc>
          <w:tcPr>
            <w:tcW w:w="0" w:type="auto"/>
            <w:hideMark/>
          </w:tcPr>
          <w:p w14:paraId="19FF841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1.3</w:t>
            </w:r>
          </w:p>
        </w:tc>
        <w:tc>
          <w:tcPr>
            <w:tcW w:w="0" w:type="auto"/>
            <w:hideMark/>
          </w:tcPr>
          <w:p w14:paraId="7A7B254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mg/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61529E43"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0.2-1.2</w:t>
            </w:r>
          </w:p>
        </w:tc>
      </w:tr>
      <w:tr w:rsidR="00AB16EB" w:rsidRPr="00AB16EB" w14:paraId="122B29F1" w14:textId="77777777" w:rsidTr="009D790F">
        <w:tc>
          <w:tcPr>
            <w:tcW w:w="0" w:type="auto"/>
            <w:hideMark/>
          </w:tcPr>
          <w:p w14:paraId="25F0F3A8"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Direct</w:t>
            </w:r>
            <w:proofErr w:type="spellEnd"/>
            <w:r w:rsidRPr="00AB16EB">
              <w:rPr>
                <w:rFonts w:ascii="Arial" w:eastAsia="Times New Roman" w:hAnsi="Arial" w:cs="Arial"/>
                <w:color w:val="000000"/>
                <w:kern w:val="0"/>
                <w:lang w:eastAsia="de-DE"/>
                <w14:ligatures w14:val="none"/>
              </w:rPr>
              <w:t xml:space="preserve"> Bilirubin</w:t>
            </w:r>
          </w:p>
        </w:tc>
        <w:tc>
          <w:tcPr>
            <w:tcW w:w="0" w:type="auto"/>
            <w:hideMark/>
          </w:tcPr>
          <w:p w14:paraId="27C039F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0.2</w:t>
            </w:r>
          </w:p>
        </w:tc>
        <w:tc>
          <w:tcPr>
            <w:tcW w:w="0" w:type="auto"/>
            <w:hideMark/>
          </w:tcPr>
          <w:p w14:paraId="147B9816"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0.8</w:t>
            </w:r>
          </w:p>
        </w:tc>
        <w:tc>
          <w:tcPr>
            <w:tcW w:w="0" w:type="auto"/>
            <w:hideMark/>
          </w:tcPr>
          <w:p w14:paraId="64864D0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1.0</w:t>
            </w:r>
          </w:p>
        </w:tc>
        <w:tc>
          <w:tcPr>
            <w:tcW w:w="0" w:type="auto"/>
            <w:hideMark/>
          </w:tcPr>
          <w:p w14:paraId="0F46A306"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0.5</w:t>
            </w:r>
          </w:p>
        </w:tc>
        <w:tc>
          <w:tcPr>
            <w:tcW w:w="0" w:type="auto"/>
            <w:hideMark/>
          </w:tcPr>
          <w:p w14:paraId="23E8D29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mg/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35E44B5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0.0-0.3</w:t>
            </w:r>
          </w:p>
        </w:tc>
      </w:tr>
      <w:tr w:rsidR="00AB16EB" w:rsidRPr="00AB16EB" w14:paraId="0C276FC5" w14:textId="77777777" w:rsidTr="009D790F">
        <w:tc>
          <w:tcPr>
            <w:tcW w:w="0" w:type="auto"/>
            <w:hideMark/>
          </w:tcPr>
          <w:p w14:paraId="1CF4B42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Albumin</w:t>
            </w:r>
          </w:p>
        </w:tc>
        <w:tc>
          <w:tcPr>
            <w:tcW w:w="0" w:type="auto"/>
            <w:hideMark/>
          </w:tcPr>
          <w:p w14:paraId="72B01F7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3.8</w:t>
            </w:r>
          </w:p>
        </w:tc>
        <w:tc>
          <w:tcPr>
            <w:tcW w:w="0" w:type="auto"/>
            <w:hideMark/>
          </w:tcPr>
          <w:p w14:paraId="69B34C1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3.6</w:t>
            </w:r>
          </w:p>
        </w:tc>
        <w:tc>
          <w:tcPr>
            <w:tcW w:w="0" w:type="auto"/>
            <w:hideMark/>
          </w:tcPr>
          <w:p w14:paraId="1E7B6CA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3.4</w:t>
            </w:r>
          </w:p>
        </w:tc>
        <w:tc>
          <w:tcPr>
            <w:tcW w:w="0" w:type="auto"/>
            <w:hideMark/>
          </w:tcPr>
          <w:p w14:paraId="0004B33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3.5</w:t>
            </w:r>
          </w:p>
        </w:tc>
        <w:tc>
          <w:tcPr>
            <w:tcW w:w="0" w:type="auto"/>
            <w:hideMark/>
          </w:tcPr>
          <w:p w14:paraId="4F5B14D3"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743ABB1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3.5-5.0</w:t>
            </w:r>
          </w:p>
        </w:tc>
      </w:tr>
      <w:tr w:rsidR="00AB16EB" w:rsidRPr="00AB16EB" w14:paraId="467311C4" w14:textId="77777777" w:rsidTr="009D790F">
        <w:tc>
          <w:tcPr>
            <w:tcW w:w="0" w:type="auto"/>
            <w:hideMark/>
          </w:tcPr>
          <w:p w14:paraId="5FF77DF4"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INR</w:t>
            </w:r>
          </w:p>
        </w:tc>
        <w:tc>
          <w:tcPr>
            <w:tcW w:w="0" w:type="auto"/>
            <w:hideMark/>
          </w:tcPr>
          <w:p w14:paraId="34A7EBF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1.0</w:t>
            </w:r>
          </w:p>
        </w:tc>
        <w:tc>
          <w:tcPr>
            <w:tcW w:w="0" w:type="auto"/>
            <w:hideMark/>
          </w:tcPr>
          <w:p w14:paraId="2914DD1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1.2</w:t>
            </w:r>
          </w:p>
        </w:tc>
        <w:tc>
          <w:tcPr>
            <w:tcW w:w="0" w:type="auto"/>
            <w:hideMark/>
          </w:tcPr>
          <w:p w14:paraId="2071A9B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1.3</w:t>
            </w:r>
          </w:p>
        </w:tc>
        <w:tc>
          <w:tcPr>
            <w:tcW w:w="0" w:type="auto"/>
            <w:hideMark/>
          </w:tcPr>
          <w:p w14:paraId="4387E74F"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1.1</w:t>
            </w:r>
          </w:p>
        </w:tc>
        <w:tc>
          <w:tcPr>
            <w:tcW w:w="0" w:type="auto"/>
            <w:hideMark/>
          </w:tcPr>
          <w:p w14:paraId="4FC18CC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4F42884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0.9-1.1</w:t>
            </w:r>
          </w:p>
        </w:tc>
      </w:tr>
      <w:tr w:rsidR="00AB16EB" w:rsidRPr="00AB16EB" w14:paraId="2F1C964E" w14:textId="77777777" w:rsidTr="009D790F">
        <w:tc>
          <w:tcPr>
            <w:tcW w:w="0" w:type="auto"/>
            <w:hideMark/>
          </w:tcPr>
          <w:p w14:paraId="477D5D5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WBC</w:t>
            </w:r>
          </w:p>
        </w:tc>
        <w:tc>
          <w:tcPr>
            <w:tcW w:w="0" w:type="auto"/>
            <w:hideMark/>
          </w:tcPr>
          <w:p w14:paraId="2F7314A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6.8</w:t>
            </w:r>
          </w:p>
        </w:tc>
        <w:tc>
          <w:tcPr>
            <w:tcW w:w="0" w:type="auto"/>
            <w:hideMark/>
          </w:tcPr>
          <w:p w14:paraId="6CECCF3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7.2</w:t>
            </w:r>
          </w:p>
        </w:tc>
        <w:tc>
          <w:tcPr>
            <w:tcW w:w="0" w:type="auto"/>
            <w:hideMark/>
          </w:tcPr>
          <w:p w14:paraId="53D57A4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 xml:space="preserve">11.5 (on </w:t>
            </w:r>
            <w:proofErr w:type="spellStart"/>
            <w:r w:rsidRPr="00AB16EB">
              <w:rPr>
                <w:rFonts w:ascii="Arial" w:eastAsia="Times New Roman" w:hAnsi="Arial" w:cs="Arial"/>
                <w:color w:val="000000"/>
                <w:kern w:val="0"/>
                <w:lang w:eastAsia="de-DE"/>
                <w14:ligatures w14:val="none"/>
              </w:rPr>
              <w:t>steroids</w:t>
            </w:r>
            <w:proofErr w:type="spellEnd"/>
            <w:r w:rsidRPr="00AB16EB">
              <w:rPr>
                <w:rFonts w:ascii="Arial" w:eastAsia="Times New Roman" w:hAnsi="Arial" w:cs="Arial"/>
                <w:color w:val="000000"/>
                <w:kern w:val="0"/>
                <w:lang w:eastAsia="de-DE"/>
                <w14:ligatures w14:val="none"/>
              </w:rPr>
              <w:t>)</w:t>
            </w:r>
          </w:p>
        </w:tc>
        <w:tc>
          <w:tcPr>
            <w:tcW w:w="0" w:type="auto"/>
            <w:hideMark/>
          </w:tcPr>
          <w:p w14:paraId="3FC173E0"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12.8</w:t>
            </w:r>
          </w:p>
        </w:tc>
        <w:tc>
          <w:tcPr>
            <w:tcW w:w="0" w:type="auto"/>
            <w:hideMark/>
          </w:tcPr>
          <w:p w14:paraId="7B87300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 10^9/L</w:t>
            </w:r>
          </w:p>
        </w:tc>
        <w:tc>
          <w:tcPr>
            <w:tcW w:w="0" w:type="auto"/>
            <w:hideMark/>
          </w:tcPr>
          <w:p w14:paraId="0C4ADD6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4.0-11.0</w:t>
            </w:r>
          </w:p>
        </w:tc>
      </w:tr>
      <w:tr w:rsidR="00AB16EB" w:rsidRPr="00AB16EB" w14:paraId="6D5B2BEB" w14:textId="77777777" w:rsidTr="009D790F">
        <w:tc>
          <w:tcPr>
            <w:tcW w:w="0" w:type="auto"/>
            <w:hideMark/>
          </w:tcPr>
          <w:p w14:paraId="76BEF8A9"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Hemoglobin</w:t>
            </w:r>
            <w:proofErr w:type="spellEnd"/>
          </w:p>
        </w:tc>
        <w:tc>
          <w:tcPr>
            <w:tcW w:w="0" w:type="auto"/>
            <w:hideMark/>
          </w:tcPr>
          <w:p w14:paraId="175672C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11.2</w:t>
            </w:r>
          </w:p>
        </w:tc>
        <w:tc>
          <w:tcPr>
            <w:tcW w:w="0" w:type="auto"/>
            <w:hideMark/>
          </w:tcPr>
          <w:p w14:paraId="6A7E91E9"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10.8</w:t>
            </w:r>
          </w:p>
        </w:tc>
        <w:tc>
          <w:tcPr>
            <w:tcW w:w="0" w:type="auto"/>
            <w:hideMark/>
          </w:tcPr>
          <w:p w14:paraId="14B0926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10.6</w:t>
            </w:r>
          </w:p>
        </w:tc>
        <w:tc>
          <w:tcPr>
            <w:tcW w:w="0" w:type="auto"/>
            <w:hideMark/>
          </w:tcPr>
          <w:p w14:paraId="54EC5AF2" w14:textId="736F4045" w:rsidR="00AB16EB" w:rsidRPr="00AB16EB" w:rsidRDefault="00081019" w:rsidP="0064400F">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10.9</w:t>
            </w:r>
          </w:p>
        </w:tc>
        <w:tc>
          <w:tcPr>
            <w:tcW w:w="0" w:type="auto"/>
            <w:hideMark/>
          </w:tcPr>
          <w:p w14:paraId="0A69C93D"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1759DC0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12.0-16.0 (F)</w:t>
            </w:r>
          </w:p>
        </w:tc>
      </w:tr>
      <w:tr w:rsidR="00AB16EB" w:rsidRPr="00AB16EB" w14:paraId="0C77349F" w14:textId="77777777" w:rsidTr="009D790F">
        <w:tc>
          <w:tcPr>
            <w:tcW w:w="0" w:type="auto"/>
            <w:hideMark/>
          </w:tcPr>
          <w:p w14:paraId="5DB0D0BA"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Platelets</w:t>
            </w:r>
            <w:proofErr w:type="spellEnd"/>
          </w:p>
        </w:tc>
        <w:tc>
          <w:tcPr>
            <w:tcW w:w="0" w:type="auto"/>
            <w:hideMark/>
          </w:tcPr>
          <w:p w14:paraId="6344613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245</w:t>
            </w:r>
          </w:p>
        </w:tc>
        <w:tc>
          <w:tcPr>
            <w:tcW w:w="0" w:type="auto"/>
            <w:hideMark/>
          </w:tcPr>
          <w:p w14:paraId="515329B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262</w:t>
            </w:r>
          </w:p>
        </w:tc>
        <w:tc>
          <w:tcPr>
            <w:tcW w:w="0" w:type="auto"/>
            <w:hideMark/>
          </w:tcPr>
          <w:p w14:paraId="7E733E8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258</w:t>
            </w:r>
          </w:p>
        </w:tc>
        <w:tc>
          <w:tcPr>
            <w:tcW w:w="0" w:type="auto"/>
            <w:hideMark/>
          </w:tcPr>
          <w:p w14:paraId="2633532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280</w:t>
            </w:r>
          </w:p>
        </w:tc>
        <w:tc>
          <w:tcPr>
            <w:tcW w:w="0" w:type="auto"/>
            <w:hideMark/>
          </w:tcPr>
          <w:p w14:paraId="1A0903C4"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 10^9/L</w:t>
            </w:r>
          </w:p>
        </w:tc>
        <w:tc>
          <w:tcPr>
            <w:tcW w:w="0" w:type="auto"/>
            <w:hideMark/>
          </w:tcPr>
          <w:p w14:paraId="66E22375"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150-400</w:t>
            </w:r>
          </w:p>
        </w:tc>
      </w:tr>
      <w:tr w:rsidR="00AB16EB" w:rsidRPr="00AB16EB" w14:paraId="5E02B32D" w14:textId="77777777" w:rsidTr="009D790F">
        <w:tc>
          <w:tcPr>
            <w:tcW w:w="0" w:type="auto"/>
            <w:hideMark/>
          </w:tcPr>
          <w:p w14:paraId="542A6791"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Creatinine</w:t>
            </w:r>
            <w:proofErr w:type="spellEnd"/>
          </w:p>
        </w:tc>
        <w:tc>
          <w:tcPr>
            <w:tcW w:w="0" w:type="auto"/>
            <w:hideMark/>
          </w:tcPr>
          <w:p w14:paraId="79D3FB2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0.8</w:t>
            </w:r>
          </w:p>
        </w:tc>
        <w:tc>
          <w:tcPr>
            <w:tcW w:w="0" w:type="auto"/>
            <w:hideMark/>
          </w:tcPr>
          <w:p w14:paraId="54578420"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0.9</w:t>
            </w:r>
          </w:p>
        </w:tc>
        <w:tc>
          <w:tcPr>
            <w:tcW w:w="0" w:type="auto"/>
            <w:hideMark/>
          </w:tcPr>
          <w:p w14:paraId="3C74A1D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0.9</w:t>
            </w:r>
          </w:p>
        </w:tc>
        <w:tc>
          <w:tcPr>
            <w:tcW w:w="0" w:type="auto"/>
            <w:hideMark/>
          </w:tcPr>
          <w:p w14:paraId="61722D6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0.8</w:t>
            </w:r>
          </w:p>
        </w:tc>
        <w:tc>
          <w:tcPr>
            <w:tcW w:w="0" w:type="auto"/>
            <w:hideMark/>
          </w:tcPr>
          <w:p w14:paraId="74453A0F"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mg/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1ED149A3"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0.5-1.1</w:t>
            </w:r>
          </w:p>
        </w:tc>
      </w:tr>
      <w:tr w:rsidR="00AB16EB" w:rsidRPr="00AB16EB" w14:paraId="77A9348D" w14:textId="77777777" w:rsidTr="009D790F">
        <w:tc>
          <w:tcPr>
            <w:tcW w:w="0" w:type="auto"/>
            <w:hideMark/>
          </w:tcPr>
          <w:p w14:paraId="28A0B1B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Glucose</w:t>
            </w:r>
          </w:p>
        </w:tc>
        <w:tc>
          <w:tcPr>
            <w:tcW w:w="0" w:type="auto"/>
            <w:hideMark/>
          </w:tcPr>
          <w:p w14:paraId="37CDC62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106</w:t>
            </w:r>
          </w:p>
        </w:tc>
        <w:tc>
          <w:tcPr>
            <w:tcW w:w="0" w:type="auto"/>
            <w:hideMark/>
          </w:tcPr>
          <w:p w14:paraId="6C38248E"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115</w:t>
            </w:r>
          </w:p>
        </w:tc>
        <w:tc>
          <w:tcPr>
            <w:tcW w:w="0" w:type="auto"/>
            <w:hideMark/>
          </w:tcPr>
          <w:p w14:paraId="40DF399F"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 xml:space="preserve">210 (on </w:t>
            </w:r>
            <w:proofErr w:type="spellStart"/>
            <w:r w:rsidRPr="00AB16EB">
              <w:rPr>
                <w:rFonts w:ascii="Arial" w:eastAsia="Times New Roman" w:hAnsi="Arial" w:cs="Arial"/>
                <w:color w:val="000000"/>
                <w:kern w:val="0"/>
                <w:lang w:eastAsia="de-DE"/>
                <w14:ligatures w14:val="none"/>
              </w:rPr>
              <w:t>steroids</w:t>
            </w:r>
            <w:proofErr w:type="spellEnd"/>
            <w:r w:rsidRPr="00AB16EB">
              <w:rPr>
                <w:rFonts w:ascii="Arial" w:eastAsia="Times New Roman" w:hAnsi="Arial" w:cs="Arial"/>
                <w:color w:val="000000"/>
                <w:kern w:val="0"/>
                <w:lang w:eastAsia="de-DE"/>
                <w14:ligatures w14:val="none"/>
              </w:rPr>
              <w:t>)</w:t>
            </w:r>
          </w:p>
        </w:tc>
        <w:tc>
          <w:tcPr>
            <w:tcW w:w="0" w:type="auto"/>
            <w:hideMark/>
          </w:tcPr>
          <w:p w14:paraId="4EB2611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185</w:t>
            </w:r>
          </w:p>
        </w:tc>
        <w:tc>
          <w:tcPr>
            <w:tcW w:w="0" w:type="auto"/>
            <w:hideMark/>
          </w:tcPr>
          <w:p w14:paraId="2C440235"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mg/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481563F9"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70-100</w:t>
            </w:r>
          </w:p>
        </w:tc>
      </w:tr>
      <w:tr w:rsidR="00AB16EB" w:rsidRPr="00AB16EB" w14:paraId="1B47274A" w14:textId="77777777" w:rsidTr="009D790F">
        <w:tc>
          <w:tcPr>
            <w:tcW w:w="0" w:type="auto"/>
            <w:hideMark/>
          </w:tcPr>
          <w:p w14:paraId="3151F10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ANA</w:t>
            </w:r>
          </w:p>
        </w:tc>
        <w:tc>
          <w:tcPr>
            <w:tcW w:w="0" w:type="auto"/>
            <w:hideMark/>
          </w:tcPr>
          <w:p w14:paraId="2F991B86"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1FC1A61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630CB17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1:160</w:t>
            </w:r>
          </w:p>
        </w:tc>
        <w:tc>
          <w:tcPr>
            <w:tcW w:w="0" w:type="auto"/>
            <w:hideMark/>
          </w:tcPr>
          <w:p w14:paraId="79011385"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3956C7BC"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titer</w:t>
            </w:r>
            <w:proofErr w:type="spellEnd"/>
          </w:p>
        </w:tc>
        <w:tc>
          <w:tcPr>
            <w:tcW w:w="0" w:type="auto"/>
            <w:hideMark/>
          </w:tcPr>
          <w:p w14:paraId="513938D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&lt;1:40</w:t>
            </w:r>
          </w:p>
        </w:tc>
      </w:tr>
      <w:tr w:rsidR="00AB16EB" w:rsidRPr="00AB16EB" w14:paraId="1ED9F0BC" w14:textId="77777777" w:rsidTr="009D790F">
        <w:tc>
          <w:tcPr>
            <w:tcW w:w="0" w:type="auto"/>
            <w:hideMark/>
          </w:tcPr>
          <w:p w14:paraId="13BB13C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ASMA</w:t>
            </w:r>
          </w:p>
        </w:tc>
        <w:tc>
          <w:tcPr>
            <w:tcW w:w="0" w:type="auto"/>
            <w:hideMark/>
          </w:tcPr>
          <w:p w14:paraId="0AF2A79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1A140DB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0E5F18B9"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1:40</w:t>
            </w:r>
          </w:p>
        </w:tc>
        <w:tc>
          <w:tcPr>
            <w:tcW w:w="0" w:type="auto"/>
            <w:hideMark/>
          </w:tcPr>
          <w:p w14:paraId="7144329E"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6056C731"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titer</w:t>
            </w:r>
            <w:proofErr w:type="spellEnd"/>
          </w:p>
        </w:tc>
        <w:tc>
          <w:tcPr>
            <w:tcW w:w="0" w:type="auto"/>
            <w:hideMark/>
          </w:tcPr>
          <w:p w14:paraId="7C247CF0"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&lt;1:40</w:t>
            </w:r>
          </w:p>
        </w:tc>
      </w:tr>
      <w:tr w:rsidR="00AB16EB" w:rsidRPr="00AB16EB" w14:paraId="5F6BC2A7" w14:textId="77777777" w:rsidTr="009D790F">
        <w:tc>
          <w:tcPr>
            <w:tcW w:w="0" w:type="auto"/>
            <w:hideMark/>
          </w:tcPr>
          <w:p w14:paraId="29F52534"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IgG</w:t>
            </w:r>
            <w:proofErr w:type="spellEnd"/>
          </w:p>
        </w:tc>
        <w:tc>
          <w:tcPr>
            <w:tcW w:w="0" w:type="auto"/>
            <w:hideMark/>
          </w:tcPr>
          <w:p w14:paraId="3CA10B9D"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09476A1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13BCD476"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1250</w:t>
            </w:r>
          </w:p>
        </w:tc>
        <w:tc>
          <w:tcPr>
            <w:tcW w:w="0" w:type="auto"/>
            <w:hideMark/>
          </w:tcPr>
          <w:p w14:paraId="4E2F74E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0DA3B68E"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mg/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5C9F1EC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700-1600</w:t>
            </w:r>
          </w:p>
        </w:tc>
      </w:tr>
    </w:tbl>
    <w:p w14:paraId="1ADD6F74" w14:textId="77777777" w:rsidR="009D790F" w:rsidRPr="0064400F" w:rsidRDefault="009D790F" w:rsidP="0064400F">
      <w:pPr>
        <w:rPr>
          <w:rFonts w:ascii="Arial" w:eastAsia="Times New Roman" w:hAnsi="Arial" w:cs="Arial"/>
          <w:b/>
          <w:bCs/>
          <w:color w:val="000000"/>
          <w:kern w:val="0"/>
          <w:lang w:val="en-US" w:eastAsia="de-DE"/>
          <w14:ligatures w14:val="none"/>
        </w:rPr>
      </w:pPr>
    </w:p>
    <w:p w14:paraId="53B50852" w14:textId="118AF4C9"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Electronically Signed By:</w:t>
      </w:r>
      <w:r w:rsidRPr="00AB16EB">
        <w:rPr>
          <w:rFonts w:ascii="Arial" w:eastAsia="Times New Roman" w:hAnsi="Arial" w:cs="Arial"/>
          <w:color w:val="000000"/>
          <w:kern w:val="0"/>
          <w:lang w:val="en-US" w:eastAsia="de-DE"/>
          <w14:ligatures w14:val="none"/>
        </w:rPr>
        <w:br/>
        <w:t>Dr. A. Nguyen (Medical Oncology)</w:t>
      </w:r>
      <w:r w:rsidRPr="00AB16EB">
        <w:rPr>
          <w:rFonts w:ascii="Arial" w:eastAsia="Times New Roman" w:hAnsi="Arial" w:cs="Arial"/>
          <w:color w:val="000000"/>
          <w:kern w:val="0"/>
          <w:lang w:val="en-US" w:eastAsia="de-DE"/>
          <w14:ligatures w14:val="none"/>
        </w:rPr>
        <w:br/>
        <w:t>Date/Time: 2025-03-27 15:30</w:t>
      </w:r>
    </w:p>
    <w:p w14:paraId="630D24CD"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Dr. S. Goldstein (Hepatology)</w:t>
      </w:r>
      <w:r w:rsidRPr="00AB16EB">
        <w:rPr>
          <w:rFonts w:ascii="Arial" w:eastAsia="Times New Roman" w:hAnsi="Arial" w:cs="Arial"/>
          <w:color w:val="000000"/>
          <w:kern w:val="0"/>
          <w:lang w:val="en-US" w:eastAsia="de-DE"/>
          <w14:ligatures w14:val="none"/>
        </w:rPr>
        <w:br/>
        <w:t>Date/Time: 2025-03-27 13:45</w:t>
      </w:r>
    </w:p>
    <w:p w14:paraId="0A49C5B6"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Dr. R. Martinez (Gastroenterology)</w:t>
      </w:r>
      <w:r w:rsidRPr="00AB16EB">
        <w:rPr>
          <w:rFonts w:ascii="Arial" w:eastAsia="Times New Roman" w:hAnsi="Arial" w:cs="Arial"/>
          <w:color w:val="000000"/>
          <w:kern w:val="0"/>
          <w:lang w:val="en-US" w:eastAsia="de-DE"/>
          <w14:ligatures w14:val="none"/>
        </w:rPr>
        <w:br/>
        <w:t>Date/Time: 2025-03-26 16:15</w:t>
      </w:r>
    </w:p>
    <w:p w14:paraId="3079B634" w14:textId="77777777" w:rsidR="00D756FF" w:rsidRPr="00414C10" w:rsidRDefault="00D756FF" w:rsidP="0064400F">
      <w:pPr>
        <w:rPr>
          <w:rFonts w:ascii="Arial" w:hAnsi="Arial" w:cs="Arial"/>
          <w:lang w:val="en-US"/>
        </w:rPr>
      </w:pPr>
    </w:p>
    <w:sectPr w:rsidR="00D756FF" w:rsidRPr="00414C10"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675"/>
    <w:multiLevelType w:val="multilevel"/>
    <w:tmpl w:val="10AE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73B70"/>
    <w:multiLevelType w:val="multilevel"/>
    <w:tmpl w:val="F00A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B09BF"/>
    <w:multiLevelType w:val="multilevel"/>
    <w:tmpl w:val="2EB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C5255"/>
    <w:multiLevelType w:val="multilevel"/>
    <w:tmpl w:val="B8620D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70E3766"/>
    <w:multiLevelType w:val="multilevel"/>
    <w:tmpl w:val="1824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B7778"/>
    <w:multiLevelType w:val="multilevel"/>
    <w:tmpl w:val="FC6E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44785"/>
    <w:multiLevelType w:val="multilevel"/>
    <w:tmpl w:val="F9C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45CAC"/>
    <w:multiLevelType w:val="multilevel"/>
    <w:tmpl w:val="FAAC3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87A09"/>
    <w:multiLevelType w:val="multilevel"/>
    <w:tmpl w:val="0FC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711B7"/>
    <w:multiLevelType w:val="multilevel"/>
    <w:tmpl w:val="8FC2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B2276"/>
    <w:multiLevelType w:val="multilevel"/>
    <w:tmpl w:val="A7BC7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40602"/>
    <w:multiLevelType w:val="multilevel"/>
    <w:tmpl w:val="6E42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6064B"/>
    <w:multiLevelType w:val="multilevel"/>
    <w:tmpl w:val="434C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857EA"/>
    <w:multiLevelType w:val="multilevel"/>
    <w:tmpl w:val="D632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17AA5"/>
    <w:multiLevelType w:val="multilevel"/>
    <w:tmpl w:val="B8F4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B4632"/>
    <w:multiLevelType w:val="multilevel"/>
    <w:tmpl w:val="4FBE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D2938"/>
    <w:multiLevelType w:val="multilevel"/>
    <w:tmpl w:val="F0BE2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E4A63"/>
    <w:multiLevelType w:val="multilevel"/>
    <w:tmpl w:val="EB70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321A6"/>
    <w:multiLevelType w:val="multilevel"/>
    <w:tmpl w:val="3288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921A9"/>
    <w:multiLevelType w:val="multilevel"/>
    <w:tmpl w:val="04F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1490C"/>
    <w:multiLevelType w:val="multilevel"/>
    <w:tmpl w:val="28F8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514404">
    <w:abstractNumId w:val="7"/>
  </w:num>
  <w:num w:numId="2" w16cid:durableId="648287767">
    <w:abstractNumId w:val="18"/>
  </w:num>
  <w:num w:numId="3" w16cid:durableId="1213007988">
    <w:abstractNumId w:val="3"/>
  </w:num>
  <w:num w:numId="4" w16cid:durableId="623659456">
    <w:abstractNumId w:val="19"/>
  </w:num>
  <w:num w:numId="5" w16cid:durableId="216088927">
    <w:abstractNumId w:val="2"/>
  </w:num>
  <w:num w:numId="6" w16cid:durableId="757286942">
    <w:abstractNumId w:val="8"/>
  </w:num>
  <w:num w:numId="7" w16cid:durableId="64687614">
    <w:abstractNumId w:val="20"/>
  </w:num>
  <w:num w:numId="8" w16cid:durableId="196478392">
    <w:abstractNumId w:val="17"/>
  </w:num>
  <w:num w:numId="9" w16cid:durableId="428696452">
    <w:abstractNumId w:val="5"/>
  </w:num>
  <w:num w:numId="10" w16cid:durableId="217206624">
    <w:abstractNumId w:val="1"/>
  </w:num>
  <w:num w:numId="11" w16cid:durableId="85424100">
    <w:abstractNumId w:val="15"/>
  </w:num>
  <w:num w:numId="12" w16cid:durableId="1307976506">
    <w:abstractNumId w:val="13"/>
  </w:num>
  <w:num w:numId="13" w16cid:durableId="791827982">
    <w:abstractNumId w:val="4"/>
  </w:num>
  <w:num w:numId="14" w16cid:durableId="876892520">
    <w:abstractNumId w:val="6"/>
  </w:num>
  <w:num w:numId="15" w16cid:durableId="1879975418">
    <w:abstractNumId w:val="11"/>
  </w:num>
  <w:num w:numId="16" w16cid:durableId="1133327230">
    <w:abstractNumId w:val="9"/>
  </w:num>
  <w:num w:numId="17" w16cid:durableId="285545049">
    <w:abstractNumId w:val="0"/>
  </w:num>
  <w:num w:numId="18" w16cid:durableId="37509273">
    <w:abstractNumId w:val="10"/>
  </w:num>
  <w:num w:numId="19" w16cid:durableId="689378473">
    <w:abstractNumId w:val="16"/>
  </w:num>
  <w:num w:numId="20" w16cid:durableId="1813937947">
    <w:abstractNumId w:val="12"/>
  </w:num>
  <w:num w:numId="21" w16cid:durableId="10818752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EB"/>
    <w:rsid w:val="00017CBE"/>
    <w:rsid w:val="00022120"/>
    <w:rsid w:val="00027A6A"/>
    <w:rsid w:val="0004430E"/>
    <w:rsid w:val="00047E53"/>
    <w:rsid w:val="000657A5"/>
    <w:rsid w:val="00081019"/>
    <w:rsid w:val="00087681"/>
    <w:rsid w:val="0009523E"/>
    <w:rsid w:val="000C56EF"/>
    <w:rsid w:val="00105E0E"/>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07909"/>
    <w:rsid w:val="00414C10"/>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86A94"/>
    <w:rsid w:val="005A51F5"/>
    <w:rsid w:val="005B042D"/>
    <w:rsid w:val="005D1597"/>
    <w:rsid w:val="005E47DE"/>
    <w:rsid w:val="0064400F"/>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46A1D"/>
    <w:rsid w:val="00956514"/>
    <w:rsid w:val="00962ED6"/>
    <w:rsid w:val="009B5DCE"/>
    <w:rsid w:val="009D0CC7"/>
    <w:rsid w:val="009D790F"/>
    <w:rsid w:val="009E751E"/>
    <w:rsid w:val="00A00306"/>
    <w:rsid w:val="00A111E0"/>
    <w:rsid w:val="00A51369"/>
    <w:rsid w:val="00A60D90"/>
    <w:rsid w:val="00A81BC9"/>
    <w:rsid w:val="00AB16EB"/>
    <w:rsid w:val="00AD64A9"/>
    <w:rsid w:val="00AE6BBC"/>
    <w:rsid w:val="00AF643E"/>
    <w:rsid w:val="00B15C64"/>
    <w:rsid w:val="00B462EF"/>
    <w:rsid w:val="00B56C17"/>
    <w:rsid w:val="00B843CF"/>
    <w:rsid w:val="00BF1DD8"/>
    <w:rsid w:val="00C07BD6"/>
    <w:rsid w:val="00C125F7"/>
    <w:rsid w:val="00C13570"/>
    <w:rsid w:val="00C23BCC"/>
    <w:rsid w:val="00C427BE"/>
    <w:rsid w:val="00C7186C"/>
    <w:rsid w:val="00C767CB"/>
    <w:rsid w:val="00C84D8B"/>
    <w:rsid w:val="00CA7C7F"/>
    <w:rsid w:val="00CB14FE"/>
    <w:rsid w:val="00CB63E7"/>
    <w:rsid w:val="00CE1A53"/>
    <w:rsid w:val="00D037E1"/>
    <w:rsid w:val="00D24C91"/>
    <w:rsid w:val="00D40C2B"/>
    <w:rsid w:val="00D615DF"/>
    <w:rsid w:val="00D756FF"/>
    <w:rsid w:val="00DB5776"/>
    <w:rsid w:val="00DF3E66"/>
    <w:rsid w:val="00E12B11"/>
    <w:rsid w:val="00E51354"/>
    <w:rsid w:val="00E856A7"/>
    <w:rsid w:val="00EA444D"/>
    <w:rsid w:val="00ED2471"/>
    <w:rsid w:val="00EE59E2"/>
    <w:rsid w:val="00EE7B41"/>
    <w:rsid w:val="00F102B6"/>
    <w:rsid w:val="00F54F39"/>
    <w:rsid w:val="00F61953"/>
    <w:rsid w:val="00F773D2"/>
    <w:rsid w:val="00F80AC7"/>
    <w:rsid w:val="00F81160"/>
    <w:rsid w:val="00F84833"/>
    <w:rsid w:val="00FC0CF1"/>
    <w:rsid w:val="00FC136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51D1"/>
  <w14:defaultImageDpi w14:val="32767"/>
  <w15:chartTrackingRefBased/>
  <w15:docId w15:val="{9331E1B0-C3CB-FB40-82D3-98B5FFB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6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AB16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AB16E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AB16E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B16E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AB16E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B16E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B16E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B16E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16EB"/>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AB16E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AB16EB"/>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AB16EB"/>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B16EB"/>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AB16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B16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B16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B16EB"/>
    <w:rPr>
      <w:rFonts w:eastAsiaTheme="majorEastAsia" w:cstheme="majorBidi"/>
      <w:color w:val="272727" w:themeColor="text1" w:themeTint="D8"/>
    </w:rPr>
  </w:style>
  <w:style w:type="paragraph" w:styleId="Titel">
    <w:name w:val="Title"/>
    <w:basedOn w:val="Standard"/>
    <w:next w:val="Standard"/>
    <w:link w:val="TitelZchn"/>
    <w:uiPriority w:val="10"/>
    <w:qFormat/>
    <w:rsid w:val="00AB16E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6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B16E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B16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B16E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B16EB"/>
    <w:rPr>
      <w:i/>
      <w:iCs/>
      <w:color w:val="404040" w:themeColor="text1" w:themeTint="BF"/>
    </w:rPr>
  </w:style>
  <w:style w:type="paragraph" w:styleId="Listenabsatz">
    <w:name w:val="List Paragraph"/>
    <w:basedOn w:val="Standard"/>
    <w:uiPriority w:val="34"/>
    <w:qFormat/>
    <w:rsid w:val="00AB16EB"/>
    <w:pPr>
      <w:ind w:left="720"/>
      <w:contextualSpacing/>
    </w:pPr>
  </w:style>
  <w:style w:type="character" w:styleId="IntensiveHervorhebung">
    <w:name w:val="Intense Emphasis"/>
    <w:basedOn w:val="Absatz-Standardschriftart"/>
    <w:uiPriority w:val="21"/>
    <w:qFormat/>
    <w:rsid w:val="00AB16EB"/>
    <w:rPr>
      <w:i/>
      <w:iCs/>
      <w:color w:val="2F5496" w:themeColor="accent1" w:themeShade="BF"/>
    </w:rPr>
  </w:style>
  <w:style w:type="paragraph" w:styleId="IntensivesZitat">
    <w:name w:val="Intense Quote"/>
    <w:basedOn w:val="Standard"/>
    <w:next w:val="Standard"/>
    <w:link w:val="IntensivesZitatZchn"/>
    <w:uiPriority w:val="30"/>
    <w:qFormat/>
    <w:rsid w:val="00AB16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AB16EB"/>
    <w:rPr>
      <w:i/>
      <w:iCs/>
      <w:color w:val="2F5496" w:themeColor="accent1" w:themeShade="BF"/>
    </w:rPr>
  </w:style>
  <w:style w:type="character" w:styleId="IntensiverVerweis">
    <w:name w:val="Intense Reference"/>
    <w:basedOn w:val="Absatz-Standardschriftart"/>
    <w:uiPriority w:val="32"/>
    <w:qFormat/>
    <w:rsid w:val="00AB16EB"/>
    <w:rPr>
      <w:b/>
      <w:bCs/>
      <w:smallCaps/>
      <w:color w:val="2F5496" w:themeColor="accent1" w:themeShade="BF"/>
      <w:spacing w:val="5"/>
    </w:rPr>
  </w:style>
  <w:style w:type="paragraph" w:styleId="StandardWeb">
    <w:name w:val="Normal (Web)"/>
    <w:basedOn w:val="Standard"/>
    <w:uiPriority w:val="99"/>
    <w:semiHidden/>
    <w:unhideWhenUsed/>
    <w:rsid w:val="00AB16EB"/>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AB16EB"/>
    <w:rPr>
      <w:b/>
      <w:bCs/>
    </w:rPr>
  </w:style>
  <w:style w:type="character" w:customStyle="1" w:styleId="apple-converted-space">
    <w:name w:val="apple-converted-space"/>
    <w:basedOn w:val="Absatz-Standardschriftart"/>
    <w:rsid w:val="00AB16EB"/>
  </w:style>
  <w:style w:type="paragraph" w:customStyle="1" w:styleId="ng-star-inserted">
    <w:name w:val="ng-star-inserted"/>
    <w:basedOn w:val="Standard"/>
    <w:rsid w:val="009D790F"/>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ng-star-inserted1">
    <w:name w:val="ng-star-inserted1"/>
    <w:basedOn w:val="Absatz-Standardschriftart"/>
    <w:rsid w:val="009D790F"/>
  </w:style>
  <w:style w:type="table" w:styleId="Tabellenraster">
    <w:name w:val="Table Grid"/>
    <w:basedOn w:val="NormaleTabelle"/>
    <w:uiPriority w:val="39"/>
    <w:rsid w:val="009D79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76640">
      <w:bodyDiv w:val="1"/>
      <w:marLeft w:val="0"/>
      <w:marRight w:val="0"/>
      <w:marTop w:val="0"/>
      <w:marBottom w:val="0"/>
      <w:divBdr>
        <w:top w:val="none" w:sz="0" w:space="0" w:color="auto"/>
        <w:left w:val="none" w:sz="0" w:space="0" w:color="auto"/>
        <w:bottom w:val="none" w:sz="0" w:space="0" w:color="auto"/>
        <w:right w:val="none" w:sz="0" w:space="0" w:color="auto"/>
      </w:divBdr>
    </w:div>
    <w:div w:id="263654619">
      <w:bodyDiv w:val="1"/>
      <w:marLeft w:val="0"/>
      <w:marRight w:val="0"/>
      <w:marTop w:val="0"/>
      <w:marBottom w:val="0"/>
      <w:divBdr>
        <w:top w:val="none" w:sz="0" w:space="0" w:color="auto"/>
        <w:left w:val="none" w:sz="0" w:space="0" w:color="auto"/>
        <w:bottom w:val="none" w:sz="0" w:space="0" w:color="auto"/>
        <w:right w:val="none" w:sz="0" w:space="0" w:color="auto"/>
      </w:divBdr>
    </w:div>
    <w:div w:id="308218602">
      <w:bodyDiv w:val="1"/>
      <w:marLeft w:val="0"/>
      <w:marRight w:val="0"/>
      <w:marTop w:val="0"/>
      <w:marBottom w:val="0"/>
      <w:divBdr>
        <w:top w:val="none" w:sz="0" w:space="0" w:color="auto"/>
        <w:left w:val="none" w:sz="0" w:space="0" w:color="auto"/>
        <w:bottom w:val="none" w:sz="0" w:space="0" w:color="auto"/>
        <w:right w:val="none" w:sz="0" w:space="0" w:color="auto"/>
      </w:divBdr>
    </w:div>
    <w:div w:id="767118264">
      <w:bodyDiv w:val="1"/>
      <w:marLeft w:val="0"/>
      <w:marRight w:val="0"/>
      <w:marTop w:val="0"/>
      <w:marBottom w:val="0"/>
      <w:divBdr>
        <w:top w:val="none" w:sz="0" w:space="0" w:color="auto"/>
        <w:left w:val="none" w:sz="0" w:space="0" w:color="auto"/>
        <w:bottom w:val="none" w:sz="0" w:space="0" w:color="auto"/>
        <w:right w:val="none" w:sz="0" w:space="0" w:color="auto"/>
      </w:divBdr>
    </w:div>
    <w:div w:id="1247030502">
      <w:bodyDiv w:val="1"/>
      <w:marLeft w:val="0"/>
      <w:marRight w:val="0"/>
      <w:marTop w:val="0"/>
      <w:marBottom w:val="0"/>
      <w:divBdr>
        <w:top w:val="none" w:sz="0" w:space="0" w:color="auto"/>
        <w:left w:val="none" w:sz="0" w:space="0" w:color="auto"/>
        <w:bottom w:val="none" w:sz="0" w:space="0" w:color="auto"/>
        <w:right w:val="none" w:sz="0" w:space="0" w:color="auto"/>
      </w:divBdr>
    </w:div>
    <w:div w:id="212804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1398</Words>
  <Characters>8813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5</cp:revision>
  <dcterms:created xsi:type="dcterms:W3CDTF">2025-04-09T15:52:00Z</dcterms:created>
  <dcterms:modified xsi:type="dcterms:W3CDTF">2025-04-09T15:57:00Z</dcterms:modified>
</cp:coreProperties>
</file>