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6478C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Patient: Terence Fletcher (DOB 1950-04-22) </w:t>
      </w:r>
    </w:p>
    <w:p w14:paraId="5CF1944D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Medical Record Number: 891275 </w:t>
      </w:r>
    </w:p>
    <w:p w14:paraId="50F33083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Date of Admission: 2025-04-01 </w:t>
      </w:r>
    </w:p>
    <w:p w14:paraId="30C375B0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Date of Discharge: 2025-04-08 </w:t>
      </w:r>
    </w:p>
    <w:p w14:paraId="29E3D68E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Admitting Physician: Dr. M. Johnson (Hematology/Oncology) </w:t>
      </w:r>
    </w:p>
    <w:p w14:paraId="10180B3B" w14:textId="5586A7E5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Consulting Physician: Dr. A. Williams (Hematology), Dr. T. Garcia (Nephrology)</w:t>
      </w:r>
    </w:p>
    <w:p w14:paraId="108FAE1E" w14:textId="77777777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5739F6B" w14:textId="77777777" w:rsidR="00AB7161" w:rsidRDefault="00AB7161" w:rsidP="00AB7161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Autoimmune Hemolytic Anemia Secondary to Chronic Lymphocytic Leukemia</w:t>
      </w:r>
    </w:p>
    <w:p w14:paraId="072BB469" w14:textId="77777777" w:rsidR="00AB7161" w:rsidRPr="00AB7161" w:rsidRDefault="00AB7161" w:rsidP="00AB7161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B4FAB05" w14:textId="77777777" w:rsidR="00AB7161" w:rsidRPr="00AB7161" w:rsidRDefault="00AB7161" w:rsidP="00AB7161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Detailed Oncological Diagnosis: </w:t>
      </w:r>
    </w:p>
    <w:p w14:paraId="545BEE83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Chronic Lymphocytic Leukemia (CLL) </w:t>
      </w:r>
    </w:p>
    <w:p w14:paraId="7765BFBB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November 2023 </w:t>
      </w:r>
    </w:p>
    <w:p w14:paraId="4C936C51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Histology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2DC587EE" w14:textId="77777777" w:rsidR="00AB7161" w:rsidRPr="00C737D7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Peripheral blood and bone marrow biopsy (November 2023) showed lymphocytosis with 65% infiltration of small, mature-appearing lymphocytes</w:t>
      </w:r>
    </w:p>
    <w:p w14:paraId="6F6917B0" w14:textId="77777777" w:rsidR="00AB7161" w:rsidRP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Immunophenotyping: CD5+, CD19+, CD20+ (dim), CD23+, CD200+, surface IgM/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IgD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 (dim), kappa light chain restricted</w:t>
      </w:r>
    </w:p>
    <w:p w14:paraId="2F3A6018" w14:textId="77777777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mmunohistochemistry: PAX5+, CD20+, CD5+, CD23+, LEF1+, kappa light chain restriction, CD10-, cyclin D1- • Flow cytometry confirmed clonal B-cell population with the above markers and low expression of CD20 and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sIg.</w:t>
      </w:r>
      <w:proofErr w:type="spellEnd"/>
    </w:p>
    <w:p w14:paraId="16E29009" w14:textId="77777777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Molecular Studies:</w:t>
      </w:r>
    </w:p>
    <w:p w14:paraId="1FE29183" w14:textId="77777777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IGHV mutation status: Unmutated (unfavorable)</w:t>
      </w:r>
    </w:p>
    <w:p w14:paraId="4FD33142" w14:textId="7415A08B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 panel: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del(13q14): Positive in 60% of cells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del(11q): Negative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del(17p)/TP53: Negative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Trisomy 12: Negative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TP53 mutation: Negative</w:t>
      </w:r>
    </w:p>
    <w:p w14:paraId="6D9B9347" w14:textId="025C1737" w:rsidR="00AB7161" w:rsidRP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Cytogenetics: </w:t>
      </w:r>
      <w:proofErr w:type="gram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del(</w:t>
      </w:r>
      <w:proofErr w:type="gram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q14q22) in 50% of metaphases </w:t>
      </w:r>
    </w:p>
    <w:p w14:paraId="2170439F" w14:textId="77777777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 xml:space="preserve">Staging/Risk Stratification: </w:t>
      </w:r>
    </w:p>
    <w:p w14:paraId="335ADF86" w14:textId="623FC5C7" w:rsidR="00AB7161" w:rsidRP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Binet Stage: B (lymphocytosis + 3 areas of lymphoid involvement)</w:t>
      </w:r>
    </w:p>
    <w:p w14:paraId="48704684" w14:textId="4AEC94C6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CLL-IPI Score: </w:t>
      </w:r>
      <w:r w:rsid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 (</w:t>
      </w:r>
      <w:r w:rsidR="00C737D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6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points)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[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Age &gt;65 years (1 point)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Unmutated IGHV (2 points)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Clinical stage Binet B (1 point)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del(17p)/TP53 mutation (0 points)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Beta-2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microglobulin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3.6 mg/L (</w:t>
      </w:r>
      <w:r w:rsidR="00C737D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point</w:t>
      </w:r>
      <w:r w:rsidR="00C737D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&gt;3.5 mg/L)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]</w:t>
      </w:r>
    </w:p>
    <w:p w14:paraId="64C83DE2" w14:textId="3B19E353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Imaging: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scan at diagnosis (November 2023): Cervical, axillary, and inguinal lymphadenopathy (largest node 2.8 cm). Mild splenomegaly (14.5 cm). No hepatomegaly</w:t>
      </w:r>
    </w:p>
    <w:p w14:paraId="28330C09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Laboratory Markers (at diagnosis):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WBC: 68.5 x 10^9/L with 85% </w:t>
      </w:r>
      <w:proofErr w:type="gram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lymphocytes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Absolute</w:t>
      </w:r>
      <w:proofErr w:type="gram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lymphocyte count: 58.2 x 10^9/L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Hemoglobin: 10.8 g/dL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count: 120 x 10^9/L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Beta-2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microglobulin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3.6 mg/L [Reference: &lt;2.0 mg/L]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LDH: 285 U/L (mildly elevated) </w:t>
      </w:r>
    </w:p>
    <w:p w14:paraId="529F9FCE" w14:textId="7301090F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Clinical Presentations at Diagnosis: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Constitutional symptoms: Fatigue, night sweats, weight loss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Lymphadenopathy: Cervical, axillary, and inguinal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Splenomegaly: Mild</w:t>
      </w:r>
      <w:r w:rsid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Anemia: Hemoglobin 10.8 g/dL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evidence of Richter transformation, bulky disease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</w:p>
    <w:p w14:paraId="14F2A5D3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0684E74" w14:textId="326BC562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Treatment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</w:p>
    <w:p w14:paraId="4A0CBCDB" w14:textId="13B8C50A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Management of AIHA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03C7A049" w14:textId="3277A5BC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Prednisone 1 mg/kg/day (80 mg daily) started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April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01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2025</w:t>
      </w:r>
    </w:p>
    <w:p w14:paraId="30607C05" w14:textId="62027CE2" w:rsidR="00AB7161" w:rsidRPr="00DC69A2" w:rsidRDefault="00AB7161" w:rsidP="00DC69A2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Rituximab 375 mg/m² IV (total 700 mg) administered on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April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03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2025</w:t>
      </w:r>
    </w:p>
    <w:p w14:paraId="38260A9C" w14:textId="77777777" w:rsid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Folic acid 1 mg PO daily</w:t>
      </w:r>
    </w:p>
    <w:p w14:paraId="519EFB8B" w14:textId="62F6D558" w:rsidR="00AB7161" w:rsidRPr="00AB7161" w:rsidRDefault="00AB7161" w:rsidP="00AB7161">
      <w:pPr>
        <w:pStyle w:val="Listenabsatz"/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Supportive transfusions (2 units of extended phenotype matched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pRBCs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April 01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2025)</w:t>
      </w:r>
    </w:p>
    <w:p w14:paraId="192F7E66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B9272B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3. History of Oncological Treatment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</w:p>
    <w:p w14:paraId="2C99D3FE" w14:textId="586F693C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Watch and wait strategy: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November 2023 - December 2023</w:t>
      </w:r>
    </w:p>
    <w:p w14:paraId="092B2D24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A94A181" w14:textId="5A2F1065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First-Line Therapy</w:t>
      </w:r>
    </w:p>
    <w:p w14:paraId="48B12614" w14:textId="77777777" w:rsidR="00AB7161" w:rsidRDefault="00AB7161" w:rsidP="005E07CE">
      <w:pPr>
        <w:pStyle w:val="Listenabsatz"/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Treatment initiated due to progressive lymphadenopathy, worsening anemia, and constitutional symptoms</w:t>
      </w:r>
    </w:p>
    <w:p w14:paraId="1E09A081" w14:textId="02E0865D" w:rsidR="00AB7161" w:rsidRDefault="005E07CE" w:rsidP="005E07CE">
      <w:pPr>
        <w:pStyle w:val="Listenabsatz"/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366D9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 PO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BID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started January 2024</w:t>
      </w:r>
    </w:p>
    <w:p w14:paraId="32621D38" w14:textId="77777777" w:rsidR="00AB7161" w:rsidRDefault="00AB7161" w:rsidP="00AB7161">
      <w:pPr>
        <w:pStyle w:val="Listenabsatz"/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Good partial response achieved with reduction in lymphocytosis and lymphadenopathy</w:t>
      </w:r>
    </w:p>
    <w:p w14:paraId="24906240" w14:textId="77777777" w:rsidR="00AB7161" w:rsidRDefault="00AB7161" w:rsidP="00AB7161">
      <w:pPr>
        <w:pStyle w:val="Listenabsatz"/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WBC decreased from 68.5 x 10^9/L to 22.6 x 10^9/L by March 2025</w:t>
      </w:r>
    </w:p>
    <w:p w14:paraId="309F5A2A" w14:textId="037E6FB7" w:rsidR="00AB7161" w:rsidRPr="00AB7161" w:rsidRDefault="00AB7161" w:rsidP="00AB7161">
      <w:pPr>
        <w:pStyle w:val="Listenabsatz"/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previous significant toxicities reported until current AIHA</w:t>
      </w:r>
    </w:p>
    <w:p w14:paraId="2E92729F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FAD69D3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4. </w:t>
      </w: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Comorbidities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410FE970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Malignant Melanoma, left shoulder (2016, Clark level III, Breslow thickness 1.2mm, wide local excision with negative margins, no evidence of recurrence) </w:t>
      </w:r>
    </w:p>
    <w:p w14:paraId="2F072C83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Cholecystectomy (2010) for symptomatic cholelithiasis • Left Total Hip Arthroplasty (2021) for advanced osteoarthritis </w:t>
      </w:r>
    </w:p>
    <w:p w14:paraId="0DB492A3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CABG (2-vessel, 2017) for CAD with 85% occlusion of LAD and 70% occlusion of RCA</w:t>
      </w:r>
    </w:p>
    <w:p w14:paraId="3FB4C467" w14:textId="606A7879" w:rsidR="00F1338F" w:rsidRDefault="00F1338F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</w:t>
      </w:r>
      <w:r w:rsidR="00DA1DE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onic hepatitis B</w:t>
      </w:r>
    </w:p>
    <w:p w14:paraId="5D518B61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Chronic kidney disease stage G2 (eGFR 72 mL/min/1.73m²) </w:t>
      </w:r>
    </w:p>
    <w:p w14:paraId="6075EF5F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GERD with Barrett's Esophagus (surveillance endoscopy due in July 2025) </w:t>
      </w:r>
    </w:p>
    <w:p w14:paraId="16DBDBCA" w14:textId="77777777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Hypothyroidism (post-radioactive iodine ablation for Graves' disease, 2008)</w:t>
      </w:r>
    </w:p>
    <w:p w14:paraId="6C52D239" w14:textId="0FA70E4A" w:rsidR="00AB7161" w:rsidRDefault="00AB7161" w:rsidP="005E07CE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(anaphylaxis), Sulfa drugs (rash), Latex (contact dermatitis)</w:t>
      </w:r>
    </w:p>
    <w:p w14:paraId="71A4FCEB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FDE8F12" w14:textId="77777777" w:rsidR="005E07CE" w:rsidRPr="005E07CE" w:rsidRDefault="00AB7161" w:rsidP="00AB7161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5. </w:t>
      </w:r>
      <w:r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Physical Exam at Admission: </w:t>
      </w:r>
    </w:p>
    <w:p w14:paraId="1AC839B4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General: 74-year-old male appearing pale, fatigued, and mildly jaundiced. In moderate distress. </w:t>
      </w:r>
    </w:p>
    <w:p w14:paraId="463CF3C6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Vitals: BP 145/85 mmHg, HR 102 bpm, RR 20/min, Temp 37.3°C, SpO2 94% on room air. </w:t>
      </w:r>
    </w:p>
    <w:p w14:paraId="3F015572" w14:textId="3137D6EC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HEENT: Scleral icterus present. Oral mucosa pale. Cervical lymphadenopathy bilaterally (1-2 cm nodes). </w:t>
      </w:r>
    </w:p>
    <w:p w14:paraId="3E11F6EB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Cardiovascular: Tachycardic with regular rhythm. Systolic flow murmur (2/6) best heard at the apex. No rubs or gallops. </w:t>
      </w:r>
    </w:p>
    <w:p w14:paraId="23B2BFDB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Respiratory: Lungs clear to auscultation bilaterally. Mild tachypnea. </w:t>
      </w:r>
    </w:p>
    <w:p w14:paraId="3EBB6FE5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Abdomen: Soft, non-tender. Spleen palpable 2 cm below left costal margin. No hepatomegaly. Lymphatic: Bilateral axillary lymphadenopathy (1-2 cm nodes). Bilateral inguinal lymphadenopathy (1-2 cm nodes). </w:t>
      </w:r>
    </w:p>
    <w:p w14:paraId="6DFAB2B9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Extremities: No edema. Mild pallor. No petechiae or purpura. Skin: Mild jaundice. </w:t>
      </w:r>
    </w:p>
    <w:p w14:paraId="2A8A37A5" w14:textId="77777777" w:rsidR="00DC69A2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No rashes. Neurological: Alert and oriented x3. Cranial nerves intact. Motor strength 5/5 in all extremities. No sensory deficits. </w:t>
      </w:r>
    </w:p>
    <w:p w14:paraId="4057D429" w14:textId="4253F927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ECOG Performance Status: 2 (Ambulatory, capable of self-care, unable to work, up and about &gt;50% of waking hours).</w:t>
      </w:r>
    </w:p>
    <w:p w14:paraId="5055D37A" w14:textId="77777777" w:rsid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5788036" w14:textId="77777777" w:rsid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r w:rsidR="00AB7161"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 (Hospital Course Summary):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047301B0" w14:textId="255FC0E9" w:rsidR="00AB7161" w:rsidRPr="00AB7161" w:rsidRDefault="00AB7161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Mr. Fletcher is a 74-year-old male with Chronic Lymphocytic Leukemia diagnosed in November 2023, currently on </w:t>
      </w:r>
      <w:r w:rsid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therapy, who presented with profound fatigue, dizziness, and mild jaundice for 5 days. Laboratory evaluation revealed severe anemia (Hgb 6.2 g/dL), markedly elevated indirect bilirubin, elevated LDH, 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decreased haptoglobin, and a positive direct antiglobulin test (DAT), consistent with warm autoimmune hemolytic anemia, a known complication of CLL.</w:t>
      </w:r>
    </w:p>
    <w:p w14:paraId="321A8A77" w14:textId="77777777" w:rsidR="005E07CE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B1479C7" w14:textId="35977B80" w:rsidR="00AB7161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continued during admission despite the AIHA diagnosis, as discontinuation could potentially cause a CLL flare-up. The hemolysis is most likely related to the underlying CLL rather than the BTK inhibitor therapy, and current evidence suggests continuing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may </w:t>
      </w:r>
      <w:proofErr w:type="gramStart"/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actually help</w:t>
      </w:r>
      <w:proofErr w:type="gramEnd"/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control autoimmune complications. The patient was promptly started on high-dose corticosteroids (prednisone 1 mg/kg/day) and received 2 units of extended phenotype matched </w:t>
      </w:r>
      <w:proofErr w:type="spellStart"/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pRBCs</w:t>
      </w:r>
      <w:proofErr w:type="spellEnd"/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the day of admission, with appropriate premedication. On hospital day 3, rituximab was administered as second-line therapy for AIHA.</w:t>
      </w:r>
    </w:p>
    <w:p w14:paraId="68B667E6" w14:textId="77777777" w:rsidR="005E07CE" w:rsidRPr="00AB7161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B90B403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hemolysis began to stabilize by hospital day 4, with rising hemoglobin (7.6 g/dL), decreasing bilirubin, and decreasing reticulocyte count. The patient's symptoms improved significantly with resolution of dizziness and decreased fatigue. </w:t>
      </w:r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Renal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function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remained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stable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throughout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admission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3D09EF8D" w14:textId="77777777" w:rsidR="005E07CE" w:rsidRPr="00AB7161" w:rsidRDefault="005E07CE" w:rsidP="00AB716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956C66F" w14:textId="0F36A26E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 multi-disciplinary team discussion between hematology-oncology and nephrology concluded that the AIHA was most likely related to the underlying CLL, which is known to have a high incidence of autoimmune </w:t>
      </w:r>
      <w:proofErr w:type="spell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cytopenias</w:t>
      </w:r>
      <w:proofErr w:type="spell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The decision was made to continue </w:t>
      </w:r>
      <w:r w:rsid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 throughout the hospitalization to prevent a potential CLL flare-up that could worsen the AIHA. Recent evidence suggests that BTK inhibitors may </w:t>
      </w:r>
      <w:proofErr w:type="gramStart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actually help</w:t>
      </w:r>
      <w:proofErr w:type="gramEnd"/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 controlling autoimmune phenomena associated with CLL, and discontinuation could potentially lead to rapid disease progression and worsening of autoimmune complications.</w:t>
      </w:r>
    </w:p>
    <w:p w14:paraId="150B8BEF" w14:textId="77777777" w:rsidR="005E07CE" w:rsidRPr="00AB7161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1076705" w14:textId="77777777" w:rsid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discharge, the patient's hemoglobin had stabilized at 8.5 g/dL without additional transfusions, and markers of hemolysis were improving. He was clinically stable and able to ambulate independently, with significantly reduced fatigue.</w:t>
      </w:r>
    </w:p>
    <w:p w14:paraId="74048458" w14:textId="77777777" w:rsidR="005E07CE" w:rsidRPr="00AB7161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2184CCF" w14:textId="77777777" w:rsid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="00AB7161"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Medication at Discharge: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61EA0577" w14:textId="77777777" w:rsidR="005E07CE" w:rsidRDefault="00AB7161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New Medications: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0F2261EF" w14:textId="77777777" w:rsidR="005E07CE" w:rsidRDefault="00AB7161" w:rsidP="005E07CE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Prednisone 80 mg PO daily for 7 days, then taper by 10 mg every 7 days </w:t>
      </w:r>
    </w:p>
    <w:p w14:paraId="2E6E40D1" w14:textId="77777777" w:rsidR="005E07CE" w:rsidRDefault="00AB7161" w:rsidP="005E07CE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Folic acid 1 mg PO daily</w:t>
      </w:r>
    </w:p>
    <w:p w14:paraId="1F91731D" w14:textId="24498F6F" w:rsidR="005E07CE" w:rsidRDefault="00AB7161" w:rsidP="005E07CE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Valacyclovir 500mg PO BID (because of rituximab) </w:t>
      </w:r>
    </w:p>
    <w:p w14:paraId="0641C5AF" w14:textId="77777777" w:rsidR="005E07CE" w:rsidRDefault="00AB7161" w:rsidP="005E07CE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(while on steroids)</w:t>
      </w:r>
    </w:p>
    <w:p w14:paraId="470B2269" w14:textId="2542624B" w:rsidR="00F61EF8" w:rsidRDefault="00AB7161" w:rsidP="00F61EF8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Calcium carbonate 600 mg + Vitamin D 400 IU PO BID (while on steroids) </w:t>
      </w:r>
    </w:p>
    <w:p w14:paraId="679C6BB2" w14:textId="406AB0BA" w:rsidR="00F61EF8" w:rsidRDefault="00F61EF8" w:rsidP="00F61EF8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Famotidine 20 mg PO (taken </w:t>
      </w:r>
      <w:r w:rsidR="00C737D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10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hours before or </w:t>
      </w:r>
      <w:r w:rsidR="00C737D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hours after Acalabrutinib)</w:t>
      </w:r>
    </w:p>
    <w:p w14:paraId="7F29E5C0" w14:textId="77777777" w:rsidR="00F61EF8" w:rsidRDefault="00F61EF8" w:rsidP="00AB7161">
      <w:pPr>
        <w:rPr>
          <w:rFonts w:ascii="Helvetica Neue" w:hAnsi="Helvetica Neue"/>
          <w:color w:val="1A1C1E"/>
          <w:sz w:val="21"/>
          <w:szCs w:val="21"/>
          <w:lang w:val="en-US"/>
        </w:rPr>
      </w:pPr>
    </w:p>
    <w:p w14:paraId="3ACDE7A3" w14:textId="6F2BD226" w:rsidR="005E07CE" w:rsidRPr="005E07CE" w:rsidRDefault="00AB7161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Continued Medications:</w:t>
      </w:r>
    </w:p>
    <w:p w14:paraId="5CF4911C" w14:textId="77777777" w:rsidR="005E07CE" w:rsidRDefault="005E07CE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 100 mg PO BID (continued during hospitalization to prevent CLL flare-up)</w:t>
      </w:r>
    </w:p>
    <w:p w14:paraId="39E095D6" w14:textId="77777777" w:rsidR="00DC69A2" w:rsidRDefault="00AB7161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Levothyroxine 88 mcg PO daily (take 1 hour before breakfast)</w:t>
      </w:r>
    </w:p>
    <w:p w14:paraId="19C406A2" w14:textId="5F116871" w:rsidR="005E07CE" w:rsidRDefault="00AB7161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Metoprolol succinate 50 mg PO daily (for CAD) </w:t>
      </w:r>
    </w:p>
    <w:p w14:paraId="5CA8AF0C" w14:textId="77777777" w:rsidR="005E07CE" w:rsidRDefault="00AB7161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Atorvastatin 40 mg PO daily (for CAD) </w:t>
      </w:r>
    </w:p>
    <w:p w14:paraId="2D746A8D" w14:textId="77777777" w:rsidR="005E07CE" w:rsidRDefault="00AB7161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Aspirin 81 mg PO daily (for CAD) </w:t>
      </w:r>
    </w:p>
    <w:p w14:paraId="145C0169" w14:textId="2647D99F" w:rsidR="00AB7161" w:rsidRDefault="00AB7161" w:rsidP="00AB7161">
      <w:pPr>
        <w:pStyle w:val="Listenabsatz"/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</w:t>
      </w:r>
    </w:p>
    <w:p w14:paraId="552446B0" w14:textId="77777777" w:rsidR="00C45896" w:rsidRDefault="00C45896" w:rsidP="00C4589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18F5646" w14:textId="1DBBD734" w:rsidR="00C45896" w:rsidRDefault="00C45896" w:rsidP="00C4589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Stopped</w:t>
      </w: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 xml:space="preserve"> Medications:</w:t>
      </w:r>
    </w:p>
    <w:p w14:paraId="7C1F2304" w14:textId="0BD829CE" w:rsidR="00C45896" w:rsidRPr="00C45896" w:rsidRDefault="00C45896" w:rsidP="00C45896">
      <w:pPr>
        <w:pStyle w:val="Listenabsatz"/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(due to interaction with Acalabrutinib)</w:t>
      </w:r>
    </w:p>
    <w:p w14:paraId="134F002E" w14:textId="77777777" w:rsid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E6B5B01" w14:textId="77777777" w:rsid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 xml:space="preserve">8. </w:t>
      </w:r>
      <w:r w:rsidR="00AB7161"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Further Procedure / Follow-up:</w:t>
      </w:r>
      <w:r w:rsidR="00AB7161"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41AE7B73" w14:textId="77777777" w:rsidR="005E07CE" w:rsidRDefault="00AB7161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Hematology/Oncology Follow-up: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75AB8835" w14:textId="6DEBEED5" w:rsidR="005E07CE" w:rsidRDefault="00AB7161" w:rsidP="005E07CE">
      <w:pPr>
        <w:pStyle w:val="Listenabsatz"/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Follow up with Dr. </w:t>
      </w:r>
      <w:r w:rsidR="00C4589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</w:t>
      </w:r>
      <w:r w:rsidR="00F61EF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Johnson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 1 week (April </w:t>
      </w:r>
      <w:r w:rsidR="00366D9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15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2025) for clinical assessment, hemolysis parameters, and CBC</w:t>
      </w:r>
    </w:p>
    <w:p w14:paraId="5E1C6D38" w14:textId="77777777" w:rsidR="005E07CE" w:rsidRDefault="00AB7161" w:rsidP="005E07CE">
      <w:pPr>
        <w:pStyle w:val="Listenabsatz"/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reticulocyte count, LDH, and bilirubin until AIHA resolves</w:t>
      </w:r>
    </w:p>
    <w:p w14:paraId="28AEC7A4" w14:textId="50A17BEF" w:rsidR="00AB7161" w:rsidRPr="005E07CE" w:rsidRDefault="00AB7161" w:rsidP="005E07CE">
      <w:pPr>
        <w:pStyle w:val="Listenabsatz"/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 to assess CLL disease burden in 2 weeks</w:t>
      </w:r>
    </w:p>
    <w:p w14:paraId="6EEBD228" w14:textId="77777777" w:rsidR="005E07CE" w:rsidRPr="005E07CE" w:rsidRDefault="005E07CE" w:rsidP="00AB7161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07F0980F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Recommendations</w:t>
      </w: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</w:p>
    <w:p w14:paraId="12DC88C6" w14:textId="4F0209E3" w:rsidR="005E07CE" w:rsidRDefault="00AB7161" w:rsidP="005E07CE">
      <w:pPr>
        <w:pStyle w:val="Listenabsatz"/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Continue weekly rituximab infusions (375 mg/m²) for a total of 4 doses, next dose scheduled for </w:t>
      </w:r>
      <w:r w:rsidR="00366D9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April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DC69A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10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</w:t>
      </w:r>
      <w:r w:rsidR="00366D9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gramStart"/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2025</w:t>
      </w:r>
      <w:proofErr w:type="gramEnd"/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 outpatient clinic</w:t>
      </w:r>
    </w:p>
    <w:p w14:paraId="3BC012D8" w14:textId="77777777" w:rsidR="005E07CE" w:rsidRDefault="00AB7161" w:rsidP="005E07CE">
      <w:pPr>
        <w:pStyle w:val="Listenabsatz"/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Follow prednisone taper schedule strictly </w:t>
      </w:r>
    </w:p>
    <w:p w14:paraId="4B22B22A" w14:textId="77777777" w:rsidR="005E07CE" w:rsidRDefault="00AB7161" w:rsidP="005E07CE">
      <w:pPr>
        <w:pStyle w:val="Listenabsatz"/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Monitor blood glucose 3 times daily while on high-dose steroids </w:t>
      </w:r>
    </w:p>
    <w:p w14:paraId="747B16FB" w14:textId="1A0EF6E7" w:rsidR="00AB7161" w:rsidRDefault="00AB7161" w:rsidP="005E07CE">
      <w:pPr>
        <w:pStyle w:val="Listenabsatz"/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Continue </w:t>
      </w:r>
      <w:r w:rsidR="005E07CE"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</w:t>
      </w:r>
      <w:r w:rsidRPr="005E07C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 without interruption while monitoring for any signs of increased hemolysis or bleeding</w:t>
      </w:r>
    </w:p>
    <w:p w14:paraId="2FA88376" w14:textId="77777777" w:rsidR="00DC69A2" w:rsidRDefault="00DC69A2" w:rsidP="00DC69A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5EC3EA3" w14:textId="487F6882" w:rsidR="00DC69A2" w:rsidRDefault="00DC69A2" w:rsidP="00DC69A2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DC69A2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Patient education</w:t>
      </w:r>
    </w:p>
    <w:p w14:paraId="0DFDD85D" w14:textId="77777777" w:rsidR="00DC69A2" w:rsidRPr="00DC69A2" w:rsidRDefault="00DC69A2" w:rsidP="00DC69A2">
      <w:pPr>
        <w:pStyle w:val="ng-star-inserted"/>
        <w:numPr>
          <w:ilvl w:val="0"/>
          <w:numId w:val="23"/>
        </w:numPr>
        <w:spacing w:before="0" w:beforeAutospacing="0" w:after="0" w:afterAutospacing="0" w:line="20" w:lineRule="atLeast"/>
        <w:rPr>
          <w:rStyle w:val="ng-star-inserted1"/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Bleeding:</w:t>
      </w:r>
      <w:r w:rsidRPr="00DC69A2">
        <w:rPr>
          <w:rStyle w:val="apple-converted-space"/>
          <w:rFonts w:ascii="Arial" w:eastAsiaTheme="majorEastAsia" w:hAnsi="Arial" w:cs="Arial"/>
          <w:color w:val="1A1C1E"/>
          <w:lang w:val="en-US"/>
        </w:rPr>
        <w:t> </w:t>
      </w: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 xml:space="preserve">(Increased risk from Acalabrutinib + Aspirin + Prednisone) </w:t>
      </w:r>
    </w:p>
    <w:p w14:paraId="4642DD3A" w14:textId="72F3CC9F" w:rsidR="00DC69A2" w:rsidRPr="00DC69A2" w:rsidRDefault="00DC69A2" w:rsidP="00DC69A2">
      <w:pPr>
        <w:pStyle w:val="ng-star-inserted"/>
        <w:numPr>
          <w:ilvl w:val="1"/>
          <w:numId w:val="23"/>
        </w:numPr>
        <w:spacing w:before="0" w:beforeAutospacing="0" w:after="0" w:afterAutospacing="0" w:line="20" w:lineRule="atLeast"/>
        <w:rPr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Report unusual bruising, black/bloody stool, vomiting blood/coffee grounds, severe headache/dizziness.</w:t>
      </w:r>
      <w:r w:rsidRPr="00DC69A2">
        <w:rPr>
          <w:rStyle w:val="apple-converted-space"/>
          <w:rFonts w:ascii="Arial" w:eastAsiaTheme="majorEastAsia" w:hAnsi="Arial" w:cs="Arial"/>
          <w:color w:val="1A1C1E"/>
          <w:lang w:val="en-US"/>
        </w:rPr>
        <w:t> </w:t>
      </w: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Go to ER for serious bleeding.</w:t>
      </w:r>
    </w:p>
    <w:p w14:paraId="798F35C6" w14:textId="77777777" w:rsidR="00DC69A2" w:rsidRPr="00DC69A2" w:rsidRDefault="00DC69A2" w:rsidP="00DC69A2">
      <w:pPr>
        <w:pStyle w:val="ng-star-inserted"/>
        <w:numPr>
          <w:ilvl w:val="0"/>
          <w:numId w:val="23"/>
        </w:numPr>
        <w:spacing w:before="0" w:beforeAutospacing="0" w:after="0" w:afterAutospacing="0" w:line="20" w:lineRule="atLeast"/>
        <w:rPr>
          <w:rStyle w:val="ng-star-inserted1"/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Infection:</w:t>
      </w:r>
      <w:r w:rsidRPr="00DC69A2">
        <w:rPr>
          <w:rStyle w:val="apple-converted-space"/>
          <w:rFonts w:ascii="Arial" w:eastAsiaTheme="majorEastAsia" w:hAnsi="Arial" w:cs="Arial"/>
          <w:color w:val="1A1C1E"/>
          <w:lang w:val="en-US"/>
        </w:rPr>
        <w:t> </w:t>
      </w: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 xml:space="preserve">(Increased risk from CLL/Treatments) </w:t>
      </w:r>
    </w:p>
    <w:p w14:paraId="48529DDB" w14:textId="6CDD1C2F" w:rsidR="00DC69A2" w:rsidRPr="00DC69A2" w:rsidRDefault="00DC69A2" w:rsidP="00DC69A2">
      <w:pPr>
        <w:pStyle w:val="ng-star-inserted"/>
        <w:numPr>
          <w:ilvl w:val="1"/>
          <w:numId w:val="23"/>
        </w:numPr>
        <w:spacing w:before="0" w:beforeAutospacing="0" w:after="0" w:afterAutospacing="0" w:line="20" w:lineRule="atLeast"/>
        <w:rPr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Report fever &gt; 100.4°F (38°C), chills, new cough, shortness of breath, burning urination.</w:t>
      </w:r>
      <w:r w:rsidRPr="00DC69A2">
        <w:rPr>
          <w:rStyle w:val="apple-converted-space"/>
          <w:rFonts w:ascii="Arial" w:eastAsiaTheme="majorEastAsia" w:hAnsi="Arial" w:cs="Arial"/>
          <w:color w:val="1A1C1E"/>
          <w:lang w:val="en-US"/>
        </w:rPr>
        <w:t> </w:t>
      </w: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Call clinic immediately if fever occurs.</w:t>
      </w:r>
    </w:p>
    <w:p w14:paraId="0691F8C2" w14:textId="77777777" w:rsidR="00DC69A2" w:rsidRPr="00DC69A2" w:rsidRDefault="00DC69A2" w:rsidP="00DC69A2">
      <w:pPr>
        <w:pStyle w:val="ng-star-inserted"/>
        <w:numPr>
          <w:ilvl w:val="0"/>
          <w:numId w:val="23"/>
        </w:numPr>
        <w:spacing w:before="0" w:beforeAutospacing="0" w:after="0" w:afterAutospacing="0" w:line="20" w:lineRule="atLeast"/>
        <w:rPr>
          <w:rStyle w:val="apple-converted-space"/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Worsening Anemia:</w:t>
      </w:r>
      <w:r w:rsidRPr="00DC69A2">
        <w:rPr>
          <w:rStyle w:val="apple-converted-space"/>
          <w:rFonts w:ascii="Arial" w:eastAsiaTheme="majorEastAsia" w:hAnsi="Arial" w:cs="Arial"/>
          <w:color w:val="1A1C1E"/>
          <w:lang w:val="en-US"/>
        </w:rPr>
        <w:t> </w:t>
      </w:r>
    </w:p>
    <w:p w14:paraId="0A339600" w14:textId="060EF321" w:rsidR="00DC69A2" w:rsidRPr="00DC69A2" w:rsidRDefault="00DC69A2" w:rsidP="00DC69A2">
      <w:pPr>
        <w:pStyle w:val="ng-star-inserted"/>
        <w:numPr>
          <w:ilvl w:val="1"/>
          <w:numId w:val="23"/>
        </w:numPr>
        <w:spacing w:before="0" w:beforeAutospacing="0" w:after="0" w:afterAutospacing="0" w:line="20" w:lineRule="atLeast"/>
        <w:rPr>
          <w:rFonts w:ascii="Arial" w:hAnsi="Arial" w:cs="Arial"/>
          <w:color w:val="1A1C1E"/>
          <w:lang w:val="en-US"/>
        </w:rPr>
      </w:pPr>
      <w:r w:rsidRPr="00DC69A2">
        <w:rPr>
          <w:rStyle w:val="ng-star-inserted1"/>
          <w:rFonts w:ascii="Arial" w:eastAsiaTheme="majorEastAsia" w:hAnsi="Arial" w:cs="Arial"/>
          <w:color w:val="1A1C1E"/>
          <w:lang w:val="en-US"/>
        </w:rPr>
        <w:t>Report increased fatigue, dizziness, shortness of breath, pale/yellow skin.</w:t>
      </w:r>
    </w:p>
    <w:p w14:paraId="584AEF2E" w14:textId="77777777" w:rsidR="00DC69A2" w:rsidRPr="00DC69A2" w:rsidRDefault="00DC69A2" w:rsidP="00DC69A2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1545A42C" w14:textId="77777777" w:rsidR="005E07CE" w:rsidRPr="005E07CE" w:rsidRDefault="005E07CE" w:rsidP="005E07C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40724BF" w14:textId="4B7D592D" w:rsidR="005E07CE" w:rsidRPr="00AB7161" w:rsidRDefault="005E07CE" w:rsidP="005E07CE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C69A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9. </w:t>
      </w:r>
      <w:r w:rsidR="00AB7161" w:rsidRPr="00AB716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(Excerpt):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3"/>
        <w:gridCol w:w="1833"/>
        <w:gridCol w:w="1767"/>
        <w:gridCol w:w="1817"/>
        <w:gridCol w:w="1646"/>
      </w:tblGrid>
      <w:tr w:rsidR="00DC69A2" w:rsidRPr="00AB7161" w14:paraId="2AFD68C7" w14:textId="77777777" w:rsidTr="005E07CE">
        <w:tc>
          <w:tcPr>
            <w:tcW w:w="0" w:type="auto"/>
            <w:hideMark/>
          </w:tcPr>
          <w:p w14:paraId="3DF6D367" w14:textId="77777777" w:rsidR="00AB7161" w:rsidRPr="00AB7161" w:rsidRDefault="00AB7161" w:rsidP="00AB71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4118FBDF" w14:textId="41317259" w:rsidR="00AB7161" w:rsidRPr="00AB7161" w:rsidRDefault="00AB7161" w:rsidP="00AB71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</w:t>
            </w:r>
            <w:r w:rsidR="00DC69A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4</w:t>
            </w: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/</w:t>
            </w:r>
            <w:r w:rsidR="00DC69A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1</w:t>
            </w: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/2025)</w:t>
            </w:r>
          </w:p>
        </w:tc>
        <w:tc>
          <w:tcPr>
            <w:tcW w:w="0" w:type="auto"/>
            <w:hideMark/>
          </w:tcPr>
          <w:p w14:paraId="7683719A" w14:textId="551EAB47" w:rsidR="00AB7161" w:rsidRPr="00AB7161" w:rsidRDefault="00AB7161" w:rsidP="00AB71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</w:t>
            </w:r>
            <w:r w:rsidR="00DC69A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4</w:t>
            </w: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/</w:t>
            </w:r>
            <w:r w:rsidR="00DC69A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8</w:t>
            </w: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/2025)</w:t>
            </w:r>
          </w:p>
        </w:tc>
        <w:tc>
          <w:tcPr>
            <w:tcW w:w="0" w:type="auto"/>
            <w:hideMark/>
          </w:tcPr>
          <w:p w14:paraId="2BAA07C0" w14:textId="77777777" w:rsidR="00AB7161" w:rsidRPr="00AB7161" w:rsidRDefault="00AB7161" w:rsidP="00AB71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34F80C52" w14:textId="77777777" w:rsidR="00AB7161" w:rsidRPr="00AB7161" w:rsidRDefault="00AB7161" w:rsidP="00AB71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DC69A2" w:rsidRPr="00AB7161" w14:paraId="4D335FDC" w14:textId="77777777" w:rsidTr="005E07CE">
        <w:tc>
          <w:tcPr>
            <w:tcW w:w="0" w:type="auto"/>
            <w:hideMark/>
          </w:tcPr>
          <w:p w14:paraId="56A95C9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3A5276A2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6.2</w:t>
            </w:r>
          </w:p>
        </w:tc>
        <w:tc>
          <w:tcPr>
            <w:tcW w:w="0" w:type="auto"/>
            <w:hideMark/>
          </w:tcPr>
          <w:p w14:paraId="089DF3E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2EA2B09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25DA29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DC69A2" w:rsidRPr="00AB7161" w14:paraId="6634C4A4" w14:textId="77777777" w:rsidTr="005E07CE">
        <w:tc>
          <w:tcPr>
            <w:tcW w:w="0" w:type="auto"/>
            <w:hideMark/>
          </w:tcPr>
          <w:p w14:paraId="46F14F1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Hematocrit</w:t>
            </w:r>
            <w:proofErr w:type="spellEnd"/>
          </w:p>
        </w:tc>
        <w:tc>
          <w:tcPr>
            <w:tcW w:w="0" w:type="auto"/>
            <w:hideMark/>
          </w:tcPr>
          <w:p w14:paraId="32731857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18.5</w:t>
            </w:r>
          </w:p>
        </w:tc>
        <w:tc>
          <w:tcPr>
            <w:tcW w:w="0" w:type="auto"/>
            <w:hideMark/>
          </w:tcPr>
          <w:p w14:paraId="0479A14B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25.3</w:t>
            </w:r>
          </w:p>
        </w:tc>
        <w:tc>
          <w:tcPr>
            <w:tcW w:w="0" w:type="auto"/>
            <w:hideMark/>
          </w:tcPr>
          <w:p w14:paraId="492D6C0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6E9506D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41-50 (M)</w:t>
            </w:r>
          </w:p>
        </w:tc>
      </w:tr>
      <w:tr w:rsidR="00DC69A2" w:rsidRPr="00AB7161" w14:paraId="126FA251" w14:textId="77777777" w:rsidTr="005E07CE">
        <w:tc>
          <w:tcPr>
            <w:tcW w:w="0" w:type="auto"/>
            <w:hideMark/>
          </w:tcPr>
          <w:p w14:paraId="1168B38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MCV</w:t>
            </w:r>
          </w:p>
        </w:tc>
        <w:tc>
          <w:tcPr>
            <w:tcW w:w="0" w:type="auto"/>
            <w:hideMark/>
          </w:tcPr>
          <w:p w14:paraId="78BCF83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048C626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18A8CBD6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fL</w:t>
            </w:r>
            <w:proofErr w:type="spellEnd"/>
          </w:p>
        </w:tc>
        <w:tc>
          <w:tcPr>
            <w:tcW w:w="0" w:type="auto"/>
            <w:hideMark/>
          </w:tcPr>
          <w:p w14:paraId="1EA09B3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80-100</w:t>
            </w:r>
          </w:p>
        </w:tc>
      </w:tr>
      <w:tr w:rsidR="00DC69A2" w:rsidRPr="00AB7161" w14:paraId="7DB4AD64" w14:textId="77777777" w:rsidTr="005E07CE">
        <w:tc>
          <w:tcPr>
            <w:tcW w:w="0" w:type="auto"/>
            <w:hideMark/>
          </w:tcPr>
          <w:p w14:paraId="5FB2B146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6547BEF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22.6</w:t>
            </w:r>
          </w:p>
        </w:tc>
        <w:tc>
          <w:tcPr>
            <w:tcW w:w="0" w:type="auto"/>
            <w:hideMark/>
          </w:tcPr>
          <w:p w14:paraId="0C750EB4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25.8</w:t>
            </w:r>
          </w:p>
        </w:tc>
        <w:tc>
          <w:tcPr>
            <w:tcW w:w="0" w:type="auto"/>
            <w:hideMark/>
          </w:tcPr>
          <w:p w14:paraId="01C1B92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7FE7E12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DC69A2" w:rsidRPr="00AB7161" w14:paraId="209603F9" w14:textId="77777777" w:rsidTr="005E07CE">
        <w:tc>
          <w:tcPr>
            <w:tcW w:w="0" w:type="auto"/>
            <w:hideMark/>
          </w:tcPr>
          <w:p w14:paraId="176CD695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4570D25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144246FF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4DAA73FC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1F30721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20-40</w:t>
            </w:r>
          </w:p>
        </w:tc>
      </w:tr>
      <w:tr w:rsidR="00DC69A2" w:rsidRPr="00AB7161" w14:paraId="0C979375" w14:textId="77777777" w:rsidTr="005E07CE">
        <w:tc>
          <w:tcPr>
            <w:tcW w:w="0" w:type="auto"/>
            <w:hideMark/>
          </w:tcPr>
          <w:p w14:paraId="3623279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ALC</w:t>
            </w:r>
          </w:p>
        </w:tc>
        <w:tc>
          <w:tcPr>
            <w:tcW w:w="0" w:type="auto"/>
            <w:hideMark/>
          </w:tcPr>
          <w:p w14:paraId="7DB2DEA3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19.2</w:t>
            </w:r>
          </w:p>
        </w:tc>
        <w:tc>
          <w:tcPr>
            <w:tcW w:w="0" w:type="auto"/>
            <w:hideMark/>
          </w:tcPr>
          <w:p w14:paraId="52140D0C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21.2</w:t>
            </w:r>
          </w:p>
        </w:tc>
        <w:tc>
          <w:tcPr>
            <w:tcW w:w="0" w:type="auto"/>
            <w:hideMark/>
          </w:tcPr>
          <w:p w14:paraId="66456C8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1061A22F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</w:t>
            </w:r>
          </w:p>
        </w:tc>
      </w:tr>
      <w:tr w:rsidR="00DC69A2" w:rsidRPr="00AB7161" w14:paraId="7E545361" w14:textId="77777777" w:rsidTr="005E07CE">
        <w:tc>
          <w:tcPr>
            <w:tcW w:w="0" w:type="auto"/>
            <w:hideMark/>
          </w:tcPr>
          <w:p w14:paraId="2E00B3B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6BFA4C03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7C43109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125</w:t>
            </w:r>
          </w:p>
        </w:tc>
        <w:tc>
          <w:tcPr>
            <w:tcW w:w="0" w:type="auto"/>
            <w:hideMark/>
          </w:tcPr>
          <w:p w14:paraId="33DF5FB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1B67F5FB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DC69A2" w:rsidRPr="00AB7161" w14:paraId="32B36CAC" w14:textId="77777777" w:rsidTr="005E07CE">
        <w:tc>
          <w:tcPr>
            <w:tcW w:w="0" w:type="auto"/>
            <w:hideMark/>
          </w:tcPr>
          <w:p w14:paraId="040FAF1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Reticulocytes</w:t>
            </w:r>
            <w:proofErr w:type="spellEnd"/>
          </w:p>
        </w:tc>
        <w:tc>
          <w:tcPr>
            <w:tcW w:w="0" w:type="auto"/>
            <w:hideMark/>
          </w:tcPr>
          <w:p w14:paraId="68BCF32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12.5</w:t>
            </w:r>
          </w:p>
        </w:tc>
        <w:tc>
          <w:tcPr>
            <w:tcW w:w="0" w:type="auto"/>
            <w:hideMark/>
          </w:tcPr>
          <w:p w14:paraId="33C7F07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185FBC0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2BBDFD84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0.5-2.5</w:t>
            </w:r>
          </w:p>
        </w:tc>
      </w:tr>
      <w:tr w:rsidR="00DC69A2" w:rsidRPr="00AB7161" w14:paraId="1901C7FB" w14:textId="77777777" w:rsidTr="005E07CE">
        <w:tc>
          <w:tcPr>
            <w:tcW w:w="0" w:type="auto"/>
            <w:hideMark/>
          </w:tcPr>
          <w:p w14:paraId="285CD36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0C271D3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845</w:t>
            </w:r>
          </w:p>
        </w:tc>
        <w:tc>
          <w:tcPr>
            <w:tcW w:w="0" w:type="auto"/>
            <w:hideMark/>
          </w:tcPr>
          <w:p w14:paraId="5398980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480</w:t>
            </w:r>
          </w:p>
        </w:tc>
        <w:tc>
          <w:tcPr>
            <w:tcW w:w="0" w:type="auto"/>
            <w:hideMark/>
          </w:tcPr>
          <w:p w14:paraId="200E191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57E5768C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</w:t>
            </w:r>
          </w:p>
        </w:tc>
      </w:tr>
      <w:tr w:rsidR="00DC69A2" w:rsidRPr="00AB7161" w14:paraId="077F67CC" w14:textId="77777777" w:rsidTr="005E07CE">
        <w:tc>
          <w:tcPr>
            <w:tcW w:w="0" w:type="auto"/>
            <w:hideMark/>
          </w:tcPr>
          <w:p w14:paraId="7461A9F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61C27B5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7D038AC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2.6</w:t>
            </w:r>
          </w:p>
        </w:tc>
        <w:tc>
          <w:tcPr>
            <w:tcW w:w="0" w:type="auto"/>
            <w:hideMark/>
          </w:tcPr>
          <w:p w14:paraId="0BEF048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B8C7C0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0.2-1.2</w:t>
            </w:r>
          </w:p>
        </w:tc>
      </w:tr>
      <w:tr w:rsidR="00DC69A2" w:rsidRPr="00AB7161" w14:paraId="751685D9" w14:textId="77777777" w:rsidTr="005E07CE">
        <w:tc>
          <w:tcPr>
            <w:tcW w:w="0" w:type="auto"/>
            <w:hideMark/>
          </w:tcPr>
          <w:p w14:paraId="3DBDC09F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Bilirubin</w:t>
            </w:r>
          </w:p>
        </w:tc>
        <w:tc>
          <w:tcPr>
            <w:tcW w:w="0" w:type="auto"/>
            <w:hideMark/>
          </w:tcPr>
          <w:p w14:paraId="3393607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37E9754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1243E9E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271DC1F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</w:t>
            </w:r>
          </w:p>
        </w:tc>
      </w:tr>
      <w:tr w:rsidR="00DC69A2" w:rsidRPr="00AB7161" w14:paraId="5C67BC7F" w14:textId="77777777" w:rsidTr="005E07CE">
        <w:tc>
          <w:tcPr>
            <w:tcW w:w="0" w:type="auto"/>
            <w:hideMark/>
          </w:tcPr>
          <w:p w14:paraId="7C19C7F2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Haptoglobin</w:t>
            </w:r>
          </w:p>
        </w:tc>
        <w:tc>
          <w:tcPr>
            <w:tcW w:w="0" w:type="auto"/>
            <w:hideMark/>
          </w:tcPr>
          <w:p w14:paraId="04188155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</w:t>
            </w:r>
          </w:p>
        </w:tc>
        <w:tc>
          <w:tcPr>
            <w:tcW w:w="0" w:type="auto"/>
            <w:hideMark/>
          </w:tcPr>
          <w:p w14:paraId="3B265B7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98ED56B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79E3BC6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30-200</w:t>
            </w:r>
          </w:p>
        </w:tc>
      </w:tr>
      <w:tr w:rsidR="00DC69A2" w:rsidRPr="00AB7161" w14:paraId="3D534B7D" w14:textId="77777777" w:rsidTr="005E07CE">
        <w:tc>
          <w:tcPr>
            <w:tcW w:w="0" w:type="auto"/>
            <w:hideMark/>
          </w:tcPr>
          <w:p w14:paraId="12B73C5D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1A9388A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28EEA32C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5F6986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041F4A6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0.5-1.1</w:t>
            </w:r>
          </w:p>
        </w:tc>
      </w:tr>
      <w:tr w:rsidR="00DC69A2" w:rsidRPr="00AB7161" w14:paraId="137F6367" w14:textId="77777777" w:rsidTr="005E07CE">
        <w:tc>
          <w:tcPr>
            <w:tcW w:w="0" w:type="auto"/>
            <w:hideMark/>
          </w:tcPr>
          <w:p w14:paraId="3F83C351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3CE8CA26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499FF7D5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18F39307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  <w:tc>
          <w:tcPr>
            <w:tcW w:w="0" w:type="auto"/>
            <w:hideMark/>
          </w:tcPr>
          <w:p w14:paraId="535C358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&gt;90</w:t>
            </w:r>
          </w:p>
        </w:tc>
      </w:tr>
      <w:tr w:rsidR="00DC69A2" w:rsidRPr="00AB7161" w14:paraId="51EAF6E6" w14:textId="77777777" w:rsidTr="005E07CE">
        <w:tc>
          <w:tcPr>
            <w:tcW w:w="0" w:type="auto"/>
            <w:hideMark/>
          </w:tcPr>
          <w:p w14:paraId="19151F97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Antiglobulin Test</w:t>
            </w:r>
          </w:p>
        </w:tc>
        <w:tc>
          <w:tcPr>
            <w:tcW w:w="0" w:type="auto"/>
            <w:hideMark/>
          </w:tcPr>
          <w:p w14:paraId="5A69AE08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346625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E38747B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6D985B3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  <w:tr w:rsidR="00DC69A2" w:rsidRPr="00AB7161" w14:paraId="2FD66490" w14:textId="77777777" w:rsidTr="005E07CE">
        <w:tc>
          <w:tcPr>
            <w:tcW w:w="0" w:type="auto"/>
            <w:hideMark/>
          </w:tcPr>
          <w:p w14:paraId="3E0EAB5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Blood Glucose</w:t>
            </w:r>
          </w:p>
        </w:tc>
        <w:tc>
          <w:tcPr>
            <w:tcW w:w="0" w:type="auto"/>
            <w:hideMark/>
          </w:tcPr>
          <w:p w14:paraId="53D04E5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795A7E13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1FA3A5A0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415B53A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70-100</w:t>
            </w:r>
          </w:p>
        </w:tc>
      </w:tr>
      <w:tr w:rsidR="00DC69A2" w:rsidRPr="00AB7161" w14:paraId="3F25B4D1" w14:textId="77777777" w:rsidTr="005E07CE">
        <w:tc>
          <w:tcPr>
            <w:tcW w:w="0" w:type="auto"/>
            <w:hideMark/>
          </w:tcPr>
          <w:p w14:paraId="4EDCB0C5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TSH</w:t>
            </w:r>
          </w:p>
        </w:tc>
        <w:tc>
          <w:tcPr>
            <w:tcW w:w="0" w:type="auto"/>
            <w:hideMark/>
          </w:tcPr>
          <w:p w14:paraId="037641D9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6AC8D1DC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527CF52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mIU</w:t>
            </w:r>
            <w:proofErr w:type="spellEnd"/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  <w:tc>
          <w:tcPr>
            <w:tcW w:w="0" w:type="auto"/>
            <w:hideMark/>
          </w:tcPr>
          <w:p w14:paraId="534953EE" w14:textId="77777777" w:rsidR="00AB7161" w:rsidRPr="00AB7161" w:rsidRDefault="00AB7161" w:rsidP="00AB716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AB716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0.4-4.0</w:t>
            </w:r>
          </w:p>
        </w:tc>
      </w:tr>
    </w:tbl>
    <w:p w14:paraId="05C3967F" w14:textId="77777777" w:rsidR="005E07CE" w:rsidRDefault="005E07CE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FAB2580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Electronically Signed By: </w:t>
      </w:r>
    </w:p>
    <w:p w14:paraId="6DF35E6E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Dr. M. Johnson (Hematology/Oncology) Date/Time: 2025-04-08 15:30 </w:t>
      </w:r>
    </w:p>
    <w:p w14:paraId="75F9EA74" w14:textId="77777777" w:rsidR="005E07CE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Dr. A. Williams (Hematology) Date/Time: 2025-04-08 14:20 </w:t>
      </w:r>
    </w:p>
    <w:p w14:paraId="24968A39" w14:textId="2C7A96DA" w:rsidR="00AB7161" w:rsidRPr="00AB7161" w:rsidRDefault="00AB7161" w:rsidP="00AB716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B716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T. Garcia (Nephrology) Date/Time: 2025-04-08 13:45</w:t>
      </w:r>
    </w:p>
    <w:p w14:paraId="026C6719" w14:textId="77777777" w:rsidR="00D851BA" w:rsidRPr="00AB7161" w:rsidRDefault="00D851BA" w:rsidP="00AB7161">
      <w:pPr>
        <w:rPr>
          <w:rFonts w:ascii="Arial" w:hAnsi="Arial" w:cs="Arial"/>
          <w:lang w:val="en-US"/>
        </w:rPr>
      </w:pPr>
    </w:p>
    <w:sectPr w:rsidR="00D851BA" w:rsidRPr="00AB7161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28F"/>
    <w:multiLevelType w:val="multilevel"/>
    <w:tmpl w:val="F7CE60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850BF"/>
    <w:multiLevelType w:val="hybridMultilevel"/>
    <w:tmpl w:val="C7A0C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9EC"/>
    <w:multiLevelType w:val="multilevel"/>
    <w:tmpl w:val="4B2401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D6EA2"/>
    <w:multiLevelType w:val="multilevel"/>
    <w:tmpl w:val="205E2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C698C"/>
    <w:multiLevelType w:val="multilevel"/>
    <w:tmpl w:val="DB6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35561"/>
    <w:multiLevelType w:val="hybridMultilevel"/>
    <w:tmpl w:val="71B48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2567"/>
    <w:multiLevelType w:val="hybridMultilevel"/>
    <w:tmpl w:val="14520B3A"/>
    <w:lvl w:ilvl="0" w:tplc="1054A2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239CB"/>
    <w:multiLevelType w:val="hybridMultilevel"/>
    <w:tmpl w:val="AE72D188"/>
    <w:lvl w:ilvl="0" w:tplc="1054A2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102C3"/>
    <w:multiLevelType w:val="multilevel"/>
    <w:tmpl w:val="3E0C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A34C1"/>
    <w:multiLevelType w:val="hybridMultilevel"/>
    <w:tmpl w:val="009E2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E38D6"/>
    <w:multiLevelType w:val="hybridMultilevel"/>
    <w:tmpl w:val="630C4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806B0"/>
    <w:multiLevelType w:val="hybridMultilevel"/>
    <w:tmpl w:val="A0D0D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A2843"/>
    <w:multiLevelType w:val="multilevel"/>
    <w:tmpl w:val="B73896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A4DDE"/>
    <w:multiLevelType w:val="hybridMultilevel"/>
    <w:tmpl w:val="7D965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E06DE"/>
    <w:multiLevelType w:val="multilevel"/>
    <w:tmpl w:val="20FCB7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576AA1"/>
    <w:multiLevelType w:val="multilevel"/>
    <w:tmpl w:val="F89C27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500A8"/>
    <w:multiLevelType w:val="multilevel"/>
    <w:tmpl w:val="A64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C602B"/>
    <w:multiLevelType w:val="hybridMultilevel"/>
    <w:tmpl w:val="951007A8"/>
    <w:lvl w:ilvl="0" w:tplc="1054A2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04134"/>
    <w:multiLevelType w:val="multilevel"/>
    <w:tmpl w:val="30E417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A707DE"/>
    <w:multiLevelType w:val="multilevel"/>
    <w:tmpl w:val="0A5E01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ED598B"/>
    <w:multiLevelType w:val="multilevel"/>
    <w:tmpl w:val="F762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27231"/>
    <w:multiLevelType w:val="hybridMultilevel"/>
    <w:tmpl w:val="33247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D501C"/>
    <w:multiLevelType w:val="hybridMultilevel"/>
    <w:tmpl w:val="1FC63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A2D06"/>
    <w:multiLevelType w:val="multilevel"/>
    <w:tmpl w:val="E17601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85558">
    <w:abstractNumId w:val="20"/>
  </w:num>
  <w:num w:numId="2" w16cid:durableId="678628816">
    <w:abstractNumId w:val="3"/>
  </w:num>
  <w:num w:numId="3" w16cid:durableId="451636709">
    <w:abstractNumId w:val="2"/>
  </w:num>
  <w:num w:numId="4" w16cid:durableId="1674801843">
    <w:abstractNumId w:val="14"/>
  </w:num>
  <w:num w:numId="5" w16cid:durableId="751239248">
    <w:abstractNumId w:val="23"/>
  </w:num>
  <w:num w:numId="6" w16cid:durableId="428358518">
    <w:abstractNumId w:val="15"/>
  </w:num>
  <w:num w:numId="7" w16cid:durableId="1088887192">
    <w:abstractNumId w:val="8"/>
  </w:num>
  <w:num w:numId="8" w16cid:durableId="2129932873">
    <w:abstractNumId w:val="4"/>
  </w:num>
  <w:num w:numId="9" w16cid:durableId="1327244597">
    <w:abstractNumId w:val="18"/>
  </w:num>
  <w:num w:numId="10" w16cid:durableId="405618036">
    <w:abstractNumId w:val="12"/>
  </w:num>
  <w:num w:numId="11" w16cid:durableId="1523934297">
    <w:abstractNumId w:val="19"/>
  </w:num>
  <w:num w:numId="12" w16cid:durableId="1317300773">
    <w:abstractNumId w:val="0"/>
  </w:num>
  <w:num w:numId="13" w16cid:durableId="564990643">
    <w:abstractNumId w:val="17"/>
  </w:num>
  <w:num w:numId="14" w16cid:durableId="1273440342">
    <w:abstractNumId w:val="7"/>
  </w:num>
  <w:num w:numId="15" w16cid:durableId="1792744923">
    <w:abstractNumId w:val="6"/>
  </w:num>
  <w:num w:numId="16" w16cid:durableId="2010137302">
    <w:abstractNumId w:val="13"/>
  </w:num>
  <w:num w:numId="17" w16cid:durableId="1925063637">
    <w:abstractNumId w:val="1"/>
  </w:num>
  <w:num w:numId="18" w16cid:durableId="785002047">
    <w:abstractNumId w:val="21"/>
  </w:num>
  <w:num w:numId="19" w16cid:durableId="476073055">
    <w:abstractNumId w:val="10"/>
  </w:num>
  <w:num w:numId="20" w16cid:durableId="1179006421">
    <w:abstractNumId w:val="22"/>
  </w:num>
  <w:num w:numId="21" w16cid:durableId="963117693">
    <w:abstractNumId w:val="11"/>
  </w:num>
  <w:num w:numId="22" w16cid:durableId="1329363868">
    <w:abstractNumId w:val="16"/>
  </w:num>
  <w:num w:numId="23" w16cid:durableId="708453368">
    <w:abstractNumId w:val="5"/>
  </w:num>
  <w:num w:numId="24" w16cid:durableId="564295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61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0D2F68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6D9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07CE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B7161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45896"/>
    <w:rsid w:val="00C7186C"/>
    <w:rsid w:val="00C737D7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851BA"/>
    <w:rsid w:val="00DA1DE7"/>
    <w:rsid w:val="00DB5776"/>
    <w:rsid w:val="00DC69A2"/>
    <w:rsid w:val="00DF3E66"/>
    <w:rsid w:val="00E12B11"/>
    <w:rsid w:val="00E51354"/>
    <w:rsid w:val="00E856A7"/>
    <w:rsid w:val="00EA444D"/>
    <w:rsid w:val="00ED2471"/>
    <w:rsid w:val="00EE59E2"/>
    <w:rsid w:val="00F102B6"/>
    <w:rsid w:val="00F1338F"/>
    <w:rsid w:val="00F54F39"/>
    <w:rsid w:val="00F61953"/>
    <w:rsid w:val="00F61EF8"/>
    <w:rsid w:val="00F773D2"/>
    <w:rsid w:val="00F80AC7"/>
    <w:rsid w:val="00F81160"/>
    <w:rsid w:val="00F84833"/>
    <w:rsid w:val="00FB4B89"/>
    <w:rsid w:val="00FC1467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D889C"/>
  <w14:defaultImageDpi w14:val="32767"/>
  <w15:chartTrackingRefBased/>
  <w15:docId w15:val="{080E2E16-08F1-F543-907B-0141D865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7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7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7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7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7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71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71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71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71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7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7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716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716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71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71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71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71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71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71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7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71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71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71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716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7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716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7161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B71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5E0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Standard"/>
    <w:rsid w:val="00DC69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ng-star-inserted1">
    <w:name w:val="ng-star-inserted1"/>
    <w:basedOn w:val="Absatz-Standardschriftart"/>
    <w:rsid w:val="00DC69A2"/>
  </w:style>
  <w:style w:type="character" w:customStyle="1" w:styleId="apple-converted-space">
    <w:name w:val="apple-converted-space"/>
    <w:basedOn w:val="Absatz-Standardschriftart"/>
    <w:rsid w:val="00DC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1350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cp:lastPrinted>2025-04-11T20:27:00Z</cp:lastPrinted>
  <dcterms:created xsi:type="dcterms:W3CDTF">2025-04-09T16:17:00Z</dcterms:created>
  <dcterms:modified xsi:type="dcterms:W3CDTF">2025-04-11T20:27:00Z</dcterms:modified>
</cp:coreProperties>
</file>