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0D659" w14:textId="2B73544F" w:rsidR="0067179B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Martin Gallagher</w:t>
      </w:r>
      <w:r w:rsidR="0086708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(DOB 1956-01-10)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Medical Record Number: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589742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Admission: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2024-02-19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Date of Discharge: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2024-02-2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Admitting Physician: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S. Blackwell (Hematology/Oncology)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Consulting Physician: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Dr. T. Reid (Nephrology)</w:t>
      </w:r>
    </w:p>
    <w:p w14:paraId="215D8F5F" w14:textId="2AD6AB75" w:rsidR="00BA684C" w:rsidRPr="0067179B" w:rsidRDefault="00BA684C" w:rsidP="00BA684C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 Chronic Lymphocytic Leukemia with Laboratory Tumor Lysis Syndrome after Cycle 1, Day </w:t>
      </w:r>
      <w:r w:rsidR="0097779B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4</w:t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of Obinutuzumab</w:t>
      </w:r>
    </w:p>
    <w:p w14:paraId="180F5C12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D51E3F7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1. Detailed Oncological Diagnosis:</w:t>
      </w:r>
    </w:p>
    <w:p w14:paraId="69A333E6" w14:textId="4154271D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Primary Diagnosis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Chronic Lymphocytic Leukemia (</w:t>
      </w:r>
      <w:r w:rsid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B-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CLL), Binet Stage B.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Date of Initial Diagnosis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 January 5, 2024.</w:t>
      </w:r>
    </w:p>
    <w:p w14:paraId="350AEF19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Histology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Immunophenotype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F83652D" w14:textId="77777777" w:rsidR="00BA684C" w:rsidRPr="00BA684C" w:rsidRDefault="00BA684C" w:rsidP="00BA684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Peripheral blood flow cytometry (January 2024): CD5+, CD19+, CD20+ (dim), CD23+, CD200+, lambda light chain restriction. </w:t>
      </w: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CD38- (10% positive), ZAP-70- (12% positive).</w:t>
      </w:r>
    </w:p>
    <w:p w14:paraId="6ECD5A0B" w14:textId="77777777" w:rsidR="00BA684C" w:rsidRPr="00BA684C" w:rsidRDefault="00BA684C" w:rsidP="00BA684C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Bone marrow biopsy (January 2024): 45% infiltration by CLL cells with a nodular and interstitial pattern.</w:t>
      </w:r>
    </w:p>
    <w:p w14:paraId="57044B03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Genetic/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Molecular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Profile</w:t>
      </w: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5ABE8509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FISH: Deletion 13q14 (55% of cells), no other abnormalities detected.</w:t>
      </w:r>
    </w:p>
    <w:p w14:paraId="5A028708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Cytogenetics: </w:t>
      </w:r>
      <w:proofErr w:type="gram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,del(</w:t>
      </w:r>
      <w:proofErr w:type="gram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q14q</w:t>
      </w:r>
      <w:proofErr w:type="gram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22)[</w:t>
      </w:r>
      <w:proofErr w:type="gram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12]/</w:t>
      </w:r>
      <w:proofErr w:type="gram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[8]</w:t>
      </w:r>
    </w:p>
    <w:p w14:paraId="2E0312CD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IGHV mutation status: Mutated (92.6% homology to germline)</w:t>
      </w:r>
    </w:p>
    <w:p w14:paraId="46F51498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TP53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4323E80E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NOTCH1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538A3CF2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SF3B1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mutation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Negative</w:t>
      </w:r>
    </w:p>
    <w:p w14:paraId="79510446" w14:textId="77777777" w:rsidR="00BA684C" w:rsidRPr="00BA684C" w:rsidRDefault="00BA684C" w:rsidP="00BA684C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Complex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karyotype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No</w:t>
      </w:r>
      <w:proofErr w:type="spellEnd"/>
    </w:p>
    <w:p w14:paraId="341DF501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Risk Assessment</w:t>
      </w: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7C4CFFB3" w14:textId="2F4CD60F" w:rsidR="00BA684C" w:rsidRPr="00BA684C" w:rsidRDefault="00BA684C" w:rsidP="00BA684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CLL-IPI Score: </w:t>
      </w:r>
      <w:r w:rsidR="002D3C45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="0067179B" w:rsidRP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(</w:t>
      </w:r>
      <w:r w:rsidR="00B14B4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intermediate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risk) - </w:t>
      </w:r>
      <w:r w:rsidR="0067179B" w:rsidRP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Binet B</w:t>
      </w:r>
      <w:r w:rsid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(+1)</w:t>
      </w:r>
      <w:r w:rsidR="0067179B" w:rsidRP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</w:t>
      </w:r>
      <w:r w:rsidR="0067179B"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="0067179B"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2-microglobulin: 3.6 mg</w:t>
      </w:r>
      <w:r w:rsid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(+2)</w:t>
      </w:r>
      <w:r w:rsidR="00865614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</w:p>
    <w:p w14:paraId="14799CE4" w14:textId="77777777" w:rsidR="00BA684C" w:rsidRPr="00BA684C" w:rsidRDefault="00BA684C" w:rsidP="00BA684C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Treatment indicators: Progressive lymphadenopathy, progressive lymphocytosis, fatigue impacting quality of life</w:t>
      </w:r>
    </w:p>
    <w:p w14:paraId="18849D90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Disease Burden at Treatment Initiation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329D62C6" w14:textId="5F5D326F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WBC: </w:t>
      </w:r>
      <w:r w:rsidR="003C61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9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6.8 x 10^9/L with 85% lymphocytes (absolute lymphocyte count </w:t>
      </w:r>
      <w:r w:rsidR="003C61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82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.</w:t>
      </w:r>
      <w:r w:rsidR="003C6146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x 10^9/L)</w:t>
      </w:r>
    </w:p>
    <w:p w14:paraId="5AE30804" w14:textId="77777777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12.5 g/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2B7633C" w14:textId="77777777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115 x 10^9/L</w:t>
      </w:r>
    </w:p>
    <w:p w14:paraId="6066D035" w14:textId="77777777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Lymphadenopathy: Multiple enlarged lymph nodes, largest 3.8 cm in left axilla</w:t>
      </w:r>
    </w:p>
    <w:p w14:paraId="634E722B" w14:textId="77777777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Splenomegaly: Spleen tip palpable 2 cm below left costal margin</w:t>
      </w:r>
    </w:p>
    <w:p w14:paraId="537ED18F" w14:textId="77777777" w:rsidR="00BA684C" w:rsidRP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β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2-microglobulin: 3.6 mg/L (mildly elevated)</w:t>
      </w:r>
    </w:p>
    <w:p w14:paraId="433A310B" w14:textId="77777777" w:rsidR="00BA684C" w:rsidRDefault="00BA684C" w:rsidP="00BA684C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LDH: 280 U/L (mildly elevated)</w:t>
      </w:r>
    </w:p>
    <w:p w14:paraId="002E79E0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A784186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2. Current Oncological Treatment:</w:t>
      </w:r>
    </w:p>
    <w:p w14:paraId="627672F1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Regimen</w:t>
      </w: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 Obinutuzumab +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(first-line therapy)</w:t>
      </w:r>
    </w:p>
    <w:p w14:paraId="75246967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Treatment Schedule (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Planned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):</w:t>
      </w:r>
    </w:p>
    <w:p w14:paraId="10EC9D2A" w14:textId="77777777" w:rsidR="00BA684C" w:rsidRPr="00BA684C" w:rsidRDefault="00BA684C" w:rsidP="00BA684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60561AC4" w14:textId="77777777" w:rsidR="00BA684C" w:rsidRPr="00BA684C" w:rsidRDefault="00BA684C" w:rsidP="00BA684C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1, Day 1: 100 mg IV (February 16, 2024)</w:t>
      </w:r>
    </w:p>
    <w:p w14:paraId="624DA81E" w14:textId="77777777" w:rsidR="00BA684C" w:rsidRPr="00BA684C" w:rsidRDefault="00BA684C" w:rsidP="00BA684C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1, Day 2: 900 mg IV (February 17, 2024)</w:t>
      </w:r>
    </w:p>
    <w:p w14:paraId="58377BB6" w14:textId="38F32986" w:rsidR="00BA684C" w:rsidRPr="00BA684C" w:rsidRDefault="00BA684C" w:rsidP="00BA684C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1, Day 8: 1000 mg IV (February 23, 2024)</w:t>
      </w:r>
    </w:p>
    <w:p w14:paraId="6391D5C6" w14:textId="77777777" w:rsidR="00BA684C" w:rsidRPr="00BA684C" w:rsidRDefault="00BA684C" w:rsidP="00BA684C">
      <w:pPr>
        <w:numPr>
          <w:ilvl w:val="1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Cycle 1, Day 15: 1000 mg IV (planned March 1, 2024)</w:t>
      </w:r>
    </w:p>
    <w:p w14:paraId="6CC2F2E8" w14:textId="77777777" w:rsidR="00BA684C" w:rsidRDefault="00BA684C" w:rsidP="00BA684C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Venetoclax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5-week ramp-up schedule intended to start on Day 22 of Cycle 1 (planned March 8, 2024)</w:t>
      </w:r>
    </w:p>
    <w:p w14:paraId="439D7053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0DED904A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Completed Treatment Prior to Admission:</w:t>
      </w:r>
    </w:p>
    <w:p w14:paraId="6DC530D6" w14:textId="77777777" w:rsidR="00BA684C" w:rsidRPr="00BA684C" w:rsidRDefault="00BA684C" w:rsidP="00BA684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Obinutuzumab: Successfully administered 100 mg on Day 1 (February 16, 2024) and 900 mg on Day 2 (February 17, 2024)</w:t>
      </w:r>
    </w:p>
    <w:p w14:paraId="40EF664C" w14:textId="77777777" w:rsidR="00BA684C" w:rsidRDefault="00BA684C" w:rsidP="00BA684C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Infusion reactions: Grade 1 during Day 1 (mild fever and chills) managed with temporary infusion rate reduction and additional acetaminophen</w:t>
      </w:r>
    </w:p>
    <w:p w14:paraId="1865615A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B34424F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Tumor Lysis Syndrome Prophylaxis (Prior to Admission):</w:t>
      </w:r>
    </w:p>
    <w:p w14:paraId="5EE09C3A" w14:textId="77777777" w:rsidR="00BA684C" w:rsidRPr="00BA684C" w:rsidRDefault="00BA684C" w:rsidP="00BA684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Allopurinol 300 mg PO daily (started 72 hours prior to first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dose)</w:t>
      </w:r>
    </w:p>
    <w:p w14:paraId="69D63A81" w14:textId="77777777" w:rsidR="00BA684C" w:rsidRPr="00BA684C" w:rsidRDefault="00BA684C" w:rsidP="00BA684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IV hydration (2 L/day) administered during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infusions</w:t>
      </w:r>
    </w:p>
    <w:p w14:paraId="5A8F541C" w14:textId="77777777" w:rsidR="00BA684C" w:rsidRPr="00BA684C" w:rsidRDefault="00BA684C" w:rsidP="00BA684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Outpatient administration of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extended monitoring</w:t>
      </w:r>
    </w:p>
    <w:p w14:paraId="479A8991" w14:textId="77777777" w:rsidR="00BA684C" w:rsidRPr="00BA684C" w:rsidRDefault="00BA684C" w:rsidP="00BA684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Laboratory monitoring with daily electrolytes, LDH, and uric acid for 48 hours post-infusion</w:t>
      </w:r>
    </w:p>
    <w:p w14:paraId="0E9C5FE3" w14:textId="77777777" w:rsidR="00BA684C" w:rsidRDefault="00BA684C" w:rsidP="00BA684C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Patient education on oral hydration (goal 2-3 L/day)</w:t>
      </w:r>
    </w:p>
    <w:p w14:paraId="3634DF6D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01743A2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3. History of Oncological Treatment:</w:t>
      </w:r>
    </w:p>
    <w:p w14:paraId="378A7239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Previous Therapy: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 None. Obinutuzumab +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is first-line therapy.</w:t>
      </w:r>
    </w:p>
    <w:p w14:paraId="22632BD9" w14:textId="77777777" w:rsidR="0067179B" w:rsidRPr="0067760A" w:rsidRDefault="0067179B" w:rsidP="00BA684C">
      <w:pPr>
        <w:outlineLvl w:val="1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08F9EBD" w14:textId="4F4EF0ED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:</w:t>
      </w:r>
    </w:p>
    <w:p w14:paraId="50C9B2DE" w14:textId="77777777" w:rsidR="00BA684C" w:rsidRPr="00BA684C" w:rsidRDefault="00BA684C" w:rsidP="00BA684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Hypertension (diagnosed 2012, well-controlled on amlodipine)</w:t>
      </w:r>
    </w:p>
    <w:p w14:paraId="64DFD260" w14:textId="77777777" w:rsidR="00BA684C" w:rsidRPr="00BA684C" w:rsidRDefault="00BA684C" w:rsidP="00BA684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Type 2 Diabetes Mellitus (diagnosed 2018, diet-controlled, HbA1c 6.7%)</w:t>
      </w:r>
    </w:p>
    <w:p w14:paraId="7996A402" w14:textId="77777777" w:rsidR="00BA684C" w:rsidRPr="00BA684C" w:rsidRDefault="00BA684C" w:rsidP="00BA684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Hyperlipidemia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(on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atorvastatin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718E28E1" w14:textId="77777777" w:rsidR="00BA684C" w:rsidRDefault="00BA684C" w:rsidP="00BA684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History of GERD (well-controlled on pantoprazole)</w:t>
      </w:r>
    </w:p>
    <w:p w14:paraId="4D49BF91" w14:textId="41A344AF" w:rsidR="0097779B" w:rsidRDefault="0097779B" w:rsidP="00BA684C">
      <w:pPr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Allergies: none</w:t>
      </w:r>
    </w:p>
    <w:p w14:paraId="7DA83567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5C33453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5. Physical Exam at Admission:</w:t>
      </w:r>
    </w:p>
    <w:p w14:paraId="5CBB4644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General: 68-year-old male appearing mildly fatigued but in no acute distress.</w:t>
      </w:r>
    </w:p>
    <w:p w14:paraId="1783911F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Vitals: BP 148/82 mmHg, HR 84 bpm, RR 16/min, Temp 37.0°C, SpO2 96% on room air.</w:t>
      </w:r>
    </w:p>
    <w:p w14:paraId="2D6313C0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HEENT: Normocephalic. Moist mucous membranes. No scleral icterus.</w:t>
      </w:r>
    </w:p>
    <w:p w14:paraId="4CF97D26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Neck: Few small, non-tender cervical lymph nodes bilaterally (largest 1.5 cm). No JVD.</w:t>
      </w:r>
    </w:p>
    <w:p w14:paraId="1A42F0D3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Cardiovascular: Regular rate and rhythm. S1, S2 normal. No murmurs, rubs, or gallops.</w:t>
      </w:r>
    </w:p>
    <w:p w14:paraId="151D9636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Respiratory: Clear to auscultation bilaterally. No wheezes, rales, or rhonchi.</w:t>
      </w:r>
    </w:p>
    <w:p w14:paraId="2B185B01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Abdomen: Soft, non-tender, non-distended. Spleen tip palpable 2 cm below left costal margin. No hepatomegaly.</w:t>
      </w:r>
    </w:p>
    <w:p w14:paraId="6067F07B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Extremities: No edema. Multiple palpable axillary and inguinal lymph nodes bilaterally (largest 3.8 cm in left axilla).</w:t>
      </w:r>
    </w:p>
    <w:p w14:paraId="0E818497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Skin: No rashes or lesions.</w:t>
      </w:r>
    </w:p>
    <w:p w14:paraId="19C84988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Neurological: Alert and oriented x3. Cranial nerves intact. Motor strength 5/5 throughout. Sensation intact. DTRs 2+ and symmetric.</w:t>
      </w:r>
    </w:p>
    <w:p w14:paraId="33B9B47C" w14:textId="77777777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ECOG Performance Status: 1 (Restricted in physically strenuous activity but ambulatory and able to carry out light work).</w:t>
      </w:r>
    </w:p>
    <w:p w14:paraId="0C9EFE1F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764DB6DC" w14:textId="0C2800FB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6. </w:t>
      </w:r>
      <w:proofErr w:type="spellStart"/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Epicrisis</w:t>
      </w:r>
      <w:proofErr w:type="spellEnd"/>
      <w:r w:rsidR="00FC6494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:</w:t>
      </w:r>
    </w:p>
    <w:p w14:paraId="1E6D1082" w14:textId="32F36BF7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lastRenderedPageBreak/>
        <w:t>Mr. Gallagher is a 68-year-old male with CLL (</w:t>
      </w:r>
      <w:r w:rsidR="00671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Binet B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) who was admitted on Day 4 after initiation of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(having received 100 mg on Day 1 and 900 mg on Day 2) with laboratory evidence of tumor lysis syndrome (TLS).</w:t>
      </w:r>
    </w:p>
    <w:p w14:paraId="006D12D6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91F04FF" w14:textId="77777777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presented to his scheduled laboratory follow-up appointment on February 19, 2024 (Day 4 post-initiation) feeling generally well but with mild fatigue and decreased appetite. Routine laboratory evaluation revealed hyperkalemia (K+ 5.8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/L), hyperphosphatemia (phosphorus 5.4 mg/dL), normal calcium (corrected calcium 8.8 mg/dL), elevated uric acid (7.6 mg/dL), and mild acute kidney injury (creatinine 1.4 mg/dL from baseline 1.0 mg/dL).</w:t>
      </w:r>
    </w:p>
    <w:p w14:paraId="486A02F3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60F8634" w14:textId="5F4CF0E0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Based on these findings consistent with laboratory TLS, the patient was admitted for monitoring and management. He remained clinically stable without significant symptoms of TLS other than mild fatigue.</w:t>
      </w:r>
    </w:p>
    <w:p w14:paraId="6A9361BF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6C9C2B04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Management during the hospitalization included:</w:t>
      </w:r>
    </w:p>
    <w:p w14:paraId="3E2B2626" w14:textId="77777777" w:rsidR="00BA684C" w:rsidRPr="00BA684C" w:rsidRDefault="00BA684C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with normal saline at 150 mL/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</w:p>
    <w:p w14:paraId="186356A6" w14:textId="0327CDF6" w:rsidR="00BA684C" w:rsidRPr="00BA684C" w:rsidRDefault="009338D1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Rasburicase</w:t>
      </w:r>
      <w:proofErr w:type="spellEnd"/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7.5 mg on 2024-02-19</w:t>
      </w:r>
    </w:p>
    <w:p w14:paraId="35FFE5CA" w14:textId="77777777" w:rsidR="00BA684C" w:rsidRPr="00BA684C" w:rsidRDefault="00BA684C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Close monitoring of electrolytes every 6 hours initially, then every 12 hours</w:t>
      </w:r>
    </w:p>
    <w:p w14:paraId="351F34CD" w14:textId="77777777" w:rsidR="00BA684C" w:rsidRPr="00BA684C" w:rsidRDefault="00BA684C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Sodium bicarbonate supplementation for mild metabolic acidosis</w:t>
      </w:r>
    </w:p>
    <w:p w14:paraId="09395BB7" w14:textId="77777777" w:rsidR="00BA684C" w:rsidRPr="00BA684C" w:rsidRDefault="00BA684C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Oral phosphate binders (sevelamer) for hyperphosphatemia</w:t>
      </w:r>
    </w:p>
    <w:p w14:paraId="78803AA4" w14:textId="77777777" w:rsidR="00BA684C" w:rsidRDefault="00BA684C" w:rsidP="00BA684C">
      <w:pPr>
        <w:numPr>
          <w:ilvl w:val="0"/>
          <w:numId w:val="1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Continuous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cardiac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</w:p>
    <w:p w14:paraId="68AC52B7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6A56AA80" w14:textId="5F76CCF6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responded well to these interventions with progressive improvement in laboratory parameters</w:t>
      </w:r>
      <w:r w:rsidR="001B39D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</w:p>
    <w:p w14:paraId="19D7D32F" w14:textId="77777777" w:rsidR="00BA684C" w:rsidRPr="00BA684C" w:rsidRDefault="00BA684C" w:rsidP="00BA68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Day 1 of admission: K+ 5.8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/L, phosphorus 5.4 mg/dL, uric acid 7.6 mg/dL, creatinine 1.4 mg/dL</w:t>
      </w:r>
    </w:p>
    <w:p w14:paraId="07CD6E05" w14:textId="77777777" w:rsidR="00BA684C" w:rsidRPr="00BA684C" w:rsidRDefault="00BA684C" w:rsidP="00BA68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Day 2 of admission: K+ 5.2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/L, phosphorus 4.8 mg/dL, uric acid 6.2 mg/dL, creatinine 1.2 mg/dL</w:t>
      </w:r>
    </w:p>
    <w:p w14:paraId="6F027547" w14:textId="37581A3C" w:rsidR="00BA684C" w:rsidRDefault="00BA684C" w:rsidP="00BA684C">
      <w:pPr>
        <w:numPr>
          <w:ilvl w:val="0"/>
          <w:numId w:val="1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Day 3 of admission (discharge): K+ 4.6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mEq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/L, phosphorus </w:t>
      </w:r>
      <w:r w:rsidR="00C9318D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3.7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mg/dL, uric acid 5.4 mg/dL, creatinine 1.1 mg/dL</w:t>
      </w:r>
    </w:p>
    <w:p w14:paraId="70A0C0E3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C5A1F3A" w14:textId="77777777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The patient maintained adequate urine output throughout his hospitalization (&gt;60 mL/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 and did not develop any cardiac arrhythmias or other TLS-related complications. His hypertension was well-controlled with his home medication (amlodipine).</w:t>
      </w:r>
    </w:p>
    <w:p w14:paraId="0AEED4B4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5D8B5948" w14:textId="69565F9B" w:rsidR="00BA684C" w:rsidRDefault="00BA684C" w:rsidP="00F408F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After multidisciplinary discussion with the nephrology service, it was determined that the patient had experienced laboratory TLS without clinical manifestations, likely triggered by initial cytoreduction from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Given his favorable response to conservative management and near normalization of laboratory values, the treatment plan was modified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to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ontinue the planned treatment schedule with closer laboratory monitoring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c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onsider more gradual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ramp-up when initiated on Day 22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</w:t>
      </w:r>
    </w:p>
    <w:p w14:paraId="7EBFD0E3" w14:textId="77777777" w:rsidR="00F408FE" w:rsidRDefault="00F408FE" w:rsidP="00F408F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0916B02" w14:textId="1EAF2DED" w:rsidR="00F408FE" w:rsidRDefault="00F408FE" w:rsidP="00F408FE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On February 23, 2024, the patient p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roceed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ed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with Cycle 1, Day 8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1000 mg 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dose as planned with enhanced monitoring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and 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more aggressive TLS prophylaxis (IV hydration, allopurinol </w:t>
      </w:r>
      <w:r w:rsidR="009338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00 mg daily)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. There was no further sign of TLS. </w:t>
      </w:r>
    </w:p>
    <w:p w14:paraId="118E1E7E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5ED0941" w14:textId="72CC4CEC" w:rsid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The patient was discharged in stable condition on Day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5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of hospitalization with a clear follow-up plan.</w:t>
      </w:r>
    </w:p>
    <w:p w14:paraId="3DD067C2" w14:textId="77777777" w:rsidR="0067179B" w:rsidRPr="00BA684C" w:rsidRDefault="0067179B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3188E43F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7. Medication at Discharge:</w:t>
      </w:r>
    </w:p>
    <w:p w14:paraId="50324C95" w14:textId="4E4A7F19" w:rsidR="00BA684C" w:rsidRDefault="00BA684C" w:rsidP="00BA68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Allopurinol </w:t>
      </w:r>
      <w:r w:rsidR="009338D1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3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00 mg PO daily </w:t>
      </w:r>
    </w:p>
    <w:p w14:paraId="7BE69A81" w14:textId="51D2EA32" w:rsidR="0067179B" w:rsidRDefault="0067179B" w:rsidP="00BA68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Sevelamer 800 mg PO BID (</w:t>
      </w:r>
      <w:r w:rsidR="0097779B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reevaluation at next admission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)</w:t>
      </w:r>
    </w:p>
    <w:p w14:paraId="766BD3B7" w14:textId="7A75DEAF" w:rsidR="00BA684C" w:rsidRDefault="0067760A" w:rsidP="00BA68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Valacyclovir 500 mg PO BID (herpes prophylaxis)</w:t>
      </w:r>
    </w:p>
    <w:p w14:paraId="52F6B97B" w14:textId="7A498B94" w:rsidR="00F408FE" w:rsidRPr="0067760A" w:rsidRDefault="00F408FE" w:rsidP="00BA684C">
      <w:pPr>
        <w:numPr>
          <w:ilvl w:val="0"/>
          <w:numId w:val="1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</w:t>
      </w:r>
      <w:r w:rsidRP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rimethoprim-sulfamethoxazole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960 mg PO daily on Mo/Wed/Fr (PCP prophylaxis)</w:t>
      </w:r>
    </w:p>
    <w:p w14:paraId="79340629" w14:textId="77777777" w:rsidR="00BA684C" w:rsidRPr="00BA684C" w:rsidRDefault="00BA684C" w:rsidP="00BA68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Amlodipine 5 mg PO daily (for hypertension)</w:t>
      </w:r>
    </w:p>
    <w:p w14:paraId="5BDD5126" w14:textId="77777777" w:rsidR="00BA684C" w:rsidRPr="00BA684C" w:rsidRDefault="00BA684C" w:rsidP="00BA68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Atorvastatin 20 mg PO daily at bedtime (for hyperlipidemia)</w:t>
      </w:r>
    </w:p>
    <w:p w14:paraId="547EFB31" w14:textId="77777777" w:rsidR="00BA684C" w:rsidRPr="00BA684C" w:rsidRDefault="00BA684C" w:rsidP="00BA68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Pantoprazole 40 mg PO daily (for GERD)</w:t>
      </w:r>
    </w:p>
    <w:p w14:paraId="26775F38" w14:textId="77777777" w:rsidR="00BA684C" w:rsidRDefault="00BA684C" w:rsidP="00BA684C">
      <w:pPr>
        <w:numPr>
          <w:ilvl w:val="0"/>
          <w:numId w:val="1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Acetaminophen 650 mg PO Q6H PRN pain/fever</w:t>
      </w:r>
    </w:p>
    <w:p w14:paraId="6D80CD32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4C8CA7B5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8. Further Procedure / Follow-up:</w:t>
      </w:r>
    </w:p>
    <w:p w14:paraId="4B0AA5B7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val="en-US" w:eastAsia="de-DE"/>
          <w14:ligatures w14:val="none"/>
        </w:rPr>
        <w:t>Oncology Follow-up:</w:t>
      </w:r>
    </w:p>
    <w:p w14:paraId="72844AF3" w14:textId="7E458EA1" w:rsidR="00BA684C" w:rsidRPr="00BA684C" w:rsidRDefault="00BA684C" w:rsidP="00BA68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Laboratory monitoring (CBC, CMP, LDH, uric acid, phosphorus)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three times per week</w:t>
      </w:r>
    </w:p>
    <w:p w14:paraId="583C3494" w14:textId="38E259CA" w:rsidR="00BA684C" w:rsidRPr="00BA684C" w:rsidRDefault="00BA684C" w:rsidP="00BA68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Planned inpatient admission on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March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01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, 2024, for Cycle 1, Day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15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 with enhanced TLS monitoring.</w:t>
      </w:r>
    </w:p>
    <w:p w14:paraId="18B9E59D" w14:textId="4755A437" w:rsidR="00BA684C" w:rsidRDefault="00BA684C" w:rsidP="00BA684C">
      <w:pPr>
        <w:numPr>
          <w:ilvl w:val="0"/>
          <w:numId w:val="1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Follow up with Dr. S. Blackwell on February 2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9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 2024 (day prior to scheduled admission).</w:t>
      </w:r>
    </w:p>
    <w:p w14:paraId="4D5173BD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EAA7554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Nephrology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 Follow-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up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5C63E152" w14:textId="14E35E85" w:rsidR="00BA684C" w:rsidRDefault="00BA684C" w:rsidP="00BA684C">
      <w:pPr>
        <w:numPr>
          <w:ilvl w:val="0"/>
          <w:numId w:val="17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Follow up with Dr. T. Reid 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on 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February 29, </w:t>
      </w:r>
      <w:proofErr w:type="gram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2024</w:t>
      </w:r>
      <w:proofErr w:type="gram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to assess renal recovery and TLS status.</w:t>
      </w:r>
    </w:p>
    <w:p w14:paraId="0FE21579" w14:textId="77777777" w:rsidR="0067179B" w:rsidRPr="00BA684C" w:rsidRDefault="0067179B" w:rsidP="0067179B">
      <w:pPr>
        <w:ind w:left="72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28E5FF10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 xml:space="preserve">Treatment Plan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Modifications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:</w:t>
      </w:r>
    </w:p>
    <w:p w14:paraId="1A76CDE6" w14:textId="77777777" w:rsidR="00BA684C" w:rsidRPr="00BA684C" w:rsidRDefault="00BA684C" w:rsidP="00BA68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Enhanced TLS prophylaxis for future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obinutuzumab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doses:</w:t>
      </w:r>
    </w:p>
    <w:p w14:paraId="5AC5B629" w14:textId="77777777" w:rsidR="00BA684C" w:rsidRP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Inpatient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administration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of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next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dose</w:t>
      </w:r>
    </w:p>
    <w:p w14:paraId="6DEA3947" w14:textId="77777777" w:rsidR="00BA684C" w:rsidRP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hydration (150 mL/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hr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for 12 hours before and 24 hours after)</w:t>
      </w:r>
    </w:p>
    <w:p w14:paraId="4DA458B2" w14:textId="35427555" w:rsidR="00BA684C" w:rsidRP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Maintain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r w:rsidR="009338D1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3</w:t>
      </w: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00 mg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34EB80E7" w14:textId="77777777" w:rsidR="00BA684C" w:rsidRP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More frequent laboratory monitoring (every 8 hours for 48 hours)</w:t>
      </w:r>
    </w:p>
    <w:p w14:paraId="49BCE865" w14:textId="77777777" w:rsidR="00BA684C" w:rsidRPr="00BA684C" w:rsidRDefault="00BA684C" w:rsidP="00BA684C">
      <w:pPr>
        <w:numPr>
          <w:ilvl w:val="0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When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venetoclax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is initiated on Day 22:</w:t>
      </w:r>
    </w:p>
    <w:p w14:paraId="6F2C59A8" w14:textId="77777777" w:rsidR="00BA684C" w:rsidRP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Consider more gradual ramp-up if any ongoing laboratory abnormalities</w:t>
      </w:r>
    </w:p>
    <w:p w14:paraId="1378829C" w14:textId="77777777" w:rsidR="00BA684C" w:rsidRDefault="00BA684C" w:rsidP="00BA684C">
      <w:pPr>
        <w:numPr>
          <w:ilvl w:val="1"/>
          <w:numId w:val="19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Inpatient monitoring for first dose of each escalation</w:t>
      </w:r>
    </w:p>
    <w:p w14:paraId="16990A7F" w14:textId="77777777" w:rsidR="0067179B" w:rsidRPr="00BA684C" w:rsidRDefault="0067179B" w:rsidP="0067179B">
      <w:pPr>
        <w:ind w:left="1440"/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</w:p>
    <w:p w14:paraId="113768D3" w14:textId="77777777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u w:val="single"/>
          <w:lang w:eastAsia="de-DE"/>
          <w14:ligatures w14:val="none"/>
        </w:rPr>
        <w:t>Patient Education:</w:t>
      </w:r>
    </w:p>
    <w:p w14:paraId="15BD2B70" w14:textId="77777777" w:rsidR="00BA684C" w:rsidRPr="00BA684C" w:rsidRDefault="00BA684C" w:rsidP="00BA684C">
      <w:pPr>
        <w:numPr>
          <w:ilvl w:val="0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Education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provided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on:</w:t>
      </w:r>
    </w:p>
    <w:p w14:paraId="153837CA" w14:textId="77777777" w:rsidR="00BA684C" w:rsidRPr="00BA684C" w:rsidRDefault="00BA684C" w:rsidP="00BA684C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Signs/symptoms of TLS requiring immediate medical attention</w:t>
      </w:r>
    </w:p>
    <w:p w14:paraId="28C0FA87" w14:textId="77777777" w:rsidR="00BA684C" w:rsidRPr="00BA684C" w:rsidRDefault="00BA684C" w:rsidP="00BA684C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Importance of oral hydration (2-3 L/day)</w:t>
      </w:r>
    </w:p>
    <w:p w14:paraId="0E57E516" w14:textId="77777777" w:rsidR="00BA684C" w:rsidRPr="00BA684C" w:rsidRDefault="00BA684C" w:rsidP="00BA684C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Medication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adherence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especially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allopurinol</w:t>
      </w:r>
      <w:proofErr w:type="spellEnd"/>
    </w:p>
    <w:p w14:paraId="5CFC40E0" w14:textId="70177E7A" w:rsidR="00BA684C" w:rsidRDefault="00BA684C" w:rsidP="00BA684C">
      <w:pPr>
        <w:numPr>
          <w:ilvl w:val="1"/>
          <w:numId w:val="20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Laboratory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monitoring</w:t>
      </w:r>
      <w:proofErr w:type="spellEnd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BA684C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schedule</w:t>
      </w:r>
      <w:proofErr w:type="spellEnd"/>
    </w:p>
    <w:p w14:paraId="7230CFB1" w14:textId="77777777" w:rsidR="00BA684C" w:rsidRPr="00BA684C" w:rsidRDefault="00BA684C" w:rsidP="00BA684C">
      <w:pPr>
        <w:ind w:left="1440"/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</w:p>
    <w:p w14:paraId="5451C0F1" w14:textId="77777777" w:rsidR="00BA684C" w:rsidRPr="00BA684C" w:rsidRDefault="00BA684C" w:rsidP="00BA684C">
      <w:pPr>
        <w:outlineLvl w:val="1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9. Lab Values (</w:t>
      </w:r>
      <w:proofErr w:type="spellStart"/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Excerpt</w:t>
      </w:r>
      <w:proofErr w:type="spellEnd"/>
      <w:r w:rsidRPr="00BA684C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):</w:t>
      </w:r>
    </w:p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1613"/>
        <w:gridCol w:w="1501"/>
        <w:gridCol w:w="1355"/>
        <w:gridCol w:w="204"/>
        <w:gridCol w:w="1559"/>
        <w:gridCol w:w="1462"/>
        <w:gridCol w:w="1515"/>
      </w:tblGrid>
      <w:tr w:rsidR="0067179B" w:rsidRPr="00BA684C" w14:paraId="6ABB159E" w14:textId="77777777" w:rsidTr="0067179B">
        <w:tc>
          <w:tcPr>
            <w:tcW w:w="1613" w:type="dxa"/>
            <w:hideMark/>
          </w:tcPr>
          <w:p w14:paraId="5F63C925" w14:textId="77777777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Parameter</w:t>
            </w:r>
          </w:p>
        </w:tc>
        <w:tc>
          <w:tcPr>
            <w:tcW w:w="1501" w:type="dxa"/>
            <w:hideMark/>
          </w:tcPr>
          <w:p w14:paraId="12288A5A" w14:textId="77777777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Admission (2/19/2024)</w:t>
            </w:r>
          </w:p>
        </w:tc>
        <w:tc>
          <w:tcPr>
            <w:tcW w:w="1559" w:type="dxa"/>
            <w:gridSpan w:val="2"/>
            <w:hideMark/>
          </w:tcPr>
          <w:p w14:paraId="3850667A" w14:textId="77777777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Day 2 (2/20/2024)</w:t>
            </w:r>
          </w:p>
        </w:tc>
        <w:tc>
          <w:tcPr>
            <w:tcW w:w="1559" w:type="dxa"/>
            <w:hideMark/>
          </w:tcPr>
          <w:p w14:paraId="7F78309B" w14:textId="2EA18CA6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Discharge</w:t>
            </w:r>
            <w:proofErr w:type="spellEnd"/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 xml:space="preserve"> (2/2</w:t>
            </w:r>
            <w:r w:rsidR="00F408FE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4</w:t>
            </w: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/2024)</w:t>
            </w:r>
          </w:p>
        </w:tc>
        <w:tc>
          <w:tcPr>
            <w:tcW w:w="1462" w:type="dxa"/>
            <w:hideMark/>
          </w:tcPr>
          <w:p w14:paraId="40EDA5CA" w14:textId="77777777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Units</w:t>
            </w:r>
          </w:p>
        </w:tc>
        <w:tc>
          <w:tcPr>
            <w:tcW w:w="1515" w:type="dxa"/>
            <w:hideMark/>
          </w:tcPr>
          <w:p w14:paraId="77FE1D68" w14:textId="77777777" w:rsidR="00BA684C" w:rsidRPr="00BA684C" w:rsidRDefault="00BA684C" w:rsidP="00BA684C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de-DE"/>
                <w14:ligatures w14:val="none"/>
              </w:rPr>
              <w:t>Reference Range</w:t>
            </w:r>
          </w:p>
        </w:tc>
      </w:tr>
      <w:tr w:rsidR="00BA684C" w:rsidRPr="00BA684C" w14:paraId="107E5CE5" w14:textId="77777777" w:rsidTr="0067179B">
        <w:tc>
          <w:tcPr>
            <w:tcW w:w="1613" w:type="dxa"/>
            <w:hideMark/>
          </w:tcPr>
          <w:p w14:paraId="26392B6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WBC</w:t>
            </w:r>
          </w:p>
        </w:tc>
        <w:tc>
          <w:tcPr>
            <w:tcW w:w="1501" w:type="dxa"/>
            <w:hideMark/>
          </w:tcPr>
          <w:p w14:paraId="7A42386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48.5</w:t>
            </w:r>
          </w:p>
        </w:tc>
        <w:tc>
          <w:tcPr>
            <w:tcW w:w="1355" w:type="dxa"/>
            <w:hideMark/>
          </w:tcPr>
          <w:p w14:paraId="597A8D2D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45.2</w:t>
            </w:r>
          </w:p>
        </w:tc>
        <w:tc>
          <w:tcPr>
            <w:tcW w:w="1763" w:type="dxa"/>
            <w:gridSpan w:val="2"/>
            <w:hideMark/>
          </w:tcPr>
          <w:p w14:paraId="4D86D56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41.8</w:t>
            </w:r>
          </w:p>
        </w:tc>
        <w:tc>
          <w:tcPr>
            <w:tcW w:w="1462" w:type="dxa"/>
            <w:hideMark/>
          </w:tcPr>
          <w:p w14:paraId="48B4E8D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1515" w:type="dxa"/>
            <w:hideMark/>
          </w:tcPr>
          <w:p w14:paraId="5F56657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4.0-11.0</w:t>
            </w:r>
          </w:p>
        </w:tc>
      </w:tr>
      <w:tr w:rsidR="00BA684C" w:rsidRPr="00BA684C" w14:paraId="393B1FDE" w14:textId="77777777" w:rsidTr="0067179B">
        <w:tc>
          <w:tcPr>
            <w:tcW w:w="1613" w:type="dxa"/>
            <w:hideMark/>
          </w:tcPr>
          <w:p w14:paraId="5ABE838C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Lymphocytes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(absolute)</w:t>
            </w:r>
          </w:p>
        </w:tc>
        <w:tc>
          <w:tcPr>
            <w:tcW w:w="1501" w:type="dxa"/>
            <w:hideMark/>
          </w:tcPr>
          <w:p w14:paraId="59C9813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42.2</w:t>
            </w:r>
          </w:p>
        </w:tc>
        <w:tc>
          <w:tcPr>
            <w:tcW w:w="1355" w:type="dxa"/>
            <w:hideMark/>
          </w:tcPr>
          <w:p w14:paraId="226E7E9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39.3</w:t>
            </w:r>
          </w:p>
        </w:tc>
        <w:tc>
          <w:tcPr>
            <w:tcW w:w="1763" w:type="dxa"/>
            <w:gridSpan w:val="2"/>
            <w:hideMark/>
          </w:tcPr>
          <w:p w14:paraId="03FAFA0B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36.4</w:t>
            </w:r>
          </w:p>
        </w:tc>
        <w:tc>
          <w:tcPr>
            <w:tcW w:w="1462" w:type="dxa"/>
            <w:hideMark/>
          </w:tcPr>
          <w:p w14:paraId="4E57184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1515" w:type="dxa"/>
            <w:hideMark/>
          </w:tcPr>
          <w:p w14:paraId="7E4BB3BC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1.0-4.8</w:t>
            </w:r>
          </w:p>
        </w:tc>
      </w:tr>
      <w:tr w:rsidR="00BA684C" w:rsidRPr="00BA684C" w14:paraId="39B9AD35" w14:textId="77777777" w:rsidTr="0067179B">
        <w:tc>
          <w:tcPr>
            <w:tcW w:w="1613" w:type="dxa"/>
            <w:hideMark/>
          </w:tcPr>
          <w:p w14:paraId="2C42692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Hemoglobin</w:t>
            </w:r>
            <w:proofErr w:type="spellEnd"/>
          </w:p>
        </w:tc>
        <w:tc>
          <w:tcPr>
            <w:tcW w:w="1501" w:type="dxa"/>
            <w:hideMark/>
          </w:tcPr>
          <w:p w14:paraId="0AC7FCE5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12.2</w:t>
            </w:r>
          </w:p>
        </w:tc>
        <w:tc>
          <w:tcPr>
            <w:tcW w:w="1355" w:type="dxa"/>
            <w:hideMark/>
          </w:tcPr>
          <w:p w14:paraId="353D91D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12.0</w:t>
            </w:r>
          </w:p>
        </w:tc>
        <w:tc>
          <w:tcPr>
            <w:tcW w:w="1763" w:type="dxa"/>
            <w:gridSpan w:val="2"/>
            <w:hideMark/>
          </w:tcPr>
          <w:p w14:paraId="1611BFB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12.4</w:t>
            </w:r>
          </w:p>
        </w:tc>
        <w:tc>
          <w:tcPr>
            <w:tcW w:w="1462" w:type="dxa"/>
            <w:hideMark/>
          </w:tcPr>
          <w:p w14:paraId="41F5006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6F1CAA2F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13.5-17.5 (M)</w:t>
            </w:r>
          </w:p>
        </w:tc>
      </w:tr>
      <w:tr w:rsidR="00BA684C" w:rsidRPr="00BA684C" w14:paraId="2A578EBB" w14:textId="77777777" w:rsidTr="0067179B">
        <w:tc>
          <w:tcPr>
            <w:tcW w:w="1613" w:type="dxa"/>
            <w:hideMark/>
          </w:tcPr>
          <w:p w14:paraId="2336A5E5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Platelets</w:t>
            </w:r>
            <w:proofErr w:type="spellEnd"/>
          </w:p>
        </w:tc>
        <w:tc>
          <w:tcPr>
            <w:tcW w:w="1501" w:type="dxa"/>
            <w:hideMark/>
          </w:tcPr>
          <w:p w14:paraId="0286FB4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112</w:t>
            </w:r>
          </w:p>
        </w:tc>
        <w:tc>
          <w:tcPr>
            <w:tcW w:w="1355" w:type="dxa"/>
            <w:hideMark/>
          </w:tcPr>
          <w:p w14:paraId="0F630919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108</w:t>
            </w:r>
          </w:p>
        </w:tc>
        <w:tc>
          <w:tcPr>
            <w:tcW w:w="1763" w:type="dxa"/>
            <w:gridSpan w:val="2"/>
            <w:hideMark/>
          </w:tcPr>
          <w:p w14:paraId="6560B4F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105</w:t>
            </w:r>
          </w:p>
        </w:tc>
        <w:tc>
          <w:tcPr>
            <w:tcW w:w="1462" w:type="dxa"/>
            <w:hideMark/>
          </w:tcPr>
          <w:p w14:paraId="4A0A362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x10^9/L</w:t>
            </w:r>
          </w:p>
        </w:tc>
        <w:tc>
          <w:tcPr>
            <w:tcW w:w="1515" w:type="dxa"/>
            <w:hideMark/>
          </w:tcPr>
          <w:p w14:paraId="04CC3D47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150-400</w:t>
            </w:r>
          </w:p>
        </w:tc>
      </w:tr>
      <w:tr w:rsidR="00BA684C" w:rsidRPr="00BA684C" w14:paraId="1A045C3A" w14:textId="77777777" w:rsidTr="0067179B">
        <w:tc>
          <w:tcPr>
            <w:tcW w:w="1613" w:type="dxa"/>
            <w:hideMark/>
          </w:tcPr>
          <w:p w14:paraId="7C0B6FC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lastRenderedPageBreak/>
              <w:t>Creatinine</w:t>
            </w:r>
            <w:proofErr w:type="spellEnd"/>
          </w:p>
        </w:tc>
        <w:tc>
          <w:tcPr>
            <w:tcW w:w="1501" w:type="dxa"/>
            <w:hideMark/>
          </w:tcPr>
          <w:p w14:paraId="5DCC08F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1.4</w:t>
            </w:r>
          </w:p>
        </w:tc>
        <w:tc>
          <w:tcPr>
            <w:tcW w:w="1355" w:type="dxa"/>
            <w:hideMark/>
          </w:tcPr>
          <w:p w14:paraId="77801C1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1.2</w:t>
            </w:r>
          </w:p>
        </w:tc>
        <w:tc>
          <w:tcPr>
            <w:tcW w:w="1763" w:type="dxa"/>
            <w:gridSpan w:val="2"/>
            <w:hideMark/>
          </w:tcPr>
          <w:p w14:paraId="08C2284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1.1</w:t>
            </w:r>
          </w:p>
        </w:tc>
        <w:tc>
          <w:tcPr>
            <w:tcW w:w="1462" w:type="dxa"/>
            <w:hideMark/>
          </w:tcPr>
          <w:p w14:paraId="1B8ED1D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51147CCB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0.7-1.3</w:t>
            </w:r>
          </w:p>
        </w:tc>
      </w:tr>
      <w:tr w:rsidR="00BA684C" w:rsidRPr="00BA684C" w14:paraId="452A13CB" w14:textId="77777777" w:rsidTr="0067179B">
        <w:tc>
          <w:tcPr>
            <w:tcW w:w="1613" w:type="dxa"/>
            <w:hideMark/>
          </w:tcPr>
          <w:p w14:paraId="3452E6CD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eGFR</w:t>
            </w:r>
            <w:proofErr w:type="spellEnd"/>
          </w:p>
        </w:tc>
        <w:tc>
          <w:tcPr>
            <w:tcW w:w="1501" w:type="dxa"/>
            <w:hideMark/>
          </w:tcPr>
          <w:p w14:paraId="6B6D161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52</w:t>
            </w:r>
          </w:p>
        </w:tc>
        <w:tc>
          <w:tcPr>
            <w:tcW w:w="1355" w:type="dxa"/>
            <w:hideMark/>
          </w:tcPr>
          <w:p w14:paraId="52F6805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62</w:t>
            </w:r>
          </w:p>
        </w:tc>
        <w:tc>
          <w:tcPr>
            <w:tcW w:w="1763" w:type="dxa"/>
            <w:gridSpan w:val="2"/>
            <w:hideMark/>
          </w:tcPr>
          <w:p w14:paraId="55A5BA8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68</w:t>
            </w:r>
          </w:p>
        </w:tc>
        <w:tc>
          <w:tcPr>
            <w:tcW w:w="1462" w:type="dxa"/>
            <w:hideMark/>
          </w:tcPr>
          <w:p w14:paraId="51F2C19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mL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/min/1.73m²</w:t>
            </w:r>
          </w:p>
        </w:tc>
        <w:tc>
          <w:tcPr>
            <w:tcW w:w="1515" w:type="dxa"/>
            <w:hideMark/>
          </w:tcPr>
          <w:p w14:paraId="68F975D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&gt;60</w:t>
            </w:r>
          </w:p>
        </w:tc>
      </w:tr>
      <w:tr w:rsidR="00BA684C" w:rsidRPr="00BA684C" w14:paraId="5529EEF4" w14:textId="77777777" w:rsidTr="0067179B">
        <w:tc>
          <w:tcPr>
            <w:tcW w:w="1613" w:type="dxa"/>
            <w:hideMark/>
          </w:tcPr>
          <w:p w14:paraId="7A461B0C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BUN</w:t>
            </w:r>
          </w:p>
        </w:tc>
        <w:tc>
          <w:tcPr>
            <w:tcW w:w="1501" w:type="dxa"/>
            <w:hideMark/>
          </w:tcPr>
          <w:p w14:paraId="6E88A66C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26</w:t>
            </w:r>
          </w:p>
        </w:tc>
        <w:tc>
          <w:tcPr>
            <w:tcW w:w="1355" w:type="dxa"/>
            <w:hideMark/>
          </w:tcPr>
          <w:p w14:paraId="0B65823C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1763" w:type="dxa"/>
            <w:gridSpan w:val="2"/>
            <w:hideMark/>
          </w:tcPr>
          <w:p w14:paraId="5041FB2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19</w:t>
            </w:r>
          </w:p>
        </w:tc>
        <w:tc>
          <w:tcPr>
            <w:tcW w:w="1462" w:type="dxa"/>
            <w:hideMark/>
          </w:tcPr>
          <w:p w14:paraId="0E4D12B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3DD2A5A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7-20</w:t>
            </w:r>
          </w:p>
        </w:tc>
      </w:tr>
      <w:tr w:rsidR="00BA684C" w:rsidRPr="00BA684C" w14:paraId="0F886A3A" w14:textId="77777777" w:rsidTr="0067179B">
        <w:tc>
          <w:tcPr>
            <w:tcW w:w="1613" w:type="dxa"/>
            <w:hideMark/>
          </w:tcPr>
          <w:p w14:paraId="44C0E71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Potassium</w:t>
            </w:r>
          </w:p>
        </w:tc>
        <w:tc>
          <w:tcPr>
            <w:tcW w:w="1501" w:type="dxa"/>
            <w:hideMark/>
          </w:tcPr>
          <w:p w14:paraId="376D94F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5.8</w:t>
            </w:r>
          </w:p>
        </w:tc>
        <w:tc>
          <w:tcPr>
            <w:tcW w:w="1355" w:type="dxa"/>
            <w:hideMark/>
          </w:tcPr>
          <w:p w14:paraId="01F902D5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5.2</w:t>
            </w:r>
          </w:p>
        </w:tc>
        <w:tc>
          <w:tcPr>
            <w:tcW w:w="1763" w:type="dxa"/>
            <w:gridSpan w:val="2"/>
            <w:hideMark/>
          </w:tcPr>
          <w:p w14:paraId="48EE47D9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4.6</w:t>
            </w:r>
          </w:p>
        </w:tc>
        <w:tc>
          <w:tcPr>
            <w:tcW w:w="1462" w:type="dxa"/>
            <w:hideMark/>
          </w:tcPr>
          <w:p w14:paraId="78471896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mEq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  <w:tc>
          <w:tcPr>
            <w:tcW w:w="1515" w:type="dxa"/>
            <w:hideMark/>
          </w:tcPr>
          <w:p w14:paraId="5A8731A5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3.5-5.0</w:t>
            </w:r>
          </w:p>
        </w:tc>
      </w:tr>
      <w:tr w:rsidR="00BA684C" w:rsidRPr="00BA684C" w14:paraId="1A55C97F" w14:textId="77777777" w:rsidTr="0067179B">
        <w:tc>
          <w:tcPr>
            <w:tcW w:w="1613" w:type="dxa"/>
            <w:hideMark/>
          </w:tcPr>
          <w:p w14:paraId="7F5FDA0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Phosphorus</w:t>
            </w:r>
            <w:proofErr w:type="spellEnd"/>
          </w:p>
        </w:tc>
        <w:tc>
          <w:tcPr>
            <w:tcW w:w="1501" w:type="dxa"/>
            <w:hideMark/>
          </w:tcPr>
          <w:p w14:paraId="1B3C502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5.4</w:t>
            </w:r>
          </w:p>
        </w:tc>
        <w:tc>
          <w:tcPr>
            <w:tcW w:w="1355" w:type="dxa"/>
            <w:hideMark/>
          </w:tcPr>
          <w:p w14:paraId="73DAD921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4.8</w:t>
            </w:r>
          </w:p>
        </w:tc>
        <w:tc>
          <w:tcPr>
            <w:tcW w:w="1763" w:type="dxa"/>
            <w:gridSpan w:val="2"/>
            <w:hideMark/>
          </w:tcPr>
          <w:p w14:paraId="2DC8AA58" w14:textId="476DD783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3.7</w:t>
            </w:r>
          </w:p>
        </w:tc>
        <w:tc>
          <w:tcPr>
            <w:tcW w:w="1462" w:type="dxa"/>
            <w:hideMark/>
          </w:tcPr>
          <w:p w14:paraId="063BC64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3E31DF71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2.5-4.5</w:t>
            </w:r>
          </w:p>
        </w:tc>
      </w:tr>
      <w:tr w:rsidR="00BA684C" w:rsidRPr="00BA684C" w14:paraId="10EFA593" w14:textId="77777777" w:rsidTr="0067179B">
        <w:tc>
          <w:tcPr>
            <w:tcW w:w="1613" w:type="dxa"/>
            <w:hideMark/>
          </w:tcPr>
          <w:p w14:paraId="681FBFA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Calcium (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corrected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)</w:t>
            </w:r>
          </w:p>
        </w:tc>
        <w:tc>
          <w:tcPr>
            <w:tcW w:w="1501" w:type="dxa"/>
            <w:hideMark/>
          </w:tcPr>
          <w:p w14:paraId="2507BA6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8.8</w:t>
            </w:r>
          </w:p>
        </w:tc>
        <w:tc>
          <w:tcPr>
            <w:tcW w:w="1355" w:type="dxa"/>
            <w:hideMark/>
          </w:tcPr>
          <w:p w14:paraId="34865091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8.9</w:t>
            </w:r>
          </w:p>
        </w:tc>
        <w:tc>
          <w:tcPr>
            <w:tcW w:w="1763" w:type="dxa"/>
            <w:gridSpan w:val="2"/>
            <w:hideMark/>
          </w:tcPr>
          <w:p w14:paraId="1FCD940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9.0</w:t>
            </w:r>
          </w:p>
        </w:tc>
        <w:tc>
          <w:tcPr>
            <w:tcW w:w="1462" w:type="dxa"/>
            <w:hideMark/>
          </w:tcPr>
          <w:p w14:paraId="2CB4CA1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2EB92C92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8.6-10.3</w:t>
            </w:r>
          </w:p>
        </w:tc>
      </w:tr>
      <w:tr w:rsidR="00BA684C" w:rsidRPr="00BA684C" w14:paraId="78B0E3D3" w14:textId="77777777" w:rsidTr="0067179B">
        <w:tc>
          <w:tcPr>
            <w:tcW w:w="1613" w:type="dxa"/>
            <w:hideMark/>
          </w:tcPr>
          <w:p w14:paraId="54AFA549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Uric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 xml:space="preserve"> Acid</w:t>
            </w:r>
          </w:p>
        </w:tc>
        <w:tc>
          <w:tcPr>
            <w:tcW w:w="1501" w:type="dxa"/>
            <w:hideMark/>
          </w:tcPr>
          <w:p w14:paraId="7164B3C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7.6</w:t>
            </w:r>
          </w:p>
        </w:tc>
        <w:tc>
          <w:tcPr>
            <w:tcW w:w="1355" w:type="dxa"/>
            <w:hideMark/>
          </w:tcPr>
          <w:p w14:paraId="3F523728" w14:textId="0C12B7E3" w:rsidR="00BA684C" w:rsidRPr="00BA684C" w:rsidRDefault="009338D1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0.2</w:t>
            </w:r>
          </w:p>
        </w:tc>
        <w:tc>
          <w:tcPr>
            <w:tcW w:w="1763" w:type="dxa"/>
            <w:gridSpan w:val="2"/>
            <w:hideMark/>
          </w:tcPr>
          <w:p w14:paraId="501ACD3A" w14:textId="3E682180" w:rsidR="00BA684C" w:rsidRPr="00BA684C" w:rsidRDefault="009338D1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4</w:t>
            </w:r>
            <w:r w:rsidR="00BA684C"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.4</w:t>
            </w:r>
          </w:p>
        </w:tc>
        <w:tc>
          <w:tcPr>
            <w:tcW w:w="1462" w:type="dxa"/>
            <w:hideMark/>
          </w:tcPr>
          <w:p w14:paraId="2F3FFFC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mg/</w:t>
            </w: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dL</w:t>
            </w:r>
            <w:proofErr w:type="spellEnd"/>
          </w:p>
        </w:tc>
        <w:tc>
          <w:tcPr>
            <w:tcW w:w="1515" w:type="dxa"/>
            <w:hideMark/>
          </w:tcPr>
          <w:p w14:paraId="4544BA6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3.4-7.0 (M)</w:t>
            </w:r>
          </w:p>
        </w:tc>
      </w:tr>
      <w:tr w:rsidR="00BA684C" w:rsidRPr="00BA684C" w14:paraId="51A2EA34" w14:textId="77777777" w:rsidTr="0067179B">
        <w:tc>
          <w:tcPr>
            <w:tcW w:w="1613" w:type="dxa"/>
            <w:hideMark/>
          </w:tcPr>
          <w:p w14:paraId="35211C0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LDH</w:t>
            </w:r>
          </w:p>
        </w:tc>
        <w:tc>
          <w:tcPr>
            <w:tcW w:w="1501" w:type="dxa"/>
            <w:hideMark/>
          </w:tcPr>
          <w:p w14:paraId="523BF9B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320</w:t>
            </w:r>
          </w:p>
        </w:tc>
        <w:tc>
          <w:tcPr>
            <w:tcW w:w="1355" w:type="dxa"/>
            <w:hideMark/>
          </w:tcPr>
          <w:p w14:paraId="61E72FBA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295</w:t>
            </w:r>
          </w:p>
        </w:tc>
        <w:tc>
          <w:tcPr>
            <w:tcW w:w="1763" w:type="dxa"/>
            <w:gridSpan w:val="2"/>
            <w:hideMark/>
          </w:tcPr>
          <w:p w14:paraId="7D1EDB6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270</w:t>
            </w:r>
          </w:p>
        </w:tc>
        <w:tc>
          <w:tcPr>
            <w:tcW w:w="1462" w:type="dxa"/>
            <w:hideMark/>
          </w:tcPr>
          <w:p w14:paraId="23D38FF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U/L</w:t>
            </w:r>
          </w:p>
        </w:tc>
        <w:tc>
          <w:tcPr>
            <w:tcW w:w="1515" w:type="dxa"/>
            <w:hideMark/>
          </w:tcPr>
          <w:p w14:paraId="06464A74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135-225</w:t>
            </w:r>
          </w:p>
        </w:tc>
      </w:tr>
      <w:tr w:rsidR="00BA684C" w:rsidRPr="00BA684C" w14:paraId="69551039" w14:textId="77777777" w:rsidTr="0067179B">
        <w:tc>
          <w:tcPr>
            <w:tcW w:w="1613" w:type="dxa"/>
            <w:hideMark/>
          </w:tcPr>
          <w:p w14:paraId="71FFB13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Bicarbonate</w:t>
            </w:r>
          </w:p>
        </w:tc>
        <w:tc>
          <w:tcPr>
            <w:tcW w:w="1501" w:type="dxa"/>
            <w:hideMark/>
          </w:tcPr>
          <w:p w14:paraId="793E937F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20</w:t>
            </w:r>
          </w:p>
        </w:tc>
        <w:tc>
          <w:tcPr>
            <w:tcW w:w="1355" w:type="dxa"/>
            <w:hideMark/>
          </w:tcPr>
          <w:p w14:paraId="70AD6D6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</w:t>
            </w:r>
          </w:p>
        </w:tc>
        <w:tc>
          <w:tcPr>
            <w:tcW w:w="1763" w:type="dxa"/>
            <w:gridSpan w:val="2"/>
            <w:hideMark/>
          </w:tcPr>
          <w:p w14:paraId="484A71B7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24</w:t>
            </w:r>
          </w:p>
        </w:tc>
        <w:tc>
          <w:tcPr>
            <w:tcW w:w="1462" w:type="dxa"/>
            <w:hideMark/>
          </w:tcPr>
          <w:p w14:paraId="6AF951F8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mEq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  <w:tc>
          <w:tcPr>
            <w:tcW w:w="1515" w:type="dxa"/>
            <w:hideMark/>
          </w:tcPr>
          <w:p w14:paraId="79CA84C9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22-29</w:t>
            </w:r>
          </w:p>
        </w:tc>
      </w:tr>
      <w:tr w:rsidR="00BA684C" w:rsidRPr="00BA684C" w14:paraId="3CFB1350" w14:textId="77777777" w:rsidTr="0067179B">
        <w:tc>
          <w:tcPr>
            <w:tcW w:w="1613" w:type="dxa"/>
            <w:hideMark/>
          </w:tcPr>
          <w:p w14:paraId="7F5C48A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Anion Gap</w:t>
            </w:r>
          </w:p>
        </w:tc>
        <w:tc>
          <w:tcPr>
            <w:tcW w:w="1501" w:type="dxa"/>
            <w:hideMark/>
          </w:tcPr>
          <w:p w14:paraId="125B0DE0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14</w:t>
            </w:r>
          </w:p>
        </w:tc>
        <w:tc>
          <w:tcPr>
            <w:tcW w:w="1355" w:type="dxa"/>
            <w:hideMark/>
          </w:tcPr>
          <w:p w14:paraId="4A30057E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12</w:t>
            </w:r>
          </w:p>
        </w:tc>
        <w:tc>
          <w:tcPr>
            <w:tcW w:w="1763" w:type="dxa"/>
            <w:gridSpan w:val="2"/>
            <w:hideMark/>
          </w:tcPr>
          <w:p w14:paraId="2F4F98AD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11</w:t>
            </w:r>
          </w:p>
        </w:tc>
        <w:tc>
          <w:tcPr>
            <w:tcW w:w="1462" w:type="dxa"/>
            <w:hideMark/>
          </w:tcPr>
          <w:p w14:paraId="1BA0FFE3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proofErr w:type="spellStart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mEq</w:t>
            </w:r>
            <w:proofErr w:type="spellEnd"/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/L</w:t>
            </w:r>
          </w:p>
        </w:tc>
        <w:tc>
          <w:tcPr>
            <w:tcW w:w="1515" w:type="dxa"/>
            <w:hideMark/>
          </w:tcPr>
          <w:p w14:paraId="0A85758B" w14:textId="77777777" w:rsidR="00BA684C" w:rsidRPr="00BA684C" w:rsidRDefault="00BA684C" w:rsidP="00BA684C">
            <w:pPr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</w:pPr>
            <w:r w:rsidRPr="00BA684C">
              <w:rPr>
                <w:rFonts w:ascii="Arial" w:eastAsia="Times New Roman" w:hAnsi="Arial" w:cs="Arial"/>
                <w:color w:val="000000"/>
                <w:kern w:val="0"/>
                <w:lang w:eastAsia="de-DE"/>
                <w14:ligatures w14:val="none"/>
              </w:rPr>
              <w:t>8-16</w:t>
            </w:r>
          </w:p>
        </w:tc>
      </w:tr>
    </w:tbl>
    <w:p w14:paraId="06EB6343" w14:textId="3E0E11A1" w:rsidR="00BA684C" w:rsidRPr="00BA684C" w:rsidRDefault="00BA684C" w:rsidP="00BA684C">
      <w:pPr>
        <w:rPr>
          <w:rFonts w:ascii="Arial" w:eastAsia="Times New Roman" w:hAnsi="Arial" w:cs="Arial"/>
          <w:kern w:val="0"/>
          <w:lang w:eastAsia="de-DE"/>
          <w14:ligatures w14:val="none"/>
        </w:rPr>
      </w:pPr>
    </w:p>
    <w:p w14:paraId="0F4BB4F8" w14:textId="64D56F49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Electronically Signed By: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S. Blackwell (Hematology/Oncology)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2024-02-2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14:15</w:t>
      </w:r>
    </w:p>
    <w:p w14:paraId="666A4756" w14:textId="0E8C32B2" w:rsidR="00BA684C" w:rsidRPr="00BA684C" w:rsidRDefault="00BA684C" w:rsidP="00BA684C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Dr. T. Reid (Nephrology)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Date/Time: 2024-02-2</w:t>
      </w:r>
      <w:r w:rsidR="00F408FE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</w:t>
      </w:r>
      <w:r w:rsidRPr="00BA684C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13:30</w:t>
      </w:r>
    </w:p>
    <w:p w14:paraId="2B3FA484" w14:textId="77777777" w:rsidR="00AE0AFE" w:rsidRPr="00BA684C" w:rsidRDefault="00AE0AFE" w:rsidP="00BA684C">
      <w:pPr>
        <w:rPr>
          <w:rFonts w:ascii="Arial" w:hAnsi="Arial" w:cs="Arial"/>
          <w:lang w:val="en-US"/>
        </w:rPr>
      </w:pPr>
    </w:p>
    <w:sectPr w:rsidR="00AE0AFE" w:rsidRPr="00BA684C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17A"/>
    <w:multiLevelType w:val="multilevel"/>
    <w:tmpl w:val="FAC4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F732F"/>
    <w:multiLevelType w:val="multilevel"/>
    <w:tmpl w:val="3C32A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F339B"/>
    <w:multiLevelType w:val="multilevel"/>
    <w:tmpl w:val="20BE7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76EB9"/>
    <w:multiLevelType w:val="multilevel"/>
    <w:tmpl w:val="FEB8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D393E"/>
    <w:multiLevelType w:val="multilevel"/>
    <w:tmpl w:val="CA384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6347C"/>
    <w:multiLevelType w:val="multilevel"/>
    <w:tmpl w:val="6A9C6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896392"/>
    <w:multiLevelType w:val="multilevel"/>
    <w:tmpl w:val="52CC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1243B"/>
    <w:multiLevelType w:val="multilevel"/>
    <w:tmpl w:val="2A42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06DDE"/>
    <w:multiLevelType w:val="multilevel"/>
    <w:tmpl w:val="7578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251166"/>
    <w:multiLevelType w:val="multilevel"/>
    <w:tmpl w:val="7208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E946E9"/>
    <w:multiLevelType w:val="multilevel"/>
    <w:tmpl w:val="1602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20576D"/>
    <w:multiLevelType w:val="multilevel"/>
    <w:tmpl w:val="92E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82832"/>
    <w:multiLevelType w:val="multilevel"/>
    <w:tmpl w:val="5E12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FA3F06"/>
    <w:multiLevelType w:val="multilevel"/>
    <w:tmpl w:val="0712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5028B6"/>
    <w:multiLevelType w:val="multilevel"/>
    <w:tmpl w:val="1C10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24B43"/>
    <w:multiLevelType w:val="multilevel"/>
    <w:tmpl w:val="361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00FA0"/>
    <w:multiLevelType w:val="multilevel"/>
    <w:tmpl w:val="5B44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6A04AA"/>
    <w:multiLevelType w:val="multilevel"/>
    <w:tmpl w:val="321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A932A4"/>
    <w:multiLevelType w:val="multilevel"/>
    <w:tmpl w:val="F198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40100"/>
    <w:multiLevelType w:val="multilevel"/>
    <w:tmpl w:val="198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7E7EB0"/>
    <w:multiLevelType w:val="multilevel"/>
    <w:tmpl w:val="F4D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6177150">
    <w:abstractNumId w:val="10"/>
  </w:num>
  <w:num w:numId="2" w16cid:durableId="64112807">
    <w:abstractNumId w:val="6"/>
  </w:num>
  <w:num w:numId="3" w16cid:durableId="1759673830">
    <w:abstractNumId w:val="18"/>
  </w:num>
  <w:num w:numId="4" w16cid:durableId="734860128">
    <w:abstractNumId w:val="4"/>
  </w:num>
  <w:num w:numId="5" w16cid:durableId="559361799">
    <w:abstractNumId w:val="16"/>
  </w:num>
  <w:num w:numId="6" w16cid:durableId="430973973">
    <w:abstractNumId w:val="13"/>
  </w:num>
  <w:num w:numId="7" w16cid:durableId="283926365">
    <w:abstractNumId w:val="19"/>
  </w:num>
  <w:num w:numId="8" w16cid:durableId="522868492">
    <w:abstractNumId w:val="11"/>
  </w:num>
  <w:num w:numId="9" w16cid:durableId="303825143">
    <w:abstractNumId w:val="7"/>
  </w:num>
  <w:num w:numId="10" w16cid:durableId="999818170">
    <w:abstractNumId w:val="9"/>
  </w:num>
  <w:num w:numId="11" w16cid:durableId="2089035024">
    <w:abstractNumId w:val="8"/>
  </w:num>
  <w:num w:numId="12" w16cid:durableId="1631670096">
    <w:abstractNumId w:val="2"/>
  </w:num>
  <w:num w:numId="13" w16cid:durableId="211158145">
    <w:abstractNumId w:val="14"/>
  </w:num>
  <w:num w:numId="14" w16cid:durableId="11077892">
    <w:abstractNumId w:val="20"/>
  </w:num>
  <w:num w:numId="15" w16cid:durableId="2015300711">
    <w:abstractNumId w:val="1"/>
  </w:num>
  <w:num w:numId="16" w16cid:durableId="1165246103">
    <w:abstractNumId w:val="0"/>
  </w:num>
  <w:num w:numId="17" w16cid:durableId="524447193">
    <w:abstractNumId w:val="17"/>
  </w:num>
  <w:num w:numId="18" w16cid:durableId="98256225">
    <w:abstractNumId w:val="15"/>
  </w:num>
  <w:num w:numId="19" w16cid:durableId="1109735464">
    <w:abstractNumId w:val="12"/>
  </w:num>
  <w:num w:numId="20" w16cid:durableId="1994597946">
    <w:abstractNumId w:val="5"/>
  </w:num>
  <w:num w:numId="21" w16cid:durableId="20661025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C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13DC0"/>
    <w:rsid w:val="00130906"/>
    <w:rsid w:val="001962C3"/>
    <w:rsid w:val="001B39DE"/>
    <w:rsid w:val="001B3C47"/>
    <w:rsid w:val="001D4E1E"/>
    <w:rsid w:val="001D7607"/>
    <w:rsid w:val="001E1FCC"/>
    <w:rsid w:val="00206323"/>
    <w:rsid w:val="00207C81"/>
    <w:rsid w:val="0023149C"/>
    <w:rsid w:val="00240190"/>
    <w:rsid w:val="002906F5"/>
    <w:rsid w:val="002928C2"/>
    <w:rsid w:val="002A5AD5"/>
    <w:rsid w:val="002D3C45"/>
    <w:rsid w:val="002E281F"/>
    <w:rsid w:val="002E648E"/>
    <w:rsid w:val="003012AD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C6146"/>
    <w:rsid w:val="003D3C08"/>
    <w:rsid w:val="003D3F2E"/>
    <w:rsid w:val="00404988"/>
    <w:rsid w:val="0040522B"/>
    <w:rsid w:val="00420850"/>
    <w:rsid w:val="0042712C"/>
    <w:rsid w:val="0043215D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86A94"/>
    <w:rsid w:val="005A51F5"/>
    <w:rsid w:val="005B042D"/>
    <w:rsid w:val="005D1597"/>
    <w:rsid w:val="005E47DE"/>
    <w:rsid w:val="00651E52"/>
    <w:rsid w:val="0065339A"/>
    <w:rsid w:val="00657FC7"/>
    <w:rsid w:val="0067179B"/>
    <w:rsid w:val="006725E1"/>
    <w:rsid w:val="0067760A"/>
    <w:rsid w:val="00691150"/>
    <w:rsid w:val="006A2C1C"/>
    <w:rsid w:val="006B605E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65614"/>
    <w:rsid w:val="0086708B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338D1"/>
    <w:rsid w:val="00956514"/>
    <w:rsid w:val="00962ED6"/>
    <w:rsid w:val="0097779B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0AFE"/>
    <w:rsid w:val="00AE6BBC"/>
    <w:rsid w:val="00AF643E"/>
    <w:rsid w:val="00B14B41"/>
    <w:rsid w:val="00B15C64"/>
    <w:rsid w:val="00B462EF"/>
    <w:rsid w:val="00B56C17"/>
    <w:rsid w:val="00B843CF"/>
    <w:rsid w:val="00BA684C"/>
    <w:rsid w:val="00BF1DD8"/>
    <w:rsid w:val="00C07BD6"/>
    <w:rsid w:val="00C125F7"/>
    <w:rsid w:val="00C13570"/>
    <w:rsid w:val="00C174CA"/>
    <w:rsid w:val="00C23BCC"/>
    <w:rsid w:val="00C7186C"/>
    <w:rsid w:val="00C767CB"/>
    <w:rsid w:val="00C84D8B"/>
    <w:rsid w:val="00C9318D"/>
    <w:rsid w:val="00CA7C7F"/>
    <w:rsid w:val="00CB14FE"/>
    <w:rsid w:val="00CB63E7"/>
    <w:rsid w:val="00CE1A53"/>
    <w:rsid w:val="00D037E1"/>
    <w:rsid w:val="00D24C91"/>
    <w:rsid w:val="00D32785"/>
    <w:rsid w:val="00D615DF"/>
    <w:rsid w:val="00DB5776"/>
    <w:rsid w:val="00DF3E66"/>
    <w:rsid w:val="00E12B11"/>
    <w:rsid w:val="00E51354"/>
    <w:rsid w:val="00E73208"/>
    <w:rsid w:val="00E856A7"/>
    <w:rsid w:val="00EA444D"/>
    <w:rsid w:val="00ED2471"/>
    <w:rsid w:val="00EE59E2"/>
    <w:rsid w:val="00F102B6"/>
    <w:rsid w:val="00F408FE"/>
    <w:rsid w:val="00F54F39"/>
    <w:rsid w:val="00F61953"/>
    <w:rsid w:val="00F773D2"/>
    <w:rsid w:val="00F80AC7"/>
    <w:rsid w:val="00F81160"/>
    <w:rsid w:val="00F84833"/>
    <w:rsid w:val="00FB4B89"/>
    <w:rsid w:val="00FC4C17"/>
    <w:rsid w:val="00FC5193"/>
    <w:rsid w:val="00FC6494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90023"/>
  <w14:defaultImageDpi w14:val="32767"/>
  <w15:chartTrackingRefBased/>
  <w15:docId w15:val="{DAA0D851-9594-D344-9CC0-5E1780C1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6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A6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A68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6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A68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A68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A68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A68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A68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68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A68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684C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A684C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A684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A684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A684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A684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A68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6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68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6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A68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A684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A684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A684C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A68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A684C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A684C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BA68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A684C"/>
    <w:rPr>
      <w:b/>
      <w:bCs/>
    </w:rPr>
  </w:style>
  <w:style w:type="character" w:customStyle="1" w:styleId="apple-converted-space">
    <w:name w:val="apple-converted-space"/>
    <w:basedOn w:val="Absatz-Standardschriftart"/>
    <w:rsid w:val="00BA684C"/>
  </w:style>
  <w:style w:type="table" w:styleId="Tabellenraster">
    <w:name w:val="Table Grid"/>
    <w:basedOn w:val="NormaleTabelle"/>
    <w:uiPriority w:val="39"/>
    <w:rsid w:val="00BA6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8069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5</cp:revision>
  <dcterms:created xsi:type="dcterms:W3CDTF">2025-04-09T14:56:00Z</dcterms:created>
  <dcterms:modified xsi:type="dcterms:W3CDTF">2025-04-12T08:20:00Z</dcterms:modified>
</cp:coreProperties>
</file>