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1518" w14:textId="77777777" w:rsid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R.T. (DOB 1956-06-14)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728391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2024-03-10 | </w:t>
      </w: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2024-03-30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Garcia (Hematology/Oncology), Dr. L. Chen (Neurology), Dr. S. Williams (Infectious Disease), Dr. J. Patel (Cardiology)</w:t>
      </w:r>
    </w:p>
    <w:p w14:paraId="41DBBCDA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FFD3533" w14:textId="77777777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FEE9E8C" w14:textId="77777777" w:rsid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Myeloma, Post-CAR-T Cell Therapy (Carvykti/ciltacabtagene autoleucel)</w:t>
      </w:r>
    </w:p>
    <w:p w14:paraId="70600FA9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0454378" w14:textId="77777777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4C3A0791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Myeloma, IgA Kappa, Relapsed/Refractory</w:t>
      </w:r>
    </w:p>
    <w:p w14:paraId="69412F9F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June 2021</w:t>
      </w:r>
    </w:p>
    <w:p w14:paraId="04CCE0D3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Diagnostic Criteria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2D9AE02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 marrow: 40% clonal plasma cells</w:t>
      </w:r>
    </w:p>
    <w:p w14:paraId="33F554C6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Monoclonal protein: IgA kappa, 3.2 g/dL</w:t>
      </w:r>
    </w:p>
    <w:p w14:paraId="65C205CC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lytic lesions in skull, ribs, spine</w:t>
      </w:r>
    </w:p>
    <w:p w14:paraId="5F654317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Anemia: Hemoglobin 8.9 g/dL</w:t>
      </w:r>
    </w:p>
    <w:p w14:paraId="4ACBBD58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Hypercalcemia: 11.2 mg/dL</w:t>
      </w:r>
    </w:p>
    <w:p w14:paraId="052BB9B5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function: Normal (Cr 1.0 mg/dL)</w:t>
      </w:r>
    </w:p>
    <w:p w14:paraId="797FF4F8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Cytogenetics/FISH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t(4;14), Gain of 1q21 (3 copies), No del(17p)</w:t>
      </w:r>
    </w:p>
    <w:p w14:paraId="3CE5D258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7C3445F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ISS: Stage II (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 4.5 mg/L, albumin 3.6 g/dL)</w:t>
      </w:r>
    </w:p>
    <w:p w14:paraId="7922D882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R-ISS: Stage II (high-risk cytogenetics, LDH 195 U/L)</w:t>
      </w:r>
    </w:p>
    <w:p w14:paraId="008765D5" w14:textId="77777777" w:rsid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8D8F7ED" w14:textId="3045CAF2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46AC0CF3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CAR-T Cell Therapy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179958D" w14:textId="77777777" w:rsidR="0075631D" w:rsidRPr="0075631D" w:rsidRDefault="0075631D" w:rsidP="007563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Product: Carvykti (ciltacabtagene autoleucel), BCMA-directed</w:t>
      </w:r>
    </w:p>
    <w:p w14:paraId="406B22CE" w14:textId="77777777" w:rsidR="0075631D" w:rsidRPr="0075631D" w:rsidRDefault="0075631D" w:rsidP="007563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Dose: 0.75 × 10^6 CAR+ viable T cells/kg (total 60 × 10^6 cells)</w:t>
      </w:r>
    </w:p>
    <w:p w14:paraId="692317D8" w14:textId="77777777" w:rsidR="0075631D" w:rsidRPr="0075631D" w:rsidRDefault="0075631D" w:rsidP="007563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 date: March 12, 2024</w:t>
      </w:r>
    </w:p>
    <w:p w14:paraId="02569F9A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Lymphodepletion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0357A29" w14:textId="77777777" w:rsidR="0075631D" w:rsidRPr="0075631D" w:rsidRDefault="0075631D" w:rsidP="007563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Fludarabine 30 mg/m² IV daily × 3 days (March 8-10)</w:t>
      </w:r>
    </w:p>
    <w:p w14:paraId="2E9C5EF9" w14:textId="77777777" w:rsidR="0075631D" w:rsidRPr="0075631D" w:rsidRDefault="0075631D" w:rsidP="007563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300 mg/m² IV daily × 3 days (March 8-10)</w:t>
      </w:r>
    </w:p>
    <w:p w14:paraId="3FF44C66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23CC02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Tocilizumab 8 mg/kg IV × 2 doses (March 14, 16) for Grade 2 CRS</w:t>
      </w:r>
    </w:p>
    <w:p w14:paraId="6A56323B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10 mg IV × 1 dose (March 16) for CRS not responding to tocilizumab</w:t>
      </w:r>
    </w:p>
    <w:p w14:paraId="07D1E28B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IVIG 400 mg/kg IV (March 28) for hypogammaglobulinemia</w:t>
      </w:r>
    </w:p>
    <w:p w14:paraId="19ECB18F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G-CSF 480 mcg SC daily × 3 doses (March 21-23) for neutropenia</w:t>
      </w:r>
    </w:p>
    <w:p w14:paraId="2864843B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Antimicrobial prophylaxis: Acyclovir, posaconazole, levofloxacin (d/c March 24)</w:t>
      </w:r>
    </w:p>
    <w:p w14:paraId="333197A3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Notable Events/Complications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9317A4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CRS requiring tocilizumab × 2 doses and dexamethasone × 1 dose</w:t>
      </w:r>
    </w:p>
    <w:p w14:paraId="75FEB6BB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 1 ICANS with spontaneous resolution</w:t>
      </w:r>
    </w:p>
    <w:p w14:paraId="47B52110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neutropenia responding to G-CSF</w:t>
      </w:r>
    </w:p>
    <w:p w14:paraId="0AC249B1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thrombocytopenia (nadir 42 × 10^9/L) without bleeding</w:t>
      </w:r>
    </w:p>
    <w:p w14:paraId="5A91CDD6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 documented infections</w:t>
      </w:r>
    </w:p>
    <w:p w14:paraId="26926FF9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Hypogammaglobulinemia (IgG 350 mg/dL) requiring IVIG replacement</w:t>
      </w:r>
    </w:p>
    <w:p w14:paraId="5ADE6624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significant organ toxicities (renal, hepatic, cardiac)</w:t>
      </w:r>
    </w:p>
    <w:p w14:paraId="545D3A3D" w14:textId="77777777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101663F" w14:textId="655A4D88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HISTORY</w:t>
      </w:r>
    </w:p>
    <w:p w14:paraId="4DBC3955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First-Line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(June 2021 - January 2022):</w:t>
      </w:r>
    </w:p>
    <w:p w14:paraId="48F03F6E" w14:textId="77777777" w:rsidR="0075631D" w:rsidRPr="0075631D" w:rsidRDefault="0075631D" w:rsidP="007563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VRd regimen → Partial response (PR)</w:t>
      </w:r>
    </w:p>
    <w:p w14:paraId="43BE38BA" w14:textId="77777777" w:rsidR="0075631D" w:rsidRPr="0075631D" w:rsidRDefault="0075631D" w:rsidP="007563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Autologous stem cell transplant (January 2022) → VGPR</w:t>
      </w:r>
    </w:p>
    <w:p w14:paraId="73930245" w14:textId="77777777" w:rsidR="0075631D" w:rsidRPr="0075631D" w:rsidRDefault="0075631D" w:rsidP="007563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Maintenance: Lenalidomide 10 mg daily</w:t>
      </w:r>
    </w:p>
    <w:p w14:paraId="69CB14F0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First Relapse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(November 2022):</w:t>
      </w:r>
    </w:p>
    <w:p w14:paraId="2EEF2F67" w14:textId="77777777" w:rsidR="0075631D" w:rsidRPr="0075631D" w:rsidRDefault="0075631D" w:rsidP="007563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DKd regimen (daratumumab, carfilzomib, dexamethasone) → VGPR after 8 cycles</w:t>
      </w:r>
    </w:p>
    <w:p w14:paraId="28FA51B2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Second Relapse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(August 2023):</w:t>
      </w:r>
    </w:p>
    <w:p w14:paraId="261CD3E3" w14:textId="77777777" w:rsidR="0075631D" w:rsidRPr="0075631D" w:rsidRDefault="0075631D" w:rsidP="0075631D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IsaPd regimen (isatuximab, pomalidomide, dexamethasone) → Initial response then progression after 4 cycles</w:t>
      </w:r>
    </w:p>
    <w:p w14:paraId="3AF9641C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Third Relapse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(December 2023):</w:t>
      </w:r>
    </w:p>
    <w:p w14:paraId="0C826C4D" w14:textId="77777777" w:rsidR="0075631D" w:rsidRPr="0075631D" w:rsidRDefault="0075631D" w:rsidP="0075631D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SVd bridge therapy (selinexor, bortezomib, dexamethasone) → Progressive disease</w:t>
      </w:r>
    </w:p>
    <w:p w14:paraId="02818F8E" w14:textId="77777777" w:rsidR="0075631D" w:rsidRPr="0075631D" w:rsidRDefault="0075631D" w:rsidP="0075631D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Leukapheresis: February 15, 2024</w:t>
      </w:r>
    </w:p>
    <w:p w14:paraId="3F6CFC4C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Pre-CAR-T Status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317D4EA" w14:textId="77777777" w:rsidR="0075631D" w:rsidRPr="0075631D" w:rsidRDefault="0075631D" w:rsidP="0075631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Triple-class refractory (IMiDs, PIs, anti-CD38)</w:t>
      </w:r>
    </w:p>
    <w:p w14:paraId="544FF5AA" w14:textId="77777777" w:rsidR="0075631D" w:rsidRPr="0075631D" w:rsidRDefault="0075631D" w:rsidP="0075631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Progressive disease with rising paraprotein, new bone lesions</w:t>
      </w:r>
    </w:p>
    <w:p w14:paraId="1A9060BD" w14:textId="77777777" w:rsidR="0075631D" w:rsidRPr="0075631D" w:rsidRDefault="0075631D" w:rsidP="0075631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 marrow (February 2024): 45% clonal plasma cells</w:t>
      </w:r>
    </w:p>
    <w:p w14:paraId="2FDBEE4E" w14:textId="77777777" w:rsidR="0075631D" w:rsidRPr="0075631D" w:rsidRDefault="0075631D" w:rsidP="0075631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BCMA expression: Positive (&gt;80% of plasma cells)</w:t>
      </w:r>
    </w:p>
    <w:p w14:paraId="104EF8CF" w14:textId="77777777" w:rsid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351F04B" w14:textId="179027AE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197C2B70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(2010, controlled)</w:t>
      </w:r>
    </w:p>
    <w:p w14:paraId="4B9B3863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Mellitus (2015, HbA1c 6.8% pre-admission)</w:t>
      </w:r>
    </w:p>
    <w:p w14:paraId="1CCEF97F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Secondary hyperparathyroidism due to Vitamin D deficiency</w:t>
      </w:r>
    </w:p>
    <w:p w14:paraId="4B463435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 of DVT (2021, during initial myeloma therapy)</w:t>
      </w:r>
    </w:p>
    <w:p w14:paraId="5F4DC27F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 osteoarthritis of both knees</w:t>
      </w:r>
    </w:p>
    <w:p w14:paraId="452B7BE5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1AB08BAD" w14:textId="77777777" w:rsid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03CE067" w14:textId="01EB374E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A798B96" w14:textId="77777777" w:rsid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Patient received lymphodepletion followed by CAR-T infusion on March 12. Developed Grade 2 CRS on day +2 post-infusion requiring tocilizumab. CRS symptoms worsened on day +4, necessitating second tocilizumab dose and dexamethasone, with subsequent resolution. Experienced Grade 1 ICANS on day +8 (word-finding difficulties, fine tremor) that resolved spontaneously.</w:t>
      </w:r>
    </w:p>
    <w:p w14:paraId="7A453FF4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13ECCDDD" w14:textId="77777777" w:rsid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Developed expected cytopenias with neutrophil and platelet nadirs on days 9-12, requiring G-CSF with subsequent count recovery. Received IVIG for hypogammaglobulinemia before discharge.</w:t>
      </w:r>
    </w:p>
    <w:p w14:paraId="4BE1A9C2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EA25EFD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Initial response assessment showed promising decrease in M-protein from 2.8 g/dL to 1.2 g/dL. Discharged on day +18 in stable condition.</w:t>
      </w:r>
    </w:p>
    <w:p w14:paraId="6AB78756" w14:textId="77777777" w:rsid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6230998" w14:textId="7342F4D5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7933E575" w14:textId="4381C90E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CAR-T Related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F6A028" w14:textId="77777777" w:rsidR="0075631D" w:rsidRPr="0075631D" w:rsidRDefault="0075631D" w:rsidP="0075631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 400 mg PO BID (continue ≥12 months post-CAR-T)</w:t>
      </w:r>
    </w:p>
    <w:p w14:paraId="4E6AF286" w14:textId="77777777" w:rsidR="0075631D" w:rsidRPr="0075631D" w:rsidRDefault="0075631D" w:rsidP="0075631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 300 mg PO daily (continue until day +90)</w:t>
      </w:r>
    </w:p>
    <w:p w14:paraId="77E6F045" w14:textId="77777777" w:rsidR="0075631D" w:rsidRPr="0075631D" w:rsidRDefault="0075631D" w:rsidP="0075631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TMP-SMX 800/160 mg PO MWF (continue until CD4 &gt;200/μL)</w:t>
      </w:r>
    </w:p>
    <w:p w14:paraId="719C6EFD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 Medications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95ADDB8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 500 mg PO BID</w:t>
      </w:r>
    </w:p>
    <w:p w14:paraId="4DF88E6B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Lisinopril 10 mg PO daily</w:t>
      </w:r>
    </w:p>
    <w:p w14:paraId="537C9003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6CADA791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 5 mg PO BID</w:t>
      </w:r>
    </w:p>
    <w:p w14:paraId="5D0255C4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Calcium carbonate 600 mg PO daily</w:t>
      </w:r>
    </w:p>
    <w:p w14:paraId="3DA13637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D3 2000 IU PO daily</w:t>
      </w:r>
    </w:p>
    <w:p w14:paraId="6CA9B90A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Zoledronic acid 4 mg IV q4w</w:t>
      </w:r>
    </w:p>
    <w:p w14:paraId="462CA566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PRN Medications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9D22221" w14:textId="77777777" w:rsidR="0075631D" w:rsidRPr="0075631D" w:rsidRDefault="0075631D" w:rsidP="0075631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4D74314A" w14:textId="77777777" w:rsidR="0075631D" w:rsidRPr="0075631D" w:rsidRDefault="0075631D" w:rsidP="0075631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 nausea</w:t>
      </w:r>
    </w:p>
    <w:p w14:paraId="7D93D3E6" w14:textId="77777777" w:rsidR="0075631D" w:rsidRPr="0075631D" w:rsidRDefault="0075631D" w:rsidP="0075631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Lorazepam 0.5 mg PO Q8H PRN anxiety/insomnia</w:t>
      </w:r>
    </w:p>
    <w:p w14:paraId="764DCFC9" w14:textId="77777777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B350D9A" w14:textId="4DB3659B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2D5787C4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Short-term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200343C" w14:textId="77777777" w:rsidR="0075631D" w:rsidRPr="0075631D" w:rsidRDefault="0075631D" w:rsidP="0075631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CAR-T clinic: April 2, 2024 (day +21)</w:t>
      </w:r>
    </w:p>
    <w:p w14:paraId="2CE0A6F5" w14:textId="77777777" w:rsidR="0075631D" w:rsidRPr="0075631D" w:rsidRDefault="0075631D" w:rsidP="0075631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immunoglobulins twice weekly for first 4 weeks</w:t>
      </w:r>
    </w:p>
    <w:p w14:paraId="4171D195" w14:textId="77777777" w:rsidR="0075631D" w:rsidRPr="0075631D" w:rsidRDefault="0075631D" w:rsidP="0075631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SPEP, UPEP, immunofixation, and sFLC at day 28</w:t>
      </w:r>
    </w:p>
    <w:p w14:paraId="46820D08" w14:textId="77777777" w:rsidR="0075631D" w:rsidRPr="0075631D" w:rsidRDefault="0075631D" w:rsidP="0075631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 formal response assessment at day 28 including zoledronic acid infusion</w:t>
      </w:r>
    </w:p>
    <w:p w14:paraId="063AC5D3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7C3E1EF" w14:textId="77777777" w:rsidR="0075631D" w:rsidRPr="0075631D" w:rsidRDefault="0075631D" w:rsidP="0075631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 temperature checks at home</w:t>
      </w:r>
    </w:p>
    <w:p w14:paraId="50BF3CBB" w14:textId="77777777" w:rsidR="0075631D" w:rsidRPr="0075631D" w:rsidRDefault="0075631D" w:rsidP="0075631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CMP for 8 weeks post-discharge</w:t>
      </w:r>
    </w:p>
    <w:p w14:paraId="5389A088" w14:textId="77777777" w:rsidR="0075631D" w:rsidRPr="0075631D" w:rsidRDefault="0075631D" w:rsidP="0075631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Regular assessment for late-onset CRS/ICANS (up to 8 weeks)</w:t>
      </w:r>
    </w:p>
    <w:p w14:paraId="61E07000" w14:textId="77777777" w:rsidR="0075631D" w:rsidRPr="0075631D" w:rsidRDefault="0075631D" w:rsidP="0075631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Routine assessment for B-cell aplasia and hypogammaglobulinemia</w:t>
      </w:r>
    </w:p>
    <w:p w14:paraId="7A358DBB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Long-term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8B480D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Monthly clinic visits for first 6 months</w:t>
      </w:r>
    </w:p>
    <w:p w14:paraId="415803FF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IgG level monitoring every 3 months; IVIG if IgG &lt;400 mg/dL or recurrent infections</w:t>
      </w:r>
    </w:p>
    <w:p w14:paraId="689E2F6A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assessment at 3 months if response evident</w:t>
      </w:r>
    </w:p>
    <w:p w14:paraId="178DF749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PET/CT at 3 months if initial response documented</w:t>
      </w:r>
    </w:p>
    <w:p w14:paraId="3C547613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Resume age-appropriate cancer screening at 6 months</w:t>
      </w:r>
    </w:p>
    <w:p w14:paraId="0F42867B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Vaccinations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2DCC6B" w14:textId="77777777" w:rsidR="0075631D" w:rsidRPr="0075631D" w:rsidRDefault="0075631D" w:rsidP="0075631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 live vaccines contraindicated until immune recovery</w:t>
      </w:r>
    </w:p>
    <w:p w14:paraId="2607CD09" w14:textId="77777777" w:rsidR="0075631D" w:rsidRPr="0075631D" w:rsidRDefault="0075631D" w:rsidP="0075631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Inactivated vaccine series to begin ~12 months post-CAR-T</w:t>
      </w:r>
    </w:p>
    <w:p w14:paraId="14519389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When to Seek Emergency Care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895AA44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≥38.3°C (101°F)</w:t>
      </w:r>
    </w:p>
    <w:p w14:paraId="40B1AEB9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New/worsening confusion, speech difficulty, altered mental status</w:t>
      </w:r>
    </w:p>
    <w:p w14:paraId="7B88B5A3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New/worsening shortness of breath or chest pain</w:t>
      </w:r>
    </w:p>
    <w:p w14:paraId="46AD2487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Persistent headache, dizziness, blurry vision</w:t>
      </w:r>
    </w:p>
    <w:p w14:paraId="7B5F21B0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Shaking chills, severe fatigue, feeling faint</w:t>
      </w:r>
    </w:p>
    <w:p w14:paraId="0B9C4431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Restrictions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F0CAD2" w14:textId="77777777" w:rsidR="0075631D" w:rsidRPr="0075631D" w:rsidRDefault="0075631D" w:rsidP="0075631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 driving for 8 weeks post-infusion</w:t>
      </w:r>
    </w:p>
    <w:p w14:paraId="24A1848D" w14:textId="77777777" w:rsidR="0075631D" w:rsidRPr="0075631D" w:rsidRDefault="0075631D" w:rsidP="0075631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 crowds/infections for 3 months</w:t>
      </w:r>
    </w:p>
    <w:p w14:paraId="6366D9C8" w14:textId="77777777" w:rsidR="0075631D" w:rsidRPr="0075631D" w:rsidRDefault="0075631D" w:rsidP="0075631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 heavy lifting (&gt;10 lbs) for 2 weeks</w:t>
      </w:r>
    </w:p>
    <w:p w14:paraId="7BBDAF36" w14:textId="77777777" w:rsidR="0075631D" w:rsidRPr="0075631D" w:rsidRDefault="0075631D" w:rsidP="0075631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Low-microbial diet for 3 months</w:t>
      </w:r>
    </w:p>
    <w:p w14:paraId="23DA2230" w14:textId="77777777" w:rsid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51C031E" w14:textId="50DA08AF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7"/>
        <w:gridCol w:w="2683"/>
        <w:gridCol w:w="1844"/>
        <w:gridCol w:w="2084"/>
      </w:tblGrid>
      <w:tr w:rsidR="0075631D" w:rsidRPr="0075631D" w14:paraId="1E64BAEE" w14:textId="77777777" w:rsidTr="0075631D">
        <w:tc>
          <w:tcPr>
            <w:tcW w:w="0" w:type="auto"/>
            <w:hideMark/>
          </w:tcPr>
          <w:p w14:paraId="537B6D67" w14:textId="77777777" w:rsidR="0075631D" w:rsidRPr="0075631D" w:rsidRDefault="0075631D" w:rsidP="0075631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4120DDD6" w14:textId="77777777" w:rsidR="0075631D" w:rsidRPr="0075631D" w:rsidRDefault="0075631D" w:rsidP="0075631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Pre-Lymphodepletion</w:t>
            </w:r>
          </w:p>
        </w:tc>
        <w:tc>
          <w:tcPr>
            <w:tcW w:w="0" w:type="auto"/>
            <w:hideMark/>
          </w:tcPr>
          <w:p w14:paraId="24EB3748" w14:textId="77777777" w:rsidR="0075631D" w:rsidRPr="0075631D" w:rsidRDefault="0075631D" w:rsidP="0075631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Pre-Discharge</w:t>
            </w:r>
          </w:p>
        </w:tc>
        <w:tc>
          <w:tcPr>
            <w:tcW w:w="0" w:type="auto"/>
            <w:hideMark/>
          </w:tcPr>
          <w:p w14:paraId="6EB48524" w14:textId="77777777" w:rsidR="0075631D" w:rsidRPr="0075631D" w:rsidRDefault="0075631D" w:rsidP="0075631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75631D" w:rsidRPr="0075631D" w14:paraId="32CAA13B" w14:textId="77777777" w:rsidTr="0075631D">
        <w:tc>
          <w:tcPr>
            <w:tcW w:w="0" w:type="auto"/>
            <w:hideMark/>
          </w:tcPr>
          <w:p w14:paraId="1963F1E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2A435880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74A6E177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4124908F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75631D" w:rsidRPr="0075631D" w14:paraId="4203C139" w14:textId="77777777" w:rsidTr="0075631D">
        <w:tc>
          <w:tcPr>
            <w:tcW w:w="0" w:type="auto"/>
            <w:hideMark/>
          </w:tcPr>
          <w:p w14:paraId="229821C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4153FAB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4DC57C18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2C36811B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1.8-7.7 × 10^9/L</w:t>
            </w:r>
          </w:p>
        </w:tc>
      </w:tr>
      <w:tr w:rsidR="0075631D" w:rsidRPr="0075631D" w14:paraId="51061976" w14:textId="77777777" w:rsidTr="0075631D">
        <w:tc>
          <w:tcPr>
            <w:tcW w:w="0" w:type="auto"/>
            <w:hideMark/>
          </w:tcPr>
          <w:p w14:paraId="25188E70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</w:p>
        </w:tc>
        <w:tc>
          <w:tcPr>
            <w:tcW w:w="0" w:type="auto"/>
            <w:hideMark/>
          </w:tcPr>
          <w:p w14:paraId="3A1D134A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0879C4F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42870636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 × 10^9/L</w:t>
            </w:r>
          </w:p>
        </w:tc>
      </w:tr>
      <w:tr w:rsidR="0075631D" w:rsidRPr="0075631D" w14:paraId="43F881B2" w14:textId="77777777" w:rsidTr="0075631D">
        <w:tc>
          <w:tcPr>
            <w:tcW w:w="0" w:type="auto"/>
            <w:hideMark/>
          </w:tcPr>
          <w:p w14:paraId="720BA785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</w:p>
        </w:tc>
        <w:tc>
          <w:tcPr>
            <w:tcW w:w="0" w:type="auto"/>
            <w:hideMark/>
          </w:tcPr>
          <w:p w14:paraId="4426897C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157530B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4BDBA291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g/dL</w:t>
            </w:r>
          </w:p>
        </w:tc>
      </w:tr>
      <w:tr w:rsidR="0075631D" w:rsidRPr="0075631D" w14:paraId="437E1D42" w14:textId="77777777" w:rsidTr="0075631D">
        <w:tc>
          <w:tcPr>
            <w:tcW w:w="0" w:type="auto"/>
            <w:hideMark/>
          </w:tcPr>
          <w:p w14:paraId="2F946E85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</w:p>
        </w:tc>
        <w:tc>
          <w:tcPr>
            <w:tcW w:w="0" w:type="auto"/>
            <w:hideMark/>
          </w:tcPr>
          <w:p w14:paraId="6C60AA86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537AB816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25F502E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75631D" w:rsidRPr="0075631D" w14:paraId="3C28EC8D" w14:textId="77777777" w:rsidTr="0075631D">
        <w:tc>
          <w:tcPr>
            <w:tcW w:w="0" w:type="auto"/>
            <w:hideMark/>
          </w:tcPr>
          <w:p w14:paraId="58353AA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</w:p>
        </w:tc>
        <w:tc>
          <w:tcPr>
            <w:tcW w:w="0" w:type="auto"/>
            <w:hideMark/>
          </w:tcPr>
          <w:p w14:paraId="0D18E68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680</w:t>
            </w:r>
          </w:p>
        </w:tc>
        <w:tc>
          <w:tcPr>
            <w:tcW w:w="0" w:type="auto"/>
            <w:hideMark/>
          </w:tcPr>
          <w:p w14:paraId="0F5171B0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428324D6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700-1600 mg/dL</w:t>
            </w:r>
          </w:p>
        </w:tc>
      </w:tr>
      <w:tr w:rsidR="0075631D" w:rsidRPr="0075631D" w14:paraId="61D19BB5" w14:textId="77777777" w:rsidTr="0075631D">
        <w:tc>
          <w:tcPr>
            <w:tcW w:w="0" w:type="auto"/>
            <w:hideMark/>
          </w:tcPr>
          <w:p w14:paraId="0907A9A7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IgA (M-protein)</w:t>
            </w:r>
          </w:p>
        </w:tc>
        <w:tc>
          <w:tcPr>
            <w:tcW w:w="0" w:type="auto"/>
            <w:hideMark/>
          </w:tcPr>
          <w:p w14:paraId="060429A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2800</w:t>
            </w:r>
          </w:p>
        </w:tc>
        <w:tc>
          <w:tcPr>
            <w:tcW w:w="0" w:type="auto"/>
            <w:hideMark/>
          </w:tcPr>
          <w:p w14:paraId="68BE0E01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5E2C3A9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70-400 mg/dL</w:t>
            </w:r>
          </w:p>
        </w:tc>
      </w:tr>
      <w:tr w:rsidR="0075631D" w:rsidRPr="0075631D" w14:paraId="52943E64" w14:textId="77777777" w:rsidTr="0075631D">
        <w:tc>
          <w:tcPr>
            <w:tcW w:w="0" w:type="auto"/>
            <w:hideMark/>
          </w:tcPr>
          <w:p w14:paraId="414F6691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Kappa FLC</w:t>
            </w:r>
          </w:p>
        </w:tc>
        <w:tc>
          <w:tcPr>
            <w:tcW w:w="0" w:type="auto"/>
            <w:hideMark/>
          </w:tcPr>
          <w:p w14:paraId="1E1E8D2A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62.5</w:t>
            </w:r>
          </w:p>
        </w:tc>
        <w:tc>
          <w:tcPr>
            <w:tcW w:w="0" w:type="auto"/>
            <w:hideMark/>
          </w:tcPr>
          <w:p w14:paraId="151A387C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28.2</w:t>
            </w:r>
          </w:p>
        </w:tc>
        <w:tc>
          <w:tcPr>
            <w:tcW w:w="0" w:type="auto"/>
            <w:hideMark/>
          </w:tcPr>
          <w:p w14:paraId="29F5B7A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3.3-19.4 mg/L</w:t>
            </w:r>
          </w:p>
        </w:tc>
      </w:tr>
      <w:tr w:rsidR="0075631D" w:rsidRPr="0075631D" w14:paraId="14E68510" w14:textId="77777777" w:rsidTr="0075631D">
        <w:tc>
          <w:tcPr>
            <w:tcW w:w="0" w:type="auto"/>
            <w:hideMark/>
          </w:tcPr>
          <w:p w14:paraId="1C2A544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Lambda FLC</w:t>
            </w:r>
          </w:p>
        </w:tc>
        <w:tc>
          <w:tcPr>
            <w:tcW w:w="0" w:type="auto"/>
            <w:hideMark/>
          </w:tcPr>
          <w:p w14:paraId="1EF0DCE0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15.2</w:t>
            </w:r>
          </w:p>
        </w:tc>
        <w:tc>
          <w:tcPr>
            <w:tcW w:w="0" w:type="auto"/>
            <w:hideMark/>
          </w:tcPr>
          <w:p w14:paraId="19563B1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14.8</w:t>
            </w:r>
          </w:p>
        </w:tc>
        <w:tc>
          <w:tcPr>
            <w:tcW w:w="0" w:type="auto"/>
            <w:hideMark/>
          </w:tcPr>
          <w:p w14:paraId="1C26BB27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5.7-26.3 mg/L</w:t>
            </w:r>
          </w:p>
        </w:tc>
      </w:tr>
      <w:tr w:rsidR="0075631D" w:rsidRPr="0075631D" w14:paraId="097916AF" w14:textId="77777777" w:rsidTr="0075631D">
        <w:tc>
          <w:tcPr>
            <w:tcW w:w="0" w:type="auto"/>
            <w:hideMark/>
          </w:tcPr>
          <w:p w14:paraId="6A8B6BA2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K/L Ratio</w:t>
            </w:r>
          </w:p>
        </w:tc>
        <w:tc>
          <w:tcPr>
            <w:tcW w:w="0" w:type="auto"/>
            <w:hideMark/>
          </w:tcPr>
          <w:p w14:paraId="01AD283B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4.11</w:t>
            </w:r>
          </w:p>
        </w:tc>
        <w:tc>
          <w:tcPr>
            <w:tcW w:w="0" w:type="auto"/>
            <w:hideMark/>
          </w:tcPr>
          <w:p w14:paraId="6AED1501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1.91</w:t>
            </w:r>
          </w:p>
        </w:tc>
        <w:tc>
          <w:tcPr>
            <w:tcW w:w="0" w:type="auto"/>
            <w:hideMark/>
          </w:tcPr>
          <w:p w14:paraId="244BC2B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0.26-1.65</w:t>
            </w:r>
          </w:p>
        </w:tc>
      </w:tr>
      <w:tr w:rsidR="0075631D" w:rsidRPr="0075631D" w14:paraId="4DAB9BBD" w14:textId="77777777" w:rsidTr="0075631D">
        <w:tc>
          <w:tcPr>
            <w:tcW w:w="0" w:type="auto"/>
            <w:hideMark/>
          </w:tcPr>
          <w:p w14:paraId="05680042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β2-M</w:t>
            </w:r>
          </w:p>
        </w:tc>
        <w:tc>
          <w:tcPr>
            <w:tcW w:w="0" w:type="auto"/>
            <w:hideMark/>
          </w:tcPr>
          <w:p w14:paraId="01DE9EC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547EC22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1DEAA43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&lt;2.7 mg/L</w:t>
            </w:r>
          </w:p>
        </w:tc>
      </w:tr>
    </w:tbl>
    <w:p w14:paraId="30895F8F" w14:textId="77777777" w:rsidR="0075631D" w:rsidRDefault="0075631D" w:rsidP="0075631D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B828ADC" w14:textId="578BFD83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Electronically Signed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  <w:t>Dr. M. Garcia (Hematology/Oncology)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  <w:t>Dr. S. Williams (Infectious Disease)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  <w:t>Dr. L. Chen (Neurology)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  <w:t>Date: 2024-03-30</w:t>
      </w:r>
    </w:p>
    <w:p w14:paraId="060A6C97" w14:textId="77777777" w:rsidR="00000000" w:rsidRPr="0075631D" w:rsidRDefault="00000000" w:rsidP="0075631D">
      <w:pPr>
        <w:rPr>
          <w:rFonts w:ascii="Arial" w:hAnsi="Arial" w:cs="Arial"/>
        </w:rPr>
      </w:pPr>
    </w:p>
    <w:sectPr w:rsidR="00112DEB" w:rsidRPr="0075631D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4A94"/>
    <w:multiLevelType w:val="multilevel"/>
    <w:tmpl w:val="CCF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70AFA"/>
    <w:multiLevelType w:val="multilevel"/>
    <w:tmpl w:val="B05C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912C3"/>
    <w:multiLevelType w:val="multilevel"/>
    <w:tmpl w:val="C72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13D5"/>
    <w:multiLevelType w:val="multilevel"/>
    <w:tmpl w:val="315A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4FF8"/>
    <w:multiLevelType w:val="multilevel"/>
    <w:tmpl w:val="519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9746B"/>
    <w:multiLevelType w:val="multilevel"/>
    <w:tmpl w:val="1D8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429E8"/>
    <w:multiLevelType w:val="multilevel"/>
    <w:tmpl w:val="E4EA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E10F2"/>
    <w:multiLevelType w:val="multilevel"/>
    <w:tmpl w:val="917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F7972"/>
    <w:multiLevelType w:val="multilevel"/>
    <w:tmpl w:val="996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56717"/>
    <w:multiLevelType w:val="multilevel"/>
    <w:tmpl w:val="353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72A9C"/>
    <w:multiLevelType w:val="multilevel"/>
    <w:tmpl w:val="E07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250B5"/>
    <w:multiLevelType w:val="multilevel"/>
    <w:tmpl w:val="D620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A6212"/>
    <w:multiLevelType w:val="multilevel"/>
    <w:tmpl w:val="129E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20BA4"/>
    <w:multiLevelType w:val="multilevel"/>
    <w:tmpl w:val="65C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751F7"/>
    <w:multiLevelType w:val="multilevel"/>
    <w:tmpl w:val="669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C01F4"/>
    <w:multiLevelType w:val="multilevel"/>
    <w:tmpl w:val="381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43E52"/>
    <w:multiLevelType w:val="multilevel"/>
    <w:tmpl w:val="2D9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60D00"/>
    <w:multiLevelType w:val="multilevel"/>
    <w:tmpl w:val="C6C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061AD"/>
    <w:multiLevelType w:val="multilevel"/>
    <w:tmpl w:val="DFE0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16DED"/>
    <w:multiLevelType w:val="multilevel"/>
    <w:tmpl w:val="E75C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075207">
    <w:abstractNumId w:val="3"/>
  </w:num>
  <w:num w:numId="2" w16cid:durableId="1399859268">
    <w:abstractNumId w:val="6"/>
  </w:num>
  <w:num w:numId="3" w16cid:durableId="460809266">
    <w:abstractNumId w:val="17"/>
  </w:num>
  <w:num w:numId="4" w16cid:durableId="1522625884">
    <w:abstractNumId w:val="1"/>
  </w:num>
  <w:num w:numId="5" w16cid:durableId="497120152">
    <w:abstractNumId w:val="8"/>
  </w:num>
  <w:num w:numId="6" w16cid:durableId="1841852689">
    <w:abstractNumId w:val="16"/>
  </w:num>
  <w:num w:numId="7" w16cid:durableId="773596080">
    <w:abstractNumId w:val="15"/>
  </w:num>
  <w:num w:numId="8" w16cid:durableId="1858226219">
    <w:abstractNumId w:val="11"/>
  </w:num>
  <w:num w:numId="9" w16cid:durableId="1392994734">
    <w:abstractNumId w:val="14"/>
  </w:num>
  <w:num w:numId="10" w16cid:durableId="558512552">
    <w:abstractNumId w:val="2"/>
  </w:num>
  <w:num w:numId="11" w16cid:durableId="700400428">
    <w:abstractNumId w:val="7"/>
  </w:num>
  <w:num w:numId="12" w16cid:durableId="1588031078">
    <w:abstractNumId w:val="5"/>
  </w:num>
  <w:num w:numId="13" w16cid:durableId="916790145">
    <w:abstractNumId w:val="0"/>
  </w:num>
  <w:num w:numId="14" w16cid:durableId="553584327">
    <w:abstractNumId w:val="13"/>
  </w:num>
  <w:num w:numId="15" w16cid:durableId="602038417">
    <w:abstractNumId w:val="4"/>
  </w:num>
  <w:num w:numId="16" w16cid:durableId="775759795">
    <w:abstractNumId w:val="12"/>
  </w:num>
  <w:num w:numId="17" w16cid:durableId="1297949691">
    <w:abstractNumId w:val="9"/>
  </w:num>
  <w:num w:numId="18" w16cid:durableId="225530853">
    <w:abstractNumId w:val="19"/>
  </w:num>
  <w:num w:numId="19" w16cid:durableId="1066297583">
    <w:abstractNumId w:val="10"/>
  </w:num>
  <w:num w:numId="20" w16cid:durableId="9084611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1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5631D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0E1D4"/>
  <w14:defaultImageDpi w14:val="32767"/>
  <w15:chartTrackingRefBased/>
  <w15:docId w15:val="{EADF7CD0-C715-3E4E-AA50-D3D161FF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6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6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31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31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6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6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6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6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631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31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631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563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5631D"/>
    <w:rPr>
      <w:b/>
      <w:bCs/>
    </w:rPr>
  </w:style>
  <w:style w:type="character" w:customStyle="1" w:styleId="apple-converted-space">
    <w:name w:val="apple-converted-space"/>
    <w:basedOn w:val="Absatz-Standardschriftart"/>
    <w:rsid w:val="0075631D"/>
  </w:style>
  <w:style w:type="table" w:styleId="Tabellenraster">
    <w:name w:val="Table Grid"/>
    <w:basedOn w:val="NormaleTabelle"/>
    <w:uiPriority w:val="39"/>
    <w:rsid w:val="00756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2025-04-10T19:10:00Z</dcterms:created>
  <dcterms:modified xsi:type="dcterms:W3CDTF">2025-04-10T19:11:00Z</dcterms:modified>
</cp:coreProperties>
</file>