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1F51" w14:textId="77777777" w:rsidR="00956DB9" w:rsidRPr="004C7E50" w:rsidRDefault="00956DB9" w:rsidP="00956DB9">
      <w:pPr>
        <w:pStyle w:val="Titre"/>
        <w:jc w:val="center"/>
        <w:rPr>
          <w:b/>
          <w:bCs/>
          <w:color w:val="244061" w:themeColor="accent1" w:themeShade="80"/>
          <w:sz w:val="28"/>
          <w:szCs w:val="28"/>
        </w:rPr>
      </w:pPr>
      <w:bookmarkStart w:id="0" w:name="_bg0kb2muw5z2" w:colFirst="0" w:colLast="0"/>
      <w:bookmarkEnd w:id="0"/>
      <w:r w:rsidRPr="004C7E50">
        <w:rPr>
          <w:b/>
          <w:bCs/>
          <w:color w:val="244061" w:themeColor="accent1" w:themeShade="80"/>
          <w:sz w:val="28"/>
          <w:szCs w:val="28"/>
        </w:rPr>
        <w:t>COMBIEN DE PERSONNES ONT DÉVELOPPÉ DES SYMPTÔMES OU CONTRACTÉ LA COVID-19 AU QUÉBEC ?</w:t>
      </w:r>
    </w:p>
    <w:p w14:paraId="0F8B6475" w14:textId="77777777" w:rsidR="00956DB9" w:rsidRPr="004C7E50" w:rsidRDefault="00956DB9" w:rsidP="00956DB9">
      <w:pPr>
        <w:ind w:left="500" w:right="500"/>
        <w:jc w:val="center"/>
        <w:rPr>
          <w:b/>
          <w:color w:val="244061" w:themeColor="accent1" w:themeShade="80"/>
          <w:sz w:val="32"/>
          <w:szCs w:val="32"/>
        </w:rPr>
      </w:pPr>
      <w:r w:rsidRPr="004C7E50">
        <w:rPr>
          <w:b/>
          <w:color w:val="244061" w:themeColor="accent1" w:themeShade="80"/>
          <w:sz w:val="32"/>
          <w:szCs w:val="32"/>
        </w:rPr>
        <w:t>Une étude exploratoire</w:t>
      </w:r>
    </w:p>
    <w:p w14:paraId="7199A40F" w14:textId="77777777" w:rsidR="00956DB9" w:rsidRDefault="00956DB9" w:rsidP="00956DB9">
      <w:pPr>
        <w:ind w:left="500" w:right="500"/>
        <w:jc w:val="center"/>
        <w:rPr>
          <w:b/>
          <w:sz w:val="32"/>
          <w:szCs w:val="32"/>
        </w:rPr>
      </w:pPr>
      <w:r>
        <w:rPr>
          <w:b/>
          <w:sz w:val="32"/>
          <w:szCs w:val="32"/>
        </w:rPr>
        <w:t>-------</w:t>
      </w:r>
    </w:p>
    <w:p w14:paraId="2E37BF33" w14:textId="56853B8E" w:rsidR="00956DB9" w:rsidRPr="00C7059E" w:rsidRDefault="00956DB9" w:rsidP="00956DB9">
      <w:pPr>
        <w:ind w:left="500" w:right="500"/>
        <w:jc w:val="center"/>
        <w:rPr>
          <w:b/>
          <w:sz w:val="32"/>
          <w:szCs w:val="32"/>
        </w:rPr>
      </w:pPr>
      <w:r w:rsidRPr="00C7059E">
        <w:rPr>
          <w:b/>
          <w:sz w:val="32"/>
          <w:szCs w:val="32"/>
        </w:rPr>
        <w:t xml:space="preserve">Supplément </w:t>
      </w:r>
      <w:r>
        <w:rPr>
          <w:b/>
          <w:sz w:val="32"/>
          <w:szCs w:val="32"/>
        </w:rPr>
        <w:t>2</w:t>
      </w:r>
    </w:p>
    <w:p w14:paraId="2BAEC2CC" w14:textId="511D808F" w:rsidR="00956DB9" w:rsidRPr="00C7059E" w:rsidRDefault="00956DB9" w:rsidP="00956DB9">
      <w:pPr>
        <w:ind w:left="500" w:right="500"/>
        <w:jc w:val="center"/>
        <w:rPr>
          <w:b/>
          <w:sz w:val="32"/>
          <w:szCs w:val="32"/>
        </w:rPr>
      </w:pPr>
      <w:r w:rsidRPr="00C7059E">
        <w:rPr>
          <w:b/>
          <w:sz w:val="24"/>
          <w:szCs w:val="24"/>
        </w:rPr>
        <w:t xml:space="preserve">Semaine finissant le </w:t>
      </w:r>
      <w:r>
        <w:rPr>
          <w:b/>
          <w:sz w:val="24"/>
          <w:szCs w:val="24"/>
        </w:rPr>
        <w:t>1</w:t>
      </w:r>
      <w:r w:rsidRPr="00956DB9">
        <w:rPr>
          <w:b/>
          <w:sz w:val="24"/>
          <w:szCs w:val="24"/>
          <w:vertAlign w:val="superscript"/>
        </w:rPr>
        <w:t>er</w:t>
      </w:r>
      <w:r>
        <w:rPr>
          <w:b/>
          <w:sz w:val="24"/>
          <w:szCs w:val="24"/>
        </w:rPr>
        <w:t xml:space="preserve"> février </w:t>
      </w:r>
      <w:r w:rsidRPr="00C7059E">
        <w:rPr>
          <w:b/>
          <w:sz w:val="24"/>
          <w:szCs w:val="24"/>
        </w:rPr>
        <w:t xml:space="preserve">2022 (temps </w:t>
      </w:r>
      <w:r>
        <w:rPr>
          <w:b/>
          <w:sz w:val="24"/>
          <w:szCs w:val="24"/>
        </w:rPr>
        <w:t>3</w:t>
      </w:r>
      <w:r w:rsidRPr="00C7059E">
        <w:rPr>
          <w:b/>
          <w:sz w:val="24"/>
          <w:szCs w:val="24"/>
        </w:rPr>
        <w:t xml:space="preserve"> de la collecte)</w:t>
      </w:r>
    </w:p>
    <w:p w14:paraId="6A73D995" w14:textId="77777777" w:rsidR="00956DB9" w:rsidRPr="00C7059E" w:rsidRDefault="00956DB9" w:rsidP="00956DB9">
      <w:pPr>
        <w:jc w:val="center"/>
        <w:rPr>
          <w:sz w:val="21"/>
          <w:szCs w:val="21"/>
        </w:rPr>
      </w:pPr>
    </w:p>
    <w:p w14:paraId="796F2249" w14:textId="77777777" w:rsidR="00956DB9" w:rsidRPr="00C7059E" w:rsidRDefault="00956DB9" w:rsidP="00956DB9">
      <w:pPr>
        <w:pStyle w:val="Titre"/>
        <w:jc w:val="center"/>
        <w:rPr>
          <w:bCs/>
          <w:i/>
          <w:iCs/>
          <w:sz w:val="24"/>
          <w:szCs w:val="24"/>
        </w:rPr>
      </w:pPr>
      <w:r w:rsidRPr="00C7059E">
        <w:rPr>
          <w:bCs/>
          <w:i/>
          <w:sz w:val="24"/>
          <w:szCs w:val="24"/>
        </w:rPr>
        <w:t>David Boisclair</w:t>
      </w:r>
      <w:r w:rsidRPr="00C7059E">
        <w:rPr>
          <w:rStyle w:val="Appelnotedebasdep"/>
          <w:bCs/>
          <w:i/>
          <w:sz w:val="24"/>
          <w:szCs w:val="24"/>
        </w:rPr>
        <w:footnoteReference w:id="1"/>
      </w:r>
      <w:r w:rsidRPr="00C7059E">
        <w:rPr>
          <w:bCs/>
          <w:i/>
          <w:sz w:val="24"/>
          <w:szCs w:val="24"/>
        </w:rPr>
        <w:t xml:space="preserve">, Roxane </w:t>
      </w:r>
      <w:proofErr w:type="spellStart"/>
      <w:r w:rsidRPr="00C7059E">
        <w:rPr>
          <w:bCs/>
          <w:i/>
          <w:sz w:val="24"/>
          <w:szCs w:val="24"/>
        </w:rPr>
        <w:t>Borgès</w:t>
      </w:r>
      <w:proofErr w:type="spellEnd"/>
      <w:r w:rsidRPr="00C7059E">
        <w:rPr>
          <w:bCs/>
          <w:i/>
          <w:sz w:val="24"/>
          <w:szCs w:val="24"/>
        </w:rPr>
        <w:t xml:space="preserve"> Da Silva</w:t>
      </w:r>
      <w:r w:rsidRPr="00C7059E">
        <w:rPr>
          <w:rStyle w:val="Appelnotedebasdep"/>
          <w:bCs/>
          <w:i/>
          <w:sz w:val="24"/>
          <w:szCs w:val="24"/>
        </w:rPr>
        <w:footnoteReference w:id="2"/>
      </w:r>
      <w:r w:rsidRPr="00C7059E">
        <w:rPr>
          <w:bCs/>
          <w:i/>
          <w:sz w:val="24"/>
          <w:szCs w:val="24"/>
        </w:rPr>
        <w:t>, Vincent Boucher</w:t>
      </w:r>
      <w:r w:rsidRPr="00C7059E">
        <w:rPr>
          <w:rStyle w:val="Appelnotedebasdep"/>
          <w:bCs/>
          <w:i/>
          <w:sz w:val="24"/>
          <w:szCs w:val="24"/>
        </w:rPr>
        <w:footnoteReference w:id="3"/>
      </w:r>
      <w:r w:rsidRPr="00C7059E">
        <w:rPr>
          <w:bCs/>
          <w:i/>
          <w:sz w:val="24"/>
          <w:szCs w:val="24"/>
        </w:rPr>
        <w:t xml:space="preserve">, Nathalie De </w:t>
      </w:r>
      <w:proofErr w:type="spellStart"/>
      <w:r w:rsidRPr="00C7059E">
        <w:rPr>
          <w:bCs/>
          <w:i/>
          <w:sz w:val="24"/>
          <w:szCs w:val="24"/>
        </w:rPr>
        <w:t>Marcellis</w:t>
      </w:r>
      <w:proofErr w:type="spellEnd"/>
      <w:r w:rsidRPr="00C7059E">
        <w:rPr>
          <w:bCs/>
          <w:i/>
          <w:sz w:val="24"/>
          <w:szCs w:val="24"/>
        </w:rPr>
        <w:t>-Warin</w:t>
      </w:r>
      <w:r w:rsidRPr="00C7059E">
        <w:rPr>
          <w:rStyle w:val="Appelnotedebasdep"/>
          <w:bCs/>
          <w:i/>
          <w:sz w:val="24"/>
          <w:szCs w:val="24"/>
        </w:rPr>
        <w:footnoteReference w:id="4"/>
      </w:r>
      <w:r w:rsidRPr="00C7059E">
        <w:rPr>
          <w:bCs/>
          <w:i/>
          <w:sz w:val="24"/>
          <w:szCs w:val="24"/>
        </w:rPr>
        <w:t>, Pierre-Carl Michaud</w:t>
      </w:r>
      <w:r w:rsidRPr="00C7059E">
        <w:rPr>
          <w:rStyle w:val="Appelnotedebasdep"/>
          <w:bCs/>
          <w:i/>
          <w:sz w:val="24"/>
          <w:szCs w:val="24"/>
        </w:rPr>
        <w:footnoteReference w:id="5"/>
      </w:r>
      <w:r w:rsidRPr="00C7059E">
        <w:rPr>
          <w:bCs/>
          <w:i/>
          <w:sz w:val="24"/>
          <w:szCs w:val="24"/>
        </w:rPr>
        <w:t xml:space="preserve"> et Ingrid Peignier</w:t>
      </w:r>
      <w:r w:rsidRPr="00C7059E">
        <w:rPr>
          <w:rStyle w:val="Appelnotedebasdep"/>
          <w:bCs/>
          <w:i/>
          <w:sz w:val="24"/>
          <w:szCs w:val="24"/>
        </w:rPr>
        <w:footnoteReference w:id="6"/>
      </w:r>
    </w:p>
    <w:p w14:paraId="62E7F865" w14:textId="77777777" w:rsidR="00956DB9" w:rsidRDefault="00956DB9" w:rsidP="009707DD">
      <w:pPr>
        <w:pStyle w:val="Titre1"/>
        <w:spacing w:before="0"/>
      </w:pPr>
    </w:p>
    <w:p w14:paraId="05D5166B" w14:textId="77777777" w:rsidR="00956DB9" w:rsidRDefault="00956DB9" w:rsidP="009707DD">
      <w:pPr>
        <w:pStyle w:val="Titre1"/>
        <w:spacing w:before="0"/>
      </w:pPr>
    </w:p>
    <w:p w14:paraId="6D916C77" w14:textId="73D9CE87" w:rsidR="00021C04" w:rsidRPr="00641DEE" w:rsidRDefault="00A831F7" w:rsidP="009707DD">
      <w:pPr>
        <w:pStyle w:val="Titre1"/>
        <w:spacing w:before="0"/>
      </w:pPr>
      <w:r w:rsidRPr="00641DEE">
        <w:t>CONTEXTE ET OBJECTIF</w:t>
      </w:r>
    </w:p>
    <w:p w14:paraId="7EFB1148" w14:textId="5175B1C0" w:rsidR="00021C04" w:rsidRDefault="00A831F7">
      <w:pPr>
        <w:jc w:val="both"/>
      </w:pPr>
      <w:r>
        <w:t>D</w:t>
      </w:r>
      <w:r>
        <w:t>ans un contexte où la 5</w:t>
      </w:r>
      <w:r>
        <w:rPr>
          <w:vertAlign w:val="superscript"/>
        </w:rPr>
        <w:t>e</w:t>
      </w:r>
      <w:r>
        <w:t xml:space="preserve"> vague au Québec a été caractérisée par une augmentation des cas de COVID-19 et où l’ac</w:t>
      </w:r>
      <w:r>
        <w:t>cès au dépistage par tests PCR est limité aux clientèles prioritaires et travailleurs essentiels depuis le 4 janvier 2022, nous avons mis en place une étude exploratoire visant à estimer l’incidence des cas de COVID-19. Cette étude s</w:t>
      </w:r>
      <w:r w:rsidR="00B204FE">
        <w:t>’</w:t>
      </w:r>
      <w:r>
        <w:t>échelonne sur quatre s</w:t>
      </w:r>
      <w:r>
        <w:t>emaines consécutives dans l’objectif de suivre l’évolution de la situation.</w:t>
      </w:r>
    </w:p>
    <w:p w14:paraId="00D2E155" w14:textId="77777777" w:rsidR="00021C04" w:rsidRDefault="00A831F7">
      <w:pPr>
        <w:jc w:val="both"/>
      </w:pPr>
      <w:r>
        <w:t>Ce supplément présente les résultats des estimations de l’incidence de cas de COVID-19 au Québec pour la troisième semaine de collecte de données du 27 janvier au 1</w:t>
      </w:r>
      <w:r>
        <w:rPr>
          <w:vertAlign w:val="superscript"/>
        </w:rPr>
        <w:t>er</w:t>
      </w:r>
      <w:r>
        <w:t xml:space="preserve"> février 2022 </w:t>
      </w:r>
      <w:r>
        <w:t xml:space="preserve">et les compare aux deux premières collectes. </w:t>
      </w:r>
    </w:p>
    <w:p w14:paraId="351B3C31" w14:textId="3B06D5F3" w:rsidR="00021C04" w:rsidRDefault="00021C04">
      <w:pPr>
        <w:jc w:val="both"/>
      </w:pPr>
    </w:p>
    <w:p w14:paraId="104A9828" w14:textId="77777777" w:rsidR="00D52441" w:rsidRDefault="00D52441">
      <w:pPr>
        <w:jc w:val="both"/>
      </w:pPr>
    </w:p>
    <w:p w14:paraId="01024A2E" w14:textId="77777777" w:rsidR="00021C04" w:rsidRDefault="00A831F7">
      <w:pPr>
        <w:jc w:val="center"/>
      </w:pPr>
      <w:r>
        <w:rPr>
          <w:noProof/>
        </w:rPr>
        <w:drawing>
          <wp:inline distT="114300" distB="114300" distL="114300" distR="114300" wp14:anchorId="55866189" wp14:editId="1F589EC3">
            <wp:extent cx="4506750" cy="2415899"/>
            <wp:effectExtent l="12700" t="12700" r="12700" b="127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06750" cy="2415899"/>
                    </a:xfrm>
                    <a:prstGeom prst="rect">
                      <a:avLst/>
                    </a:prstGeom>
                    <a:ln w="12700">
                      <a:solidFill>
                        <a:srgbClr val="000000"/>
                      </a:solidFill>
                      <a:prstDash val="solid"/>
                    </a:ln>
                  </pic:spPr>
                </pic:pic>
              </a:graphicData>
            </a:graphic>
          </wp:inline>
        </w:drawing>
      </w:r>
    </w:p>
    <w:p w14:paraId="3248848E" w14:textId="77777777" w:rsidR="00D52441" w:rsidRDefault="00D52441">
      <w:pPr>
        <w:jc w:val="both"/>
      </w:pPr>
    </w:p>
    <w:p w14:paraId="076DEC8B" w14:textId="77777777" w:rsidR="00D52441" w:rsidRDefault="00D52441">
      <w:pPr>
        <w:jc w:val="both"/>
      </w:pPr>
    </w:p>
    <w:p w14:paraId="4FE47AC9" w14:textId="231212F4" w:rsidR="00021C04" w:rsidRDefault="00A831F7">
      <w:pPr>
        <w:jc w:val="both"/>
      </w:pPr>
      <w:r>
        <w:lastRenderedPageBreak/>
        <w:t>Dans un contexte de crise sanitaire, il est important d’avoir accès à toutes les données possibles afin de soutenir et d’éclairer la prise de décision publique. Ne pas connaître l’incidence des cas de COVID-19 est un enjeu important puisque (1) le nombre d</w:t>
      </w:r>
      <w:r>
        <w:t xml:space="preserve">e nouveaux cas est un indicateur avancé des hospitalisations à venir et (2) la mesure du taux d’hospitalisation parmi ceux ayant la COVID-19 permet de juger de la sévérité des </w:t>
      </w:r>
      <w:proofErr w:type="spellStart"/>
      <w:r>
        <w:t>variants</w:t>
      </w:r>
      <w:proofErr w:type="spellEnd"/>
      <w:r>
        <w:t xml:space="preserve"> et donc des mesures qui doivent être mises en place pour réduire leur p</w:t>
      </w:r>
      <w:r>
        <w:t>ropagation.</w:t>
      </w:r>
    </w:p>
    <w:p w14:paraId="0B475414" w14:textId="77777777" w:rsidR="00021C04" w:rsidRDefault="00021C04">
      <w:pPr>
        <w:jc w:val="both"/>
      </w:pPr>
    </w:p>
    <w:p w14:paraId="4A714726" w14:textId="51F4EC7F" w:rsidR="00021C04" w:rsidRDefault="00A831F7">
      <w:pPr>
        <w:jc w:val="both"/>
      </w:pPr>
      <w:r>
        <w:t xml:space="preserve">Cette étude s’appuie à la fois sur une stratégie d’échantillonnage direct et sur une estimation par échantillonnage indirect basée sur la méthode de l’amplificateur par réseau (APR ou </w:t>
      </w:r>
      <w:r>
        <w:rPr>
          <w:i/>
        </w:rPr>
        <w:t xml:space="preserve">network </w:t>
      </w:r>
      <w:proofErr w:type="spellStart"/>
      <w:r>
        <w:rPr>
          <w:i/>
        </w:rPr>
        <w:t>scale</w:t>
      </w:r>
      <w:proofErr w:type="spellEnd"/>
      <w:r>
        <w:rPr>
          <w:i/>
        </w:rPr>
        <w:t>-up</w:t>
      </w:r>
      <w:r>
        <w:t>). Le détail des méthodes, le questionnaire</w:t>
      </w:r>
      <w:r>
        <w:t xml:space="preserve"> d’enquête, la description de la première collecte de données et les résultats des estimations pour </w:t>
      </w:r>
      <w:proofErr w:type="gramStart"/>
      <w:r>
        <w:t>la semaine finissant</w:t>
      </w:r>
      <w:proofErr w:type="gramEnd"/>
      <w:r>
        <w:t xml:space="preserve"> entre le 13 et 18 janvier 2022 </w:t>
      </w:r>
      <w:r>
        <w:t xml:space="preserve">sont disponibles dans le cahier scientifique CIRANO </w:t>
      </w:r>
      <w:hyperlink r:id="rId9">
        <w:r>
          <w:rPr>
            <w:color w:val="1155CC"/>
            <w:u w:val="single"/>
          </w:rPr>
          <w:t>2022s-03</w:t>
        </w:r>
      </w:hyperlink>
      <w:r w:rsidR="00D55DD1" w:rsidRPr="00D55DD1">
        <w:rPr>
          <w:color w:val="1155CC"/>
        </w:rPr>
        <w:t xml:space="preserve"> </w:t>
      </w:r>
      <w:r w:rsidR="00D55DD1">
        <w:t>(u</w:t>
      </w:r>
      <w:r w:rsidR="00D52441">
        <w:t xml:space="preserve">n supplément est </w:t>
      </w:r>
      <w:r w:rsidR="00D55DD1">
        <w:t xml:space="preserve">aussi </w:t>
      </w:r>
      <w:r w:rsidR="00D52441">
        <w:t>disponible pour les résultats de la deuxième semaine de collecte</w:t>
      </w:r>
      <w:r w:rsidR="00D55DD1">
        <w:t>)</w:t>
      </w:r>
      <w:r w:rsidR="00D52441">
        <w:t>.</w:t>
      </w:r>
    </w:p>
    <w:p w14:paraId="76C36C5F" w14:textId="77777777" w:rsidR="00021C04" w:rsidRDefault="00021C04">
      <w:pPr>
        <w:jc w:val="both"/>
      </w:pPr>
    </w:p>
    <w:p w14:paraId="160A59B8" w14:textId="77777777" w:rsidR="00021C04" w:rsidRPr="00641DEE" w:rsidRDefault="00A831F7" w:rsidP="00641DEE">
      <w:pPr>
        <w:pStyle w:val="Titre1"/>
      </w:pPr>
      <w:r w:rsidRPr="00641DEE">
        <w:t>MÉTHODOLOGIE</w:t>
      </w:r>
    </w:p>
    <w:p w14:paraId="2620AFA1" w14:textId="77777777" w:rsidR="00021C04" w:rsidRDefault="00A831F7">
      <w:pPr>
        <w:jc w:val="both"/>
      </w:pPr>
      <w:r>
        <w:t>U</w:t>
      </w:r>
      <w:r>
        <w:t>n nouvel</w:t>
      </w:r>
      <w:r>
        <w:rPr>
          <w:vertAlign w:val="superscript"/>
        </w:rPr>
        <w:footnoteReference w:id="7"/>
      </w:r>
      <w:r>
        <w:t xml:space="preserve"> échantillon représentatif de la population a été interrogé par Internet entre le 27 janvier et le 1</w:t>
      </w:r>
      <w:r>
        <w:rPr>
          <w:vertAlign w:val="superscript"/>
        </w:rPr>
        <w:t>er</w:t>
      </w:r>
      <w:r>
        <w:t xml:space="preserve"> février 2022 inclusivement. Les répondants, tous âgés de plus de 18 ans, pouvaient s’exprimer en français ou en anglais. Au total, 3001 personnes sélectionnées selon la méthode des quotas et des strates ont répondu au questionnaire. La durée moyenne pour </w:t>
      </w:r>
      <w:r>
        <w:t>répondre au questionnaire de l’enquête a été de 6 minutes 05 secondes avec une médiane de 4 minutes et 50 secondes. L’enquête a été réalisée avec le panel en ligne Léger Opinion (LEO). Les répondants ont été sélectionnés de façon aléatoire dans le panel. À</w:t>
      </w:r>
      <w:r>
        <w:t xml:space="preserve"> l’aide des statistiques du Recensement de 2016 de Statistique Canada, les résultats ont été pondérés par la firme de sondage selon l’âge, le sexe, la langue maternelle, le niveau de scolarité, la présence d’enfants et la région afin de rendre l’échantillo</w:t>
      </w:r>
      <w:r>
        <w:t xml:space="preserve">n représentatif de l’ensemble de la population adulte du Québec. </w:t>
      </w:r>
    </w:p>
    <w:p w14:paraId="4EFE676A" w14:textId="77777777" w:rsidR="00021C04" w:rsidRDefault="00021C04">
      <w:pPr>
        <w:jc w:val="both"/>
      </w:pPr>
    </w:p>
    <w:p w14:paraId="10D222A1" w14:textId="77777777" w:rsidR="00021C04" w:rsidRDefault="00A831F7">
      <w:pPr>
        <w:jc w:val="both"/>
      </w:pPr>
      <w:r>
        <w:t xml:space="preserve">La question permettant d’estimer l’incidence de la COVID-19 au sein de la population adulte au cours des sept derniers jours à partir de la méthode d’échantillonnage direct est la suivante </w:t>
      </w:r>
      <w:r>
        <w:t>et est identique pour chaque période de collecte :</w:t>
      </w:r>
    </w:p>
    <w:p w14:paraId="68873B26" w14:textId="77777777" w:rsidR="00021C04" w:rsidRDefault="00A831F7">
      <w:pPr>
        <w:spacing w:before="100" w:line="252" w:lineRule="auto"/>
        <w:ind w:left="840" w:right="120" w:firstLine="220"/>
        <w:jc w:val="both"/>
        <w:rPr>
          <w:i/>
          <w:sz w:val="21"/>
          <w:szCs w:val="21"/>
        </w:rPr>
      </w:pPr>
      <w:r>
        <w:rPr>
          <w:rFonts w:ascii="Calibri" w:eastAsia="Calibri" w:hAnsi="Calibri" w:cs="Calibri"/>
          <w:i/>
          <w:sz w:val="21"/>
          <w:szCs w:val="21"/>
        </w:rPr>
        <w:t>« </w:t>
      </w:r>
      <w:r>
        <w:rPr>
          <w:i/>
          <w:sz w:val="21"/>
          <w:szCs w:val="21"/>
        </w:rPr>
        <w:t>Dans les sept derniers jours incluant aujourd’hui, avez-vous eu un résultat de test positif à la COVID-19 ? </w:t>
      </w:r>
      <w:r>
        <w:rPr>
          <w:rFonts w:ascii="Calibri" w:eastAsia="Calibri" w:hAnsi="Calibri" w:cs="Calibri"/>
          <w:i/>
          <w:sz w:val="21"/>
          <w:szCs w:val="21"/>
        </w:rPr>
        <w:t xml:space="preserve">» </w:t>
      </w:r>
      <w:r>
        <w:rPr>
          <w:i/>
          <w:sz w:val="21"/>
          <w:szCs w:val="21"/>
        </w:rPr>
        <w:t>(Trois choix de réponse possibles : Oui, Non et Pas de résultat de test, mais je crois que je</w:t>
      </w:r>
      <w:r>
        <w:rPr>
          <w:i/>
          <w:sz w:val="21"/>
          <w:szCs w:val="21"/>
        </w:rPr>
        <w:t xml:space="preserve"> l’ai contractée [autodiagnostic en fonction de mes symptômes des sept derniers jours])</w:t>
      </w:r>
    </w:p>
    <w:p w14:paraId="700F98FE" w14:textId="77777777" w:rsidR="00D55DD1" w:rsidRDefault="00D55DD1">
      <w:pPr>
        <w:spacing w:before="100" w:line="256" w:lineRule="auto"/>
        <w:ind w:left="120" w:right="120"/>
        <w:jc w:val="both"/>
      </w:pPr>
    </w:p>
    <w:p w14:paraId="26F517A5" w14:textId="3C2199A1" w:rsidR="00021C04" w:rsidRDefault="00A831F7">
      <w:pPr>
        <w:spacing w:before="100" w:line="256" w:lineRule="auto"/>
        <w:ind w:left="120" w:right="120"/>
        <w:jc w:val="both"/>
      </w:pPr>
      <w:r>
        <w:t>La question cible permettant de calculer le nombre de personnes ayant nouvellement eu la COVID-19 au sein de la population générale sur les sept derniers jours en utili</w:t>
      </w:r>
      <w:r>
        <w:t>sant l’échantillonnage indirect et la méthode APR est la suivante, et est également identique pour chaque période de collecte :</w:t>
      </w:r>
    </w:p>
    <w:p w14:paraId="2398CB91" w14:textId="77777777" w:rsidR="00021C04" w:rsidRDefault="00A831F7">
      <w:pPr>
        <w:spacing w:before="100" w:line="242" w:lineRule="auto"/>
        <w:ind w:left="840" w:right="120" w:firstLine="220"/>
        <w:jc w:val="both"/>
        <w:rPr>
          <w:rFonts w:ascii="Cambria" w:eastAsia="Cambria" w:hAnsi="Cambria" w:cs="Cambria"/>
          <w:color w:val="0000FF"/>
          <w:sz w:val="16"/>
          <w:szCs w:val="16"/>
        </w:rPr>
      </w:pPr>
      <w:r>
        <w:rPr>
          <w:rFonts w:ascii="Calibri" w:eastAsia="Calibri" w:hAnsi="Calibri" w:cs="Calibri"/>
          <w:i/>
          <w:sz w:val="21"/>
          <w:szCs w:val="21"/>
        </w:rPr>
        <w:t>« </w:t>
      </w:r>
      <w:r>
        <w:rPr>
          <w:i/>
          <w:sz w:val="21"/>
          <w:szCs w:val="21"/>
        </w:rPr>
        <w:t>Combien connaissez-vous de personnes ayant eu un résultat de test positif pour la COVID-19 au cours des sept derniers jours (i</w:t>
      </w:r>
      <w:r>
        <w:rPr>
          <w:i/>
          <w:sz w:val="21"/>
          <w:szCs w:val="21"/>
        </w:rPr>
        <w:t>ncluant aujourd’hui) ? </w:t>
      </w:r>
      <w:r>
        <w:rPr>
          <w:rFonts w:ascii="Calibri" w:eastAsia="Calibri" w:hAnsi="Calibri" w:cs="Calibri"/>
          <w:i/>
          <w:sz w:val="21"/>
          <w:szCs w:val="21"/>
        </w:rPr>
        <w:t>»</w:t>
      </w:r>
    </w:p>
    <w:p w14:paraId="37C63D1D" w14:textId="5B543441" w:rsidR="00021C04" w:rsidRDefault="00A831F7" w:rsidP="00641DEE">
      <w:pPr>
        <w:pStyle w:val="Titre1"/>
      </w:pPr>
      <w:r>
        <w:lastRenderedPageBreak/>
        <w:t xml:space="preserve">RÉSULTATS </w:t>
      </w:r>
    </w:p>
    <w:p w14:paraId="4B23474B" w14:textId="77777777" w:rsidR="00021C04" w:rsidRDefault="00A831F7">
      <w:pPr>
        <w:pStyle w:val="Titre2"/>
        <w:jc w:val="both"/>
        <w:rPr>
          <w:color w:val="8B2942"/>
        </w:rPr>
      </w:pPr>
      <w:r>
        <w:rPr>
          <w:color w:val="8B2942"/>
        </w:rPr>
        <w:t>E</w:t>
      </w:r>
      <w:r>
        <w:rPr>
          <w:color w:val="8B2942"/>
        </w:rPr>
        <w:t>stimation de l’incidence de la COVID-19 pour la troisième semaine de collecte</w:t>
      </w:r>
    </w:p>
    <w:p w14:paraId="2372E635" w14:textId="77777777" w:rsidR="00021C04" w:rsidRDefault="00A831F7">
      <w:pPr>
        <w:jc w:val="both"/>
      </w:pPr>
      <w:r>
        <w:t>Le tableau 1 présente l’incidence hebdomadaire des cas pour la troisième semaine de collecte selon les différentes méthodes d’estimation : pa</w:t>
      </w:r>
      <w:r>
        <w:t>r échantillonnage direct et à l’aide des deux estimateurs issus de la méthode par amplificateur par réseau (APR). La figure 1 présente les résultats officiels d’incidence des cas basés sur les tests PCR (réservés exclusivement aux clientèles prioritaires e</w:t>
      </w:r>
      <w:r>
        <w:t>t travailleurs essentiels), ainsi que les résultats selon nos différents estimateurs pour les trois semaines de collecte.</w:t>
      </w:r>
    </w:p>
    <w:p w14:paraId="09F6508E" w14:textId="77777777" w:rsidR="00021C04" w:rsidRDefault="00021C04">
      <w:pPr>
        <w:jc w:val="both"/>
      </w:pPr>
    </w:p>
    <w:p w14:paraId="497D0E22" w14:textId="69909BED" w:rsidR="00021C04" w:rsidRDefault="00A831F7">
      <w:pPr>
        <w:jc w:val="both"/>
      </w:pPr>
      <w:r>
        <w:t>Le nombre d’adultes ayant nouvellement eu la COVID-19 sur la base de tests PCR, de tests rapides ou par autodiagnostic sur les sept d</w:t>
      </w:r>
      <w:r>
        <w:t>erniers jours est de 298</w:t>
      </w:r>
      <w:r w:rsidR="00B204FE">
        <w:t> </w:t>
      </w:r>
      <w:r>
        <w:t xml:space="preserve">311 (42 616 cas par jour) selon notre estimation par échantillonnage direct. En excluant les autodiagnostics, nous obtenons plutôt 183 530 cas sur les sept derniers jours, soit 26 219 cas en moyenne par jour. </w:t>
      </w:r>
    </w:p>
    <w:p w14:paraId="5D94112E" w14:textId="77777777" w:rsidR="00021C04" w:rsidRDefault="00021C04">
      <w:pPr>
        <w:jc w:val="both"/>
      </w:pPr>
    </w:p>
    <w:p w14:paraId="146401F5" w14:textId="7BC19A55" w:rsidR="00021C04" w:rsidRDefault="00A831F7">
      <w:pPr>
        <w:jc w:val="both"/>
      </w:pPr>
      <w:r>
        <w:t>Par la méthode de l’</w:t>
      </w:r>
      <w:r>
        <w:t xml:space="preserve">amplificateur par réseau, nous obtenons des estimations concordantes à la stratégie d’échantillonnage directe, pour la population totale, de 161 308 nouveaux cas pour la semaine considérée (soit 23 044 cas par jour), en utilisant l’estimateur de </w:t>
      </w:r>
      <w:proofErr w:type="spellStart"/>
      <w:r>
        <w:t>Habecker</w:t>
      </w:r>
      <w:proofErr w:type="spellEnd"/>
      <w:r>
        <w:t xml:space="preserve"> e</w:t>
      </w:r>
      <w:r>
        <w:t>t al.</w:t>
      </w:r>
      <w:r>
        <w:rPr>
          <w:vertAlign w:val="superscript"/>
        </w:rPr>
        <w:footnoteReference w:id="8"/>
      </w:r>
      <w:r>
        <w:t xml:space="preserve"> (2015) ; et de 181</w:t>
      </w:r>
      <w:r w:rsidR="00B204FE">
        <w:t> </w:t>
      </w:r>
      <w:r>
        <w:t xml:space="preserve">396 cas (soit 25 914 cas par jour) avec l’estimateur de </w:t>
      </w:r>
      <w:proofErr w:type="spellStart"/>
      <w:r>
        <w:t>Killworth</w:t>
      </w:r>
      <w:proofErr w:type="spellEnd"/>
      <w:r>
        <w:t xml:space="preserve"> et al.</w:t>
      </w:r>
      <w:r>
        <w:rPr>
          <w:vertAlign w:val="superscript"/>
        </w:rPr>
        <w:footnoteReference w:id="9"/>
      </w:r>
      <w:r>
        <w:t xml:space="preserve"> (1998). Comme le montre la figure 2, ces chiffres sont beaucoup plus élevés que le chiffre officiel publié par l’INSPQ sur la même période, soit 23</w:t>
      </w:r>
      <w:r w:rsidR="00B204FE">
        <w:t> </w:t>
      </w:r>
      <w:r>
        <w:t>270 ca</w:t>
      </w:r>
      <w:r>
        <w:t>s (3324 cas/jour).</w:t>
      </w:r>
      <w:r>
        <w:rPr>
          <w:vertAlign w:val="superscript"/>
        </w:rPr>
        <w:footnoteReference w:id="10"/>
      </w:r>
      <w:r>
        <w:t xml:space="preserve"> </w:t>
      </w:r>
    </w:p>
    <w:p w14:paraId="4D4A96BB" w14:textId="77777777" w:rsidR="009707DD" w:rsidRDefault="009707DD">
      <w:pPr>
        <w:jc w:val="both"/>
        <w:rPr>
          <w:highlight w:val="yellow"/>
        </w:rPr>
      </w:pPr>
    </w:p>
    <w:p w14:paraId="5BABCB3A" w14:textId="77777777" w:rsidR="00021C04" w:rsidRDefault="00021C04">
      <w:pPr>
        <w:jc w:val="both"/>
      </w:pPr>
    </w:p>
    <w:p w14:paraId="677FA9FB" w14:textId="77777777" w:rsidR="00021C04" w:rsidRDefault="00021C04">
      <w:pPr>
        <w:jc w:val="both"/>
      </w:pPr>
    </w:p>
    <w:tbl>
      <w:tblPr>
        <w:tblStyle w:val="a1"/>
        <w:tblW w:w="8235" w:type="dxa"/>
        <w:tblInd w:w="0" w:type="dxa"/>
        <w:tblBorders>
          <w:top w:val="single" w:sz="4" w:space="0" w:color="666666"/>
          <w:bottom w:val="single" w:sz="4" w:space="0" w:color="666666"/>
          <w:insideH w:val="single" w:sz="4" w:space="0" w:color="666666"/>
        </w:tblBorders>
        <w:tblLayout w:type="fixed"/>
        <w:tblLook w:val="0600" w:firstRow="0" w:lastRow="0" w:firstColumn="0" w:lastColumn="0" w:noHBand="1" w:noVBand="1"/>
      </w:tblPr>
      <w:tblGrid>
        <w:gridCol w:w="3045"/>
        <w:gridCol w:w="1200"/>
        <w:gridCol w:w="1515"/>
        <w:gridCol w:w="1110"/>
        <w:gridCol w:w="1365"/>
      </w:tblGrid>
      <w:tr w:rsidR="00021C04" w14:paraId="064AE2AD" w14:textId="77777777" w:rsidTr="00021C04">
        <w:trPr>
          <w:trHeight w:val="415"/>
        </w:trPr>
        <w:tc>
          <w:tcPr>
            <w:tcW w:w="3045" w:type="dxa"/>
            <w:tcBorders>
              <w:bottom w:val="single" w:sz="4" w:space="0" w:color="000000"/>
            </w:tcBorders>
          </w:tcPr>
          <w:p w14:paraId="27A8E325" w14:textId="77777777" w:rsidR="00021C04" w:rsidRDefault="00021C04">
            <w:pPr>
              <w:widowControl w:val="0"/>
              <w:pBdr>
                <w:top w:val="nil"/>
                <w:left w:val="nil"/>
                <w:bottom w:val="nil"/>
                <w:right w:val="nil"/>
                <w:between w:val="nil"/>
              </w:pBdr>
              <w:jc w:val="both"/>
              <w:rPr>
                <w:b/>
                <w:sz w:val="21"/>
                <w:szCs w:val="21"/>
              </w:rPr>
            </w:pPr>
          </w:p>
        </w:tc>
        <w:tc>
          <w:tcPr>
            <w:tcW w:w="1200" w:type="dxa"/>
            <w:tcBorders>
              <w:bottom w:val="single" w:sz="4" w:space="0" w:color="000000"/>
            </w:tcBorders>
          </w:tcPr>
          <w:p w14:paraId="151EB792" w14:textId="77777777" w:rsidR="00021C04" w:rsidRDefault="00A831F7">
            <w:pPr>
              <w:widowControl w:val="0"/>
              <w:pBdr>
                <w:top w:val="nil"/>
                <w:left w:val="nil"/>
                <w:bottom w:val="nil"/>
                <w:right w:val="nil"/>
                <w:between w:val="nil"/>
              </w:pBdr>
              <w:jc w:val="center"/>
              <w:rPr>
                <w:b/>
                <w:sz w:val="21"/>
                <w:szCs w:val="21"/>
              </w:rPr>
            </w:pPr>
            <w:r>
              <w:rPr>
                <w:b/>
                <w:sz w:val="21"/>
                <w:szCs w:val="21"/>
              </w:rPr>
              <w:t>Nb cas (7j)</w:t>
            </w:r>
          </w:p>
        </w:tc>
        <w:tc>
          <w:tcPr>
            <w:tcW w:w="1515" w:type="dxa"/>
            <w:tcBorders>
              <w:bottom w:val="single" w:sz="4" w:space="0" w:color="000000"/>
            </w:tcBorders>
          </w:tcPr>
          <w:p w14:paraId="56750732" w14:textId="77777777" w:rsidR="00021C04" w:rsidRDefault="00A831F7">
            <w:pPr>
              <w:widowControl w:val="0"/>
              <w:pBdr>
                <w:top w:val="nil"/>
                <w:left w:val="nil"/>
                <w:bottom w:val="nil"/>
                <w:right w:val="nil"/>
                <w:between w:val="nil"/>
              </w:pBdr>
              <w:jc w:val="center"/>
              <w:rPr>
                <w:b/>
                <w:sz w:val="21"/>
                <w:szCs w:val="21"/>
              </w:rPr>
            </w:pPr>
            <w:r>
              <w:rPr>
                <w:b/>
                <w:sz w:val="21"/>
                <w:szCs w:val="21"/>
              </w:rPr>
              <w:t>Écart-type (7j)</w:t>
            </w:r>
          </w:p>
        </w:tc>
        <w:tc>
          <w:tcPr>
            <w:tcW w:w="1110" w:type="dxa"/>
            <w:tcBorders>
              <w:bottom w:val="single" w:sz="4" w:space="0" w:color="000000"/>
            </w:tcBorders>
          </w:tcPr>
          <w:p w14:paraId="62A1FAFA" w14:textId="77777777" w:rsidR="00021C04" w:rsidRDefault="00A831F7">
            <w:pPr>
              <w:widowControl w:val="0"/>
              <w:pBdr>
                <w:top w:val="nil"/>
                <w:left w:val="nil"/>
                <w:bottom w:val="nil"/>
                <w:right w:val="nil"/>
                <w:between w:val="nil"/>
              </w:pBdr>
              <w:jc w:val="center"/>
              <w:rPr>
                <w:b/>
                <w:sz w:val="21"/>
                <w:szCs w:val="21"/>
              </w:rPr>
            </w:pPr>
            <w:r>
              <w:rPr>
                <w:b/>
                <w:sz w:val="21"/>
                <w:szCs w:val="21"/>
              </w:rPr>
              <w:t>Nb cas (j)</w:t>
            </w:r>
          </w:p>
        </w:tc>
        <w:tc>
          <w:tcPr>
            <w:tcW w:w="1365" w:type="dxa"/>
            <w:tcBorders>
              <w:bottom w:val="single" w:sz="4" w:space="0" w:color="000000"/>
            </w:tcBorders>
          </w:tcPr>
          <w:p w14:paraId="7B2645A6" w14:textId="77777777" w:rsidR="00021C04" w:rsidRDefault="00A831F7">
            <w:pPr>
              <w:widowControl w:val="0"/>
              <w:pBdr>
                <w:top w:val="nil"/>
                <w:left w:val="nil"/>
                <w:bottom w:val="nil"/>
                <w:right w:val="nil"/>
                <w:between w:val="nil"/>
              </w:pBdr>
              <w:jc w:val="center"/>
              <w:rPr>
                <w:b/>
                <w:sz w:val="21"/>
                <w:szCs w:val="21"/>
              </w:rPr>
            </w:pPr>
            <w:r>
              <w:rPr>
                <w:b/>
                <w:sz w:val="21"/>
                <w:szCs w:val="21"/>
              </w:rPr>
              <w:t>Écart-type (j)</w:t>
            </w:r>
          </w:p>
        </w:tc>
      </w:tr>
      <w:tr w:rsidR="00021C04" w14:paraId="04EA118D" w14:textId="77777777" w:rsidTr="00021C04">
        <w:trPr>
          <w:trHeight w:val="339"/>
        </w:trPr>
        <w:tc>
          <w:tcPr>
            <w:tcW w:w="3045" w:type="dxa"/>
            <w:tcBorders>
              <w:top w:val="single" w:sz="4" w:space="0" w:color="000000"/>
              <w:bottom w:val="nil"/>
            </w:tcBorders>
          </w:tcPr>
          <w:p w14:paraId="01E6B395" w14:textId="77777777" w:rsidR="00021C04" w:rsidRDefault="00A831F7">
            <w:pPr>
              <w:widowControl w:val="0"/>
              <w:pBdr>
                <w:top w:val="nil"/>
                <w:left w:val="nil"/>
                <w:bottom w:val="nil"/>
                <w:right w:val="nil"/>
                <w:between w:val="nil"/>
              </w:pBdr>
              <w:jc w:val="both"/>
              <w:rPr>
                <w:b/>
                <w:sz w:val="21"/>
                <w:szCs w:val="21"/>
              </w:rPr>
            </w:pPr>
            <w:r>
              <w:rPr>
                <w:b/>
                <w:sz w:val="21"/>
                <w:szCs w:val="21"/>
              </w:rPr>
              <w:t>Direct positifs</w:t>
            </w:r>
          </w:p>
        </w:tc>
        <w:tc>
          <w:tcPr>
            <w:tcW w:w="1200" w:type="dxa"/>
            <w:tcBorders>
              <w:top w:val="single" w:sz="4" w:space="0" w:color="000000"/>
              <w:bottom w:val="nil"/>
            </w:tcBorders>
          </w:tcPr>
          <w:p w14:paraId="0A841F78" w14:textId="207111FB" w:rsidR="00021C04" w:rsidRDefault="00A831F7">
            <w:pPr>
              <w:widowControl w:val="0"/>
              <w:pBdr>
                <w:top w:val="nil"/>
                <w:left w:val="nil"/>
                <w:bottom w:val="nil"/>
                <w:right w:val="nil"/>
                <w:between w:val="nil"/>
              </w:pBdr>
              <w:jc w:val="center"/>
              <w:rPr>
                <w:sz w:val="21"/>
                <w:szCs w:val="21"/>
              </w:rPr>
            </w:pPr>
            <w:r>
              <w:rPr>
                <w:sz w:val="21"/>
                <w:szCs w:val="21"/>
              </w:rPr>
              <w:t>183</w:t>
            </w:r>
            <w:r w:rsidR="00B204FE">
              <w:rPr>
                <w:sz w:val="21"/>
                <w:szCs w:val="21"/>
              </w:rPr>
              <w:t> </w:t>
            </w:r>
            <w:r>
              <w:rPr>
                <w:sz w:val="21"/>
                <w:szCs w:val="21"/>
              </w:rPr>
              <w:t>530</w:t>
            </w:r>
          </w:p>
        </w:tc>
        <w:tc>
          <w:tcPr>
            <w:tcW w:w="1515" w:type="dxa"/>
            <w:tcBorders>
              <w:top w:val="single" w:sz="4" w:space="0" w:color="000000"/>
              <w:bottom w:val="nil"/>
            </w:tcBorders>
          </w:tcPr>
          <w:p w14:paraId="09B7E4E3" w14:textId="1A6ED6B8" w:rsidR="00021C04" w:rsidRDefault="00A831F7">
            <w:pPr>
              <w:widowControl w:val="0"/>
              <w:pBdr>
                <w:top w:val="nil"/>
                <w:left w:val="nil"/>
                <w:bottom w:val="nil"/>
                <w:right w:val="nil"/>
                <w:between w:val="nil"/>
              </w:pBdr>
              <w:jc w:val="center"/>
              <w:rPr>
                <w:sz w:val="21"/>
                <w:szCs w:val="21"/>
              </w:rPr>
            </w:pPr>
            <w:r>
              <w:rPr>
                <w:sz w:val="21"/>
                <w:szCs w:val="21"/>
              </w:rPr>
              <w:t>23</w:t>
            </w:r>
            <w:r w:rsidR="00B204FE">
              <w:rPr>
                <w:sz w:val="21"/>
                <w:szCs w:val="21"/>
              </w:rPr>
              <w:t> </w:t>
            </w:r>
            <w:r>
              <w:rPr>
                <w:sz w:val="21"/>
                <w:szCs w:val="21"/>
              </w:rPr>
              <w:t>503</w:t>
            </w:r>
          </w:p>
        </w:tc>
        <w:tc>
          <w:tcPr>
            <w:tcW w:w="1110" w:type="dxa"/>
            <w:tcBorders>
              <w:top w:val="single" w:sz="4" w:space="0" w:color="000000"/>
              <w:bottom w:val="nil"/>
            </w:tcBorders>
          </w:tcPr>
          <w:p w14:paraId="6ED49BF7" w14:textId="3233CEB0" w:rsidR="00021C04" w:rsidRDefault="00A831F7">
            <w:pPr>
              <w:widowControl w:val="0"/>
              <w:pBdr>
                <w:top w:val="nil"/>
                <w:left w:val="nil"/>
                <w:bottom w:val="nil"/>
                <w:right w:val="nil"/>
                <w:between w:val="nil"/>
              </w:pBdr>
              <w:jc w:val="center"/>
              <w:rPr>
                <w:sz w:val="21"/>
                <w:szCs w:val="21"/>
              </w:rPr>
            </w:pPr>
            <w:r>
              <w:rPr>
                <w:sz w:val="21"/>
                <w:szCs w:val="21"/>
              </w:rPr>
              <w:t>26</w:t>
            </w:r>
            <w:r w:rsidR="00B204FE">
              <w:rPr>
                <w:sz w:val="21"/>
                <w:szCs w:val="21"/>
              </w:rPr>
              <w:t> </w:t>
            </w:r>
            <w:r>
              <w:rPr>
                <w:sz w:val="21"/>
                <w:szCs w:val="21"/>
              </w:rPr>
              <w:t>219</w:t>
            </w:r>
          </w:p>
        </w:tc>
        <w:tc>
          <w:tcPr>
            <w:tcW w:w="1365" w:type="dxa"/>
            <w:tcBorders>
              <w:top w:val="single" w:sz="4" w:space="0" w:color="000000"/>
              <w:bottom w:val="nil"/>
            </w:tcBorders>
          </w:tcPr>
          <w:p w14:paraId="6D703690" w14:textId="22DD426C" w:rsidR="00021C04" w:rsidRDefault="00A831F7">
            <w:pPr>
              <w:widowControl w:val="0"/>
              <w:pBdr>
                <w:top w:val="nil"/>
                <w:left w:val="nil"/>
                <w:bottom w:val="nil"/>
                <w:right w:val="nil"/>
                <w:between w:val="nil"/>
              </w:pBdr>
              <w:jc w:val="center"/>
              <w:rPr>
                <w:sz w:val="21"/>
                <w:szCs w:val="21"/>
              </w:rPr>
            </w:pPr>
            <w:r>
              <w:rPr>
                <w:sz w:val="21"/>
                <w:szCs w:val="21"/>
              </w:rPr>
              <w:t>3</w:t>
            </w:r>
            <w:r w:rsidR="00B204FE">
              <w:rPr>
                <w:sz w:val="21"/>
                <w:szCs w:val="21"/>
              </w:rPr>
              <w:t> </w:t>
            </w:r>
            <w:r>
              <w:rPr>
                <w:sz w:val="21"/>
                <w:szCs w:val="21"/>
              </w:rPr>
              <w:t>358</w:t>
            </w:r>
          </w:p>
        </w:tc>
      </w:tr>
      <w:tr w:rsidR="00021C04" w14:paraId="1B0D3629" w14:textId="77777777" w:rsidTr="00021C04">
        <w:trPr>
          <w:trHeight w:val="349"/>
        </w:trPr>
        <w:tc>
          <w:tcPr>
            <w:tcW w:w="3045" w:type="dxa"/>
            <w:tcBorders>
              <w:top w:val="nil"/>
              <w:bottom w:val="nil"/>
            </w:tcBorders>
          </w:tcPr>
          <w:p w14:paraId="22AFFC9B" w14:textId="77777777" w:rsidR="00021C04" w:rsidRDefault="00A831F7">
            <w:pPr>
              <w:widowControl w:val="0"/>
              <w:pBdr>
                <w:top w:val="nil"/>
                <w:left w:val="nil"/>
                <w:bottom w:val="nil"/>
                <w:right w:val="nil"/>
                <w:between w:val="nil"/>
              </w:pBdr>
              <w:jc w:val="both"/>
              <w:rPr>
                <w:b/>
                <w:sz w:val="21"/>
                <w:szCs w:val="21"/>
              </w:rPr>
            </w:pPr>
            <w:r>
              <w:rPr>
                <w:b/>
                <w:sz w:val="21"/>
                <w:szCs w:val="21"/>
              </w:rPr>
              <w:t>Avec autodiagnostics</w:t>
            </w:r>
          </w:p>
        </w:tc>
        <w:tc>
          <w:tcPr>
            <w:tcW w:w="1200" w:type="dxa"/>
            <w:tcBorders>
              <w:top w:val="nil"/>
              <w:bottom w:val="nil"/>
            </w:tcBorders>
          </w:tcPr>
          <w:p w14:paraId="547A8A7E" w14:textId="361DBE5C" w:rsidR="00021C04" w:rsidRDefault="00A831F7">
            <w:pPr>
              <w:widowControl w:val="0"/>
              <w:pBdr>
                <w:top w:val="nil"/>
                <w:left w:val="nil"/>
                <w:bottom w:val="nil"/>
                <w:right w:val="nil"/>
                <w:between w:val="nil"/>
              </w:pBdr>
              <w:jc w:val="center"/>
              <w:rPr>
                <w:sz w:val="21"/>
                <w:szCs w:val="21"/>
              </w:rPr>
            </w:pPr>
            <w:r>
              <w:rPr>
                <w:sz w:val="21"/>
                <w:szCs w:val="21"/>
              </w:rPr>
              <w:t>298</w:t>
            </w:r>
            <w:r w:rsidR="00B204FE">
              <w:rPr>
                <w:sz w:val="21"/>
                <w:szCs w:val="21"/>
              </w:rPr>
              <w:t> </w:t>
            </w:r>
            <w:r>
              <w:rPr>
                <w:sz w:val="21"/>
                <w:szCs w:val="21"/>
              </w:rPr>
              <w:t>311</w:t>
            </w:r>
          </w:p>
        </w:tc>
        <w:tc>
          <w:tcPr>
            <w:tcW w:w="1515" w:type="dxa"/>
            <w:tcBorders>
              <w:top w:val="nil"/>
              <w:bottom w:val="nil"/>
            </w:tcBorders>
          </w:tcPr>
          <w:p w14:paraId="7C1FE8D9" w14:textId="1993E3AC" w:rsidR="00021C04" w:rsidRDefault="00A831F7">
            <w:pPr>
              <w:widowControl w:val="0"/>
              <w:pBdr>
                <w:top w:val="nil"/>
                <w:left w:val="nil"/>
                <w:bottom w:val="nil"/>
                <w:right w:val="nil"/>
                <w:between w:val="nil"/>
              </w:pBdr>
              <w:jc w:val="center"/>
              <w:rPr>
                <w:sz w:val="21"/>
                <w:szCs w:val="21"/>
              </w:rPr>
            </w:pPr>
            <w:r>
              <w:rPr>
                <w:sz w:val="21"/>
                <w:szCs w:val="21"/>
              </w:rPr>
              <w:t>30</w:t>
            </w:r>
            <w:r w:rsidR="00B204FE">
              <w:rPr>
                <w:sz w:val="21"/>
                <w:szCs w:val="21"/>
              </w:rPr>
              <w:t> </w:t>
            </w:r>
            <w:r>
              <w:rPr>
                <w:sz w:val="21"/>
                <w:szCs w:val="21"/>
              </w:rPr>
              <w:t>176</w:t>
            </w:r>
          </w:p>
        </w:tc>
        <w:tc>
          <w:tcPr>
            <w:tcW w:w="1110" w:type="dxa"/>
            <w:tcBorders>
              <w:top w:val="nil"/>
              <w:bottom w:val="nil"/>
            </w:tcBorders>
          </w:tcPr>
          <w:p w14:paraId="6F34CE4E" w14:textId="534DEB91" w:rsidR="00021C04" w:rsidRDefault="00A831F7">
            <w:pPr>
              <w:widowControl w:val="0"/>
              <w:pBdr>
                <w:top w:val="nil"/>
                <w:left w:val="nil"/>
                <w:bottom w:val="nil"/>
                <w:right w:val="nil"/>
                <w:between w:val="nil"/>
              </w:pBdr>
              <w:jc w:val="center"/>
              <w:rPr>
                <w:sz w:val="21"/>
                <w:szCs w:val="21"/>
              </w:rPr>
            </w:pPr>
            <w:r>
              <w:rPr>
                <w:sz w:val="21"/>
                <w:szCs w:val="21"/>
              </w:rPr>
              <w:t>42</w:t>
            </w:r>
            <w:r w:rsidR="00B204FE">
              <w:rPr>
                <w:sz w:val="21"/>
                <w:szCs w:val="21"/>
              </w:rPr>
              <w:t> </w:t>
            </w:r>
            <w:r>
              <w:rPr>
                <w:sz w:val="21"/>
                <w:szCs w:val="21"/>
              </w:rPr>
              <w:t>616</w:t>
            </w:r>
          </w:p>
        </w:tc>
        <w:tc>
          <w:tcPr>
            <w:tcW w:w="1365" w:type="dxa"/>
            <w:tcBorders>
              <w:top w:val="nil"/>
              <w:bottom w:val="nil"/>
            </w:tcBorders>
          </w:tcPr>
          <w:p w14:paraId="57DB81BE" w14:textId="5DADD11B" w:rsidR="00021C04" w:rsidRDefault="00A831F7">
            <w:pPr>
              <w:widowControl w:val="0"/>
              <w:pBdr>
                <w:top w:val="nil"/>
                <w:left w:val="nil"/>
                <w:bottom w:val="nil"/>
                <w:right w:val="nil"/>
                <w:between w:val="nil"/>
              </w:pBdr>
              <w:jc w:val="center"/>
              <w:rPr>
                <w:sz w:val="21"/>
                <w:szCs w:val="21"/>
              </w:rPr>
            </w:pPr>
            <w:r>
              <w:rPr>
                <w:sz w:val="21"/>
                <w:szCs w:val="21"/>
              </w:rPr>
              <w:t>4</w:t>
            </w:r>
            <w:r w:rsidR="00B204FE">
              <w:rPr>
                <w:sz w:val="21"/>
                <w:szCs w:val="21"/>
              </w:rPr>
              <w:t> </w:t>
            </w:r>
            <w:r>
              <w:rPr>
                <w:sz w:val="21"/>
                <w:szCs w:val="21"/>
              </w:rPr>
              <w:t>311</w:t>
            </w:r>
          </w:p>
        </w:tc>
      </w:tr>
      <w:tr w:rsidR="00021C04" w14:paraId="63A051CD" w14:textId="77777777" w:rsidTr="00021C04">
        <w:trPr>
          <w:trHeight w:val="363"/>
        </w:trPr>
        <w:tc>
          <w:tcPr>
            <w:tcW w:w="3045" w:type="dxa"/>
            <w:tcBorders>
              <w:top w:val="nil"/>
              <w:bottom w:val="nil"/>
            </w:tcBorders>
          </w:tcPr>
          <w:p w14:paraId="64E37817" w14:textId="77777777" w:rsidR="00021C04" w:rsidRDefault="00A831F7">
            <w:pPr>
              <w:widowControl w:val="0"/>
              <w:pBdr>
                <w:top w:val="nil"/>
                <w:left w:val="nil"/>
                <w:bottom w:val="nil"/>
                <w:right w:val="nil"/>
                <w:between w:val="nil"/>
              </w:pBdr>
              <w:jc w:val="both"/>
              <w:rPr>
                <w:b/>
                <w:sz w:val="21"/>
                <w:szCs w:val="21"/>
              </w:rPr>
            </w:pPr>
            <w:r>
              <w:rPr>
                <w:b/>
                <w:sz w:val="21"/>
                <w:szCs w:val="21"/>
              </w:rPr>
              <w:t xml:space="preserve">APR, </w:t>
            </w:r>
            <w:proofErr w:type="spellStart"/>
            <w:r>
              <w:rPr>
                <w:b/>
                <w:sz w:val="21"/>
                <w:szCs w:val="21"/>
              </w:rPr>
              <w:t>Killworth</w:t>
            </w:r>
            <w:proofErr w:type="spellEnd"/>
            <w:r>
              <w:rPr>
                <w:b/>
                <w:sz w:val="21"/>
                <w:szCs w:val="21"/>
              </w:rPr>
              <w:t xml:space="preserve"> et al. (1998)</w:t>
            </w:r>
          </w:p>
        </w:tc>
        <w:tc>
          <w:tcPr>
            <w:tcW w:w="1200" w:type="dxa"/>
            <w:tcBorders>
              <w:top w:val="nil"/>
              <w:bottom w:val="nil"/>
            </w:tcBorders>
          </w:tcPr>
          <w:p w14:paraId="05830937" w14:textId="42A27540" w:rsidR="00021C04" w:rsidRDefault="00A831F7">
            <w:pPr>
              <w:widowControl w:val="0"/>
              <w:pBdr>
                <w:top w:val="nil"/>
                <w:left w:val="nil"/>
                <w:bottom w:val="nil"/>
                <w:right w:val="nil"/>
                <w:between w:val="nil"/>
              </w:pBdr>
              <w:jc w:val="center"/>
              <w:rPr>
                <w:sz w:val="21"/>
                <w:szCs w:val="21"/>
              </w:rPr>
            </w:pPr>
            <w:r>
              <w:rPr>
                <w:sz w:val="21"/>
                <w:szCs w:val="21"/>
              </w:rPr>
              <w:t>181</w:t>
            </w:r>
            <w:r w:rsidR="00B204FE">
              <w:rPr>
                <w:sz w:val="21"/>
                <w:szCs w:val="21"/>
              </w:rPr>
              <w:t> </w:t>
            </w:r>
            <w:r>
              <w:rPr>
                <w:sz w:val="21"/>
                <w:szCs w:val="21"/>
              </w:rPr>
              <w:t>396</w:t>
            </w:r>
          </w:p>
        </w:tc>
        <w:tc>
          <w:tcPr>
            <w:tcW w:w="1515" w:type="dxa"/>
            <w:tcBorders>
              <w:top w:val="nil"/>
              <w:bottom w:val="nil"/>
            </w:tcBorders>
          </w:tcPr>
          <w:p w14:paraId="0F0523F4" w14:textId="56421320" w:rsidR="00021C04" w:rsidRDefault="00A831F7">
            <w:pPr>
              <w:widowControl w:val="0"/>
              <w:pBdr>
                <w:top w:val="nil"/>
                <w:left w:val="nil"/>
                <w:bottom w:val="nil"/>
                <w:right w:val="nil"/>
                <w:between w:val="nil"/>
              </w:pBdr>
              <w:jc w:val="center"/>
              <w:rPr>
                <w:sz w:val="21"/>
                <w:szCs w:val="21"/>
              </w:rPr>
            </w:pPr>
            <w:r>
              <w:rPr>
                <w:sz w:val="21"/>
                <w:szCs w:val="21"/>
              </w:rPr>
              <w:t>9</w:t>
            </w:r>
            <w:r w:rsidR="00B204FE">
              <w:rPr>
                <w:sz w:val="21"/>
                <w:szCs w:val="21"/>
              </w:rPr>
              <w:t> </w:t>
            </w:r>
            <w:r>
              <w:rPr>
                <w:sz w:val="21"/>
                <w:szCs w:val="21"/>
              </w:rPr>
              <w:t>123</w:t>
            </w:r>
          </w:p>
        </w:tc>
        <w:tc>
          <w:tcPr>
            <w:tcW w:w="1110" w:type="dxa"/>
            <w:tcBorders>
              <w:top w:val="nil"/>
              <w:bottom w:val="nil"/>
            </w:tcBorders>
          </w:tcPr>
          <w:p w14:paraId="5340F81E" w14:textId="41A7D7F7" w:rsidR="00021C04" w:rsidRDefault="00A831F7">
            <w:pPr>
              <w:widowControl w:val="0"/>
              <w:pBdr>
                <w:top w:val="nil"/>
                <w:left w:val="nil"/>
                <w:bottom w:val="nil"/>
                <w:right w:val="nil"/>
                <w:between w:val="nil"/>
              </w:pBdr>
              <w:jc w:val="center"/>
              <w:rPr>
                <w:sz w:val="21"/>
                <w:szCs w:val="21"/>
              </w:rPr>
            </w:pPr>
            <w:r>
              <w:rPr>
                <w:sz w:val="21"/>
                <w:szCs w:val="21"/>
              </w:rPr>
              <w:t>25</w:t>
            </w:r>
            <w:r w:rsidR="00B204FE">
              <w:rPr>
                <w:sz w:val="21"/>
                <w:szCs w:val="21"/>
              </w:rPr>
              <w:t> </w:t>
            </w:r>
            <w:r>
              <w:rPr>
                <w:sz w:val="21"/>
                <w:szCs w:val="21"/>
              </w:rPr>
              <w:t>914</w:t>
            </w:r>
          </w:p>
        </w:tc>
        <w:tc>
          <w:tcPr>
            <w:tcW w:w="1365" w:type="dxa"/>
            <w:tcBorders>
              <w:top w:val="nil"/>
              <w:bottom w:val="nil"/>
            </w:tcBorders>
          </w:tcPr>
          <w:p w14:paraId="7E7B84BD" w14:textId="446DF53E" w:rsidR="00021C04" w:rsidRDefault="00A831F7">
            <w:pPr>
              <w:widowControl w:val="0"/>
              <w:pBdr>
                <w:top w:val="nil"/>
                <w:left w:val="nil"/>
                <w:bottom w:val="nil"/>
                <w:right w:val="nil"/>
                <w:between w:val="nil"/>
              </w:pBdr>
              <w:jc w:val="center"/>
              <w:rPr>
                <w:sz w:val="21"/>
                <w:szCs w:val="21"/>
              </w:rPr>
            </w:pPr>
            <w:r>
              <w:rPr>
                <w:sz w:val="21"/>
                <w:szCs w:val="21"/>
              </w:rPr>
              <w:t>1</w:t>
            </w:r>
            <w:r w:rsidR="00B204FE">
              <w:rPr>
                <w:sz w:val="21"/>
                <w:szCs w:val="21"/>
              </w:rPr>
              <w:t> </w:t>
            </w:r>
            <w:r>
              <w:rPr>
                <w:sz w:val="21"/>
                <w:szCs w:val="21"/>
              </w:rPr>
              <w:t>303</w:t>
            </w:r>
          </w:p>
        </w:tc>
      </w:tr>
      <w:tr w:rsidR="00021C04" w14:paraId="7560C72C" w14:textId="77777777" w:rsidTr="00021C04">
        <w:trPr>
          <w:trHeight w:val="334"/>
        </w:trPr>
        <w:tc>
          <w:tcPr>
            <w:tcW w:w="3045" w:type="dxa"/>
            <w:tcBorders>
              <w:top w:val="nil"/>
              <w:bottom w:val="single" w:sz="4" w:space="0" w:color="000000"/>
            </w:tcBorders>
          </w:tcPr>
          <w:p w14:paraId="186F0B27" w14:textId="77777777" w:rsidR="00021C04" w:rsidRDefault="00A831F7">
            <w:pPr>
              <w:widowControl w:val="0"/>
              <w:pBdr>
                <w:top w:val="nil"/>
                <w:left w:val="nil"/>
                <w:bottom w:val="nil"/>
                <w:right w:val="nil"/>
                <w:between w:val="nil"/>
              </w:pBdr>
              <w:jc w:val="both"/>
              <w:rPr>
                <w:b/>
                <w:sz w:val="21"/>
                <w:szCs w:val="21"/>
              </w:rPr>
            </w:pPr>
            <w:r>
              <w:rPr>
                <w:b/>
                <w:sz w:val="21"/>
                <w:szCs w:val="21"/>
              </w:rPr>
              <w:t xml:space="preserve">APR, </w:t>
            </w:r>
            <w:proofErr w:type="spellStart"/>
            <w:r>
              <w:rPr>
                <w:b/>
                <w:sz w:val="21"/>
                <w:szCs w:val="21"/>
              </w:rPr>
              <w:t>Habecker</w:t>
            </w:r>
            <w:proofErr w:type="spellEnd"/>
            <w:r>
              <w:rPr>
                <w:b/>
                <w:sz w:val="21"/>
                <w:szCs w:val="21"/>
              </w:rPr>
              <w:t xml:space="preserve"> et al. (2015)</w:t>
            </w:r>
          </w:p>
        </w:tc>
        <w:tc>
          <w:tcPr>
            <w:tcW w:w="1200" w:type="dxa"/>
            <w:tcBorders>
              <w:top w:val="nil"/>
              <w:bottom w:val="single" w:sz="4" w:space="0" w:color="000000"/>
            </w:tcBorders>
          </w:tcPr>
          <w:p w14:paraId="770B9D4C" w14:textId="6F9A281C" w:rsidR="00021C04" w:rsidRDefault="00A831F7">
            <w:pPr>
              <w:widowControl w:val="0"/>
              <w:pBdr>
                <w:top w:val="nil"/>
                <w:left w:val="nil"/>
                <w:bottom w:val="nil"/>
                <w:right w:val="nil"/>
                <w:between w:val="nil"/>
              </w:pBdr>
              <w:jc w:val="center"/>
              <w:rPr>
                <w:sz w:val="21"/>
                <w:szCs w:val="21"/>
              </w:rPr>
            </w:pPr>
            <w:r>
              <w:rPr>
                <w:sz w:val="21"/>
                <w:szCs w:val="21"/>
              </w:rPr>
              <w:t>161</w:t>
            </w:r>
            <w:r w:rsidR="00B204FE">
              <w:rPr>
                <w:sz w:val="21"/>
                <w:szCs w:val="21"/>
              </w:rPr>
              <w:t> </w:t>
            </w:r>
            <w:r>
              <w:rPr>
                <w:sz w:val="21"/>
                <w:szCs w:val="21"/>
              </w:rPr>
              <w:t>308</w:t>
            </w:r>
          </w:p>
        </w:tc>
        <w:tc>
          <w:tcPr>
            <w:tcW w:w="1515" w:type="dxa"/>
            <w:tcBorders>
              <w:top w:val="nil"/>
              <w:bottom w:val="single" w:sz="4" w:space="0" w:color="000000"/>
            </w:tcBorders>
          </w:tcPr>
          <w:p w14:paraId="139E6D6A" w14:textId="41DCAEB7" w:rsidR="00021C04" w:rsidRDefault="00A831F7">
            <w:pPr>
              <w:widowControl w:val="0"/>
              <w:pBdr>
                <w:top w:val="nil"/>
                <w:left w:val="nil"/>
                <w:bottom w:val="nil"/>
                <w:right w:val="nil"/>
                <w:between w:val="nil"/>
              </w:pBdr>
              <w:jc w:val="center"/>
              <w:rPr>
                <w:sz w:val="21"/>
                <w:szCs w:val="21"/>
              </w:rPr>
            </w:pPr>
            <w:r>
              <w:rPr>
                <w:sz w:val="21"/>
                <w:szCs w:val="21"/>
              </w:rPr>
              <w:t>9</w:t>
            </w:r>
            <w:r w:rsidR="00B204FE">
              <w:rPr>
                <w:sz w:val="21"/>
                <w:szCs w:val="21"/>
              </w:rPr>
              <w:t> </w:t>
            </w:r>
            <w:r>
              <w:rPr>
                <w:sz w:val="21"/>
                <w:szCs w:val="21"/>
              </w:rPr>
              <w:t>304</w:t>
            </w:r>
          </w:p>
        </w:tc>
        <w:tc>
          <w:tcPr>
            <w:tcW w:w="1110" w:type="dxa"/>
            <w:tcBorders>
              <w:top w:val="nil"/>
              <w:bottom w:val="single" w:sz="4" w:space="0" w:color="000000"/>
            </w:tcBorders>
          </w:tcPr>
          <w:p w14:paraId="3FD83846" w14:textId="64CE2A82" w:rsidR="00021C04" w:rsidRDefault="00A831F7">
            <w:pPr>
              <w:widowControl w:val="0"/>
              <w:pBdr>
                <w:top w:val="nil"/>
                <w:left w:val="nil"/>
                <w:bottom w:val="nil"/>
                <w:right w:val="nil"/>
                <w:between w:val="nil"/>
              </w:pBdr>
              <w:jc w:val="center"/>
              <w:rPr>
                <w:sz w:val="21"/>
                <w:szCs w:val="21"/>
              </w:rPr>
            </w:pPr>
            <w:r>
              <w:rPr>
                <w:sz w:val="21"/>
                <w:szCs w:val="21"/>
              </w:rPr>
              <w:t>23</w:t>
            </w:r>
            <w:r w:rsidR="00B204FE">
              <w:rPr>
                <w:sz w:val="21"/>
                <w:szCs w:val="21"/>
              </w:rPr>
              <w:t> </w:t>
            </w:r>
            <w:r>
              <w:rPr>
                <w:sz w:val="21"/>
                <w:szCs w:val="21"/>
              </w:rPr>
              <w:t>044</w:t>
            </w:r>
          </w:p>
        </w:tc>
        <w:tc>
          <w:tcPr>
            <w:tcW w:w="1365" w:type="dxa"/>
            <w:tcBorders>
              <w:top w:val="nil"/>
              <w:bottom w:val="single" w:sz="4" w:space="0" w:color="000000"/>
            </w:tcBorders>
          </w:tcPr>
          <w:p w14:paraId="64F3BB2E" w14:textId="73DFD240" w:rsidR="00021C04" w:rsidRDefault="00A831F7">
            <w:pPr>
              <w:widowControl w:val="0"/>
              <w:pBdr>
                <w:top w:val="nil"/>
                <w:left w:val="nil"/>
                <w:bottom w:val="nil"/>
                <w:right w:val="nil"/>
                <w:between w:val="nil"/>
              </w:pBdr>
              <w:jc w:val="center"/>
              <w:rPr>
                <w:sz w:val="21"/>
                <w:szCs w:val="21"/>
              </w:rPr>
            </w:pPr>
            <w:r>
              <w:rPr>
                <w:sz w:val="21"/>
                <w:szCs w:val="21"/>
              </w:rPr>
              <w:t>1</w:t>
            </w:r>
            <w:r w:rsidR="00B204FE">
              <w:rPr>
                <w:sz w:val="21"/>
                <w:szCs w:val="21"/>
              </w:rPr>
              <w:t> </w:t>
            </w:r>
            <w:r>
              <w:rPr>
                <w:sz w:val="21"/>
                <w:szCs w:val="21"/>
              </w:rPr>
              <w:t>329</w:t>
            </w:r>
          </w:p>
        </w:tc>
      </w:tr>
    </w:tbl>
    <w:p w14:paraId="1CC5DFAB" w14:textId="77777777" w:rsidR="00021C04" w:rsidRDefault="00021C04">
      <w:pPr>
        <w:jc w:val="both"/>
      </w:pPr>
    </w:p>
    <w:p w14:paraId="6E22602F" w14:textId="77777777" w:rsidR="00021C04" w:rsidRDefault="00A831F7">
      <w:pPr>
        <w:jc w:val="both"/>
        <w:rPr>
          <w:sz w:val="18"/>
          <w:szCs w:val="18"/>
        </w:rPr>
      </w:pPr>
      <w:r>
        <w:rPr>
          <w:sz w:val="18"/>
          <w:szCs w:val="18"/>
        </w:rPr>
        <w:t>Tableau 1 – Estimations du nombre de nouveaux cas de COVID-19 selon plusieurs méthodes sur une base de sept jours (7j) et moyenne par jour (j). La première ligne montre l’incidence chez les adultes, basée sur un test positif (PCR ou rapide), à partir de la</w:t>
      </w:r>
      <w:r>
        <w:rPr>
          <w:sz w:val="18"/>
          <w:szCs w:val="18"/>
        </w:rPr>
        <w:t xml:space="preserve"> question individuelle. La deuxième ligne ajoute ceux rapportant qu’ils ont eu la COVID-19 sur la base d’un autodiagnostic en fonction des symptômes. La troisième ligne montre l’incidence dans la population totale sur la base de la méthode de l’amplificate</w:t>
      </w:r>
      <w:r>
        <w:rPr>
          <w:sz w:val="18"/>
          <w:szCs w:val="18"/>
        </w:rPr>
        <w:t xml:space="preserve">ur par réseau en utilisant l’estimateur par maximum de vraisemblance de </w:t>
      </w:r>
      <w:proofErr w:type="spellStart"/>
      <w:r>
        <w:rPr>
          <w:sz w:val="18"/>
          <w:szCs w:val="18"/>
        </w:rPr>
        <w:t>Killlworth</w:t>
      </w:r>
      <w:proofErr w:type="spellEnd"/>
      <w:r>
        <w:rPr>
          <w:sz w:val="18"/>
          <w:szCs w:val="18"/>
        </w:rPr>
        <w:t xml:space="preserve"> et al. (1998), alors que la dernière ligne utilise plutôt l’estimateur de </w:t>
      </w:r>
      <w:proofErr w:type="spellStart"/>
      <w:r>
        <w:rPr>
          <w:sz w:val="18"/>
          <w:szCs w:val="18"/>
        </w:rPr>
        <w:t>Habecker</w:t>
      </w:r>
      <w:proofErr w:type="spellEnd"/>
      <w:r>
        <w:rPr>
          <w:sz w:val="18"/>
          <w:szCs w:val="18"/>
        </w:rPr>
        <w:t xml:space="preserve"> et al. (2015).</w:t>
      </w:r>
    </w:p>
    <w:p w14:paraId="37D0ECB3" w14:textId="77777777" w:rsidR="00021C04" w:rsidRDefault="00021C04">
      <w:pPr>
        <w:jc w:val="both"/>
      </w:pPr>
    </w:p>
    <w:p w14:paraId="65157228" w14:textId="77777777" w:rsidR="00021C04" w:rsidRDefault="00021C04">
      <w:pPr>
        <w:jc w:val="both"/>
      </w:pPr>
    </w:p>
    <w:p w14:paraId="0F3D29D7" w14:textId="77777777" w:rsidR="00641DEE" w:rsidRDefault="00641DEE">
      <w:pPr>
        <w:jc w:val="both"/>
      </w:pPr>
    </w:p>
    <w:p w14:paraId="7FCD139E" w14:textId="2CC9BFCD" w:rsidR="00021C04" w:rsidRDefault="00641DEE">
      <w:pPr>
        <w:jc w:val="both"/>
      </w:pPr>
      <w:r>
        <w:rPr>
          <w:noProof/>
        </w:rPr>
        <w:drawing>
          <wp:inline distT="0" distB="0" distL="0" distR="0" wp14:anchorId="52CFF3AA" wp14:editId="4CFDF3E3">
            <wp:extent cx="6119518" cy="4427145"/>
            <wp:effectExtent l="0" t="0" r="1905"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3902" cy="4437551"/>
                    </a:xfrm>
                    <a:prstGeom prst="rect">
                      <a:avLst/>
                    </a:prstGeom>
                  </pic:spPr>
                </pic:pic>
              </a:graphicData>
            </a:graphic>
          </wp:inline>
        </w:drawing>
      </w:r>
    </w:p>
    <w:p w14:paraId="719DA31A" w14:textId="77777777" w:rsidR="00E73882" w:rsidRDefault="00E73882">
      <w:pPr>
        <w:jc w:val="both"/>
        <w:rPr>
          <w:sz w:val="18"/>
          <w:szCs w:val="18"/>
        </w:rPr>
      </w:pPr>
    </w:p>
    <w:p w14:paraId="4C28CDE8" w14:textId="77777777" w:rsidR="00E73882" w:rsidRDefault="00E73882">
      <w:pPr>
        <w:jc w:val="both"/>
        <w:rPr>
          <w:sz w:val="18"/>
          <w:szCs w:val="18"/>
        </w:rPr>
      </w:pPr>
    </w:p>
    <w:p w14:paraId="79769114" w14:textId="7A5FE6DE" w:rsidR="00021C04" w:rsidRDefault="00A831F7">
      <w:pPr>
        <w:jc w:val="both"/>
        <w:rPr>
          <w:sz w:val="18"/>
          <w:szCs w:val="18"/>
        </w:rPr>
      </w:pPr>
      <w:r>
        <w:rPr>
          <w:sz w:val="18"/>
          <w:szCs w:val="18"/>
        </w:rPr>
        <w:t>Figure 1 – Estimations de l’incidence de la COVID-19, avec intervalles</w:t>
      </w:r>
      <w:r>
        <w:rPr>
          <w:sz w:val="18"/>
          <w:szCs w:val="18"/>
        </w:rPr>
        <w:t xml:space="preserve"> de confiance à 95 %. Nous présentons le nombre de nouveaux cas dans la population totale tel que rapporté par l’INSPQ pour la période du 27 janvier au 1</w:t>
      </w:r>
      <w:r>
        <w:rPr>
          <w:sz w:val="18"/>
          <w:szCs w:val="18"/>
          <w:vertAlign w:val="superscript"/>
        </w:rPr>
        <w:t>er</w:t>
      </w:r>
      <w:r>
        <w:rPr>
          <w:sz w:val="18"/>
          <w:szCs w:val="18"/>
        </w:rPr>
        <w:t xml:space="preserve"> février 2022 (tests PCR positifs - voir note 10 pour plus de précisions) ; nos estimations selon la </w:t>
      </w:r>
      <w:r>
        <w:rPr>
          <w:sz w:val="18"/>
          <w:szCs w:val="18"/>
        </w:rPr>
        <w:t xml:space="preserve">méthode de l’amplificateur par réseau, selon les estimateurs de </w:t>
      </w:r>
      <w:proofErr w:type="spellStart"/>
      <w:r>
        <w:rPr>
          <w:sz w:val="18"/>
          <w:szCs w:val="18"/>
        </w:rPr>
        <w:t>Killlworth</w:t>
      </w:r>
      <w:proofErr w:type="spellEnd"/>
      <w:r>
        <w:rPr>
          <w:sz w:val="18"/>
          <w:szCs w:val="18"/>
        </w:rPr>
        <w:t xml:space="preserve"> et al. (1998) et de </w:t>
      </w:r>
      <w:proofErr w:type="spellStart"/>
      <w:r>
        <w:rPr>
          <w:sz w:val="18"/>
          <w:szCs w:val="18"/>
        </w:rPr>
        <w:t>Habecker</w:t>
      </w:r>
      <w:proofErr w:type="spellEnd"/>
      <w:r>
        <w:rPr>
          <w:sz w:val="18"/>
          <w:szCs w:val="18"/>
        </w:rPr>
        <w:t xml:space="preserve"> et al. (2015) ; et l’incidence chez les adultes estimée à l’aide de la méthode directe (question individuelle pour les 18 ans et plus). Nous montrons au</w:t>
      </w:r>
      <w:r>
        <w:rPr>
          <w:sz w:val="18"/>
          <w:szCs w:val="18"/>
        </w:rPr>
        <w:t>ssi l’incidence chez les adultes en incluant les autodiagnostics.</w:t>
      </w:r>
    </w:p>
    <w:p w14:paraId="54A8A6C6" w14:textId="16A7DCCF" w:rsidR="00021C04" w:rsidRDefault="00021C04">
      <w:pPr>
        <w:jc w:val="both"/>
      </w:pPr>
    </w:p>
    <w:p w14:paraId="40CEB589" w14:textId="00D73FF9" w:rsidR="00E73882" w:rsidRDefault="00E73882">
      <w:pPr>
        <w:jc w:val="both"/>
      </w:pPr>
    </w:p>
    <w:p w14:paraId="5CBDD9F8" w14:textId="77777777" w:rsidR="00E73882" w:rsidRDefault="00E73882">
      <w:pPr>
        <w:jc w:val="both"/>
      </w:pPr>
    </w:p>
    <w:p w14:paraId="1E3BFF46" w14:textId="77777777" w:rsidR="00021C04" w:rsidRDefault="00A831F7">
      <w:pPr>
        <w:pStyle w:val="Titre2"/>
        <w:jc w:val="both"/>
        <w:rPr>
          <w:color w:val="8B2942"/>
        </w:rPr>
      </w:pPr>
      <w:r>
        <w:rPr>
          <w:color w:val="8B2942"/>
        </w:rPr>
        <w:t>Comparaison de l’incidence entre la Semaine 2 et la Semaine 3</w:t>
      </w:r>
    </w:p>
    <w:p w14:paraId="7EBCF46C" w14:textId="45822B00" w:rsidR="00021C04" w:rsidRDefault="00A831F7">
      <w:pPr>
        <w:jc w:val="both"/>
      </w:pPr>
      <w:r>
        <w:t xml:space="preserve">Le nombre de nouveaux cas (excluant les autodiagnostics) pour cette semaine de collecte est </w:t>
      </w:r>
      <w:r w:rsidR="00D55DD1">
        <w:t xml:space="preserve">de </w:t>
      </w:r>
      <w:r>
        <w:t>13 % à 20 % plus faible que celui estimé la semaine précédente, selon la méthode d’estimation utilisée. Comparativement à la semaine précédente, la décroissance des</w:t>
      </w:r>
      <w:r>
        <w:t xml:space="preserve"> cas observée dans nos données est moins importante que celle observée dans les données basées sur les tests PCR colligées par l’INSPQ</w:t>
      </w:r>
      <w:r w:rsidR="00E73882">
        <w:t xml:space="preserve"> (23,5%)</w:t>
      </w:r>
      <w:r>
        <w:t xml:space="preserve">. </w:t>
      </w:r>
    </w:p>
    <w:p w14:paraId="2DB8692E" w14:textId="4787189A" w:rsidR="00E73882" w:rsidRDefault="00E73882">
      <w:pPr>
        <w:jc w:val="both"/>
      </w:pPr>
    </w:p>
    <w:p w14:paraId="24C7A509" w14:textId="1A1322FD" w:rsidR="00E73882" w:rsidRDefault="00E73882">
      <w:pPr>
        <w:jc w:val="both"/>
      </w:pPr>
    </w:p>
    <w:p w14:paraId="6B31F9C8" w14:textId="77485E7F" w:rsidR="00E73882" w:rsidRDefault="00E73882">
      <w:pPr>
        <w:jc w:val="both"/>
      </w:pPr>
    </w:p>
    <w:p w14:paraId="2E5E1D42" w14:textId="6B952ED6" w:rsidR="00E73882" w:rsidRDefault="00E73882">
      <w:pPr>
        <w:jc w:val="both"/>
      </w:pPr>
    </w:p>
    <w:p w14:paraId="5532BAFB" w14:textId="163C171D" w:rsidR="00E73882" w:rsidRDefault="00E73882">
      <w:pPr>
        <w:jc w:val="both"/>
      </w:pPr>
    </w:p>
    <w:p w14:paraId="1A4F648A" w14:textId="72D0D407" w:rsidR="00E73882" w:rsidRDefault="00E73882">
      <w:pPr>
        <w:jc w:val="both"/>
      </w:pPr>
    </w:p>
    <w:tbl>
      <w:tblPr>
        <w:tblStyle w:val="a2"/>
        <w:tblW w:w="9139" w:type="dxa"/>
        <w:tblInd w:w="0" w:type="dxa"/>
        <w:tblBorders>
          <w:top w:val="single" w:sz="4" w:space="0" w:color="666666"/>
          <w:bottom w:val="single" w:sz="4" w:space="0" w:color="666666"/>
          <w:insideH w:val="single" w:sz="4" w:space="0" w:color="666666"/>
        </w:tblBorders>
        <w:tblLayout w:type="fixed"/>
        <w:tblLook w:val="0600" w:firstRow="0" w:lastRow="0" w:firstColumn="0" w:lastColumn="0" w:noHBand="1" w:noVBand="1"/>
      </w:tblPr>
      <w:tblGrid>
        <w:gridCol w:w="3060"/>
        <w:gridCol w:w="1875"/>
        <w:gridCol w:w="1290"/>
        <w:gridCol w:w="1430"/>
        <w:gridCol w:w="1484"/>
      </w:tblGrid>
      <w:tr w:rsidR="00021C04" w14:paraId="785017AE" w14:textId="77777777" w:rsidTr="00021C04">
        <w:trPr>
          <w:trHeight w:val="325"/>
        </w:trPr>
        <w:tc>
          <w:tcPr>
            <w:tcW w:w="3060" w:type="dxa"/>
            <w:tcBorders>
              <w:bottom w:val="single" w:sz="4" w:space="0" w:color="000000"/>
            </w:tcBorders>
          </w:tcPr>
          <w:p w14:paraId="75029721" w14:textId="77777777" w:rsidR="00021C04" w:rsidRDefault="00A831F7">
            <w:pPr>
              <w:widowControl w:val="0"/>
              <w:pBdr>
                <w:top w:val="nil"/>
                <w:left w:val="nil"/>
                <w:bottom w:val="nil"/>
                <w:right w:val="nil"/>
                <w:between w:val="nil"/>
              </w:pBdr>
              <w:jc w:val="both"/>
              <w:rPr>
                <w:b/>
                <w:sz w:val="21"/>
                <w:szCs w:val="21"/>
              </w:rPr>
            </w:pPr>
            <w:r>
              <w:rPr>
                <w:b/>
                <w:sz w:val="21"/>
                <w:szCs w:val="21"/>
              </w:rPr>
              <w:t>Différence : sem. 3 - sem. 2</w:t>
            </w:r>
          </w:p>
        </w:tc>
        <w:tc>
          <w:tcPr>
            <w:tcW w:w="1875" w:type="dxa"/>
            <w:tcBorders>
              <w:bottom w:val="single" w:sz="4" w:space="0" w:color="000000"/>
            </w:tcBorders>
          </w:tcPr>
          <w:p w14:paraId="7F6CC53F" w14:textId="77777777" w:rsidR="00021C04" w:rsidRDefault="00A831F7">
            <w:pPr>
              <w:widowControl w:val="0"/>
              <w:pBdr>
                <w:top w:val="nil"/>
                <w:left w:val="nil"/>
                <w:bottom w:val="nil"/>
                <w:right w:val="nil"/>
                <w:between w:val="nil"/>
              </w:pBdr>
              <w:jc w:val="center"/>
              <w:rPr>
                <w:b/>
                <w:sz w:val="21"/>
                <w:szCs w:val="21"/>
              </w:rPr>
            </w:pPr>
            <w:r>
              <w:rPr>
                <w:b/>
                <w:sz w:val="21"/>
                <w:szCs w:val="21"/>
              </w:rPr>
              <w:t>Nb cas (7j)</w:t>
            </w:r>
          </w:p>
        </w:tc>
        <w:tc>
          <w:tcPr>
            <w:tcW w:w="1290" w:type="dxa"/>
            <w:tcBorders>
              <w:bottom w:val="single" w:sz="4" w:space="0" w:color="000000"/>
            </w:tcBorders>
          </w:tcPr>
          <w:p w14:paraId="0AD7F042" w14:textId="77777777" w:rsidR="00021C04" w:rsidRDefault="00A831F7">
            <w:pPr>
              <w:widowControl w:val="0"/>
              <w:pBdr>
                <w:top w:val="nil"/>
                <w:left w:val="nil"/>
                <w:bottom w:val="nil"/>
                <w:right w:val="nil"/>
                <w:between w:val="nil"/>
              </w:pBdr>
              <w:jc w:val="center"/>
              <w:rPr>
                <w:b/>
                <w:sz w:val="21"/>
                <w:szCs w:val="21"/>
              </w:rPr>
            </w:pPr>
            <w:r>
              <w:rPr>
                <w:b/>
                <w:sz w:val="21"/>
                <w:szCs w:val="21"/>
              </w:rPr>
              <w:t>Écart-type</w:t>
            </w:r>
          </w:p>
        </w:tc>
        <w:tc>
          <w:tcPr>
            <w:tcW w:w="1430" w:type="dxa"/>
            <w:tcBorders>
              <w:bottom w:val="single" w:sz="4" w:space="0" w:color="000000"/>
            </w:tcBorders>
          </w:tcPr>
          <w:p w14:paraId="1928DCE2" w14:textId="77777777" w:rsidR="00021C04" w:rsidRDefault="00A831F7">
            <w:pPr>
              <w:widowControl w:val="0"/>
              <w:pBdr>
                <w:top w:val="nil"/>
                <w:left w:val="nil"/>
                <w:bottom w:val="nil"/>
                <w:right w:val="nil"/>
                <w:between w:val="nil"/>
              </w:pBdr>
              <w:jc w:val="center"/>
              <w:rPr>
                <w:b/>
                <w:sz w:val="21"/>
                <w:szCs w:val="21"/>
              </w:rPr>
            </w:pPr>
            <w:r>
              <w:rPr>
                <w:b/>
                <w:sz w:val="21"/>
                <w:szCs w:val="21"/>
              </w:rPr>
              <w:t>Statistique t</w:t>
            </w:r>
          </w:p>
        </w:tc>
        <w:tc>
          <w:tcPr>
            <w:tcW w:w="1484" w:type="dxa"/>
            <w:tcBorders>
              <w:bottom w:val="single" w:sz="4" w:space="0" w:color="000000"/>
            </w:tcBorders>
          </w:tcPr>
          <w:p w14:paraId="4FAE99D3" w14:textId="77777777" w:rsidR="00021C04" w:rsidRDefault="00A831F7">
            <w:pPr>
              <w:widowControl w:val="0"/>
              <w:pBdr>
                <w:top w:val="nil"/>
                <w:left w:val="nil"/>
                <w:bottom w:val="nil"/>
                <w:right w:val="nil"/>
                <w:between w:val="nil"/>
              </w:pBdr>
              <w:jc w:val="center"/>
              <w:rPr>
                <w:b/>
                <w:sz w:val="21"/>
                <w:szCs w:val="21"/>
              </w:rPr>
            </w:pPr>
            <w:proofErr w:type="gramStart"/>
            <w:r>
              <w:rPr>
                <w:b/>
                <w:sz w:val="21"/>
                <w:szCs w:val="21"/>
              </w:rPr>
              <w:t>p</w:t>
            </w:r>
            <w:proofErr w:type="gramEnd"/>
            <w:r>
              <w:rPr>
                <w:b/>
                <w:sz w:val="21"/>
                <w:szCs w:val="21"/>
              </w:rPr>
              <w:t>-value</w:t>
            </w:r>
          </w:p>
        </w:tc>
      </w:tr>
      <w:tr w:rsidR="00021C04" w14:paraId="54CAC796" w14:textId="77777777" w:rsidTr="00021C04">
        <w:trPr>
          <w:trHeight w:val="326"/>
        </w:trPr>
        <w:tc>
          <w:tcPr>
            <w:tcW w:w="3060" w:type="dxa"/>
            <w:tcBorders>
              <w:top w:val="single" w:sz="4" w:space="0" w:color="000000"/>
              <w:bottom w:val="nil"/>
            </w:tcBorders>
          </w:tcPr>
          <w:p w14:paraId="33A95ADC" w14:textId="77777777" w:rsidR="00021C04" w:rsidRDefault="00A831F7">
            <w:pPr>
              <w:widowControl w:val="0"/>
              <w:pBdr>
                <w:top w:val="nil"/>
                <w:left w:val="nil"/>
                <w:bottom w:val="nil"/>
                <w:right w:val="nil"/>
                <w:between w:val="nil"/>
              </w:pBdr>
              <w:jc w:val="both"/>
              <w:rPr>
                <w:b/>
                <w:sz w:val="21"/>
                <w:szCs w:val="21"/>
              </w:rPr>
            </w:pPr>
            <w:r>
              <w:rPr>
                <w:b/>
                <w:sz w:val="21"/>
                <w:szCs w:val="21"/>
              </w:rPr>
              <w:t>Direct positifs</w:t>
            </w:r>
          </w:p>
        </w:tc>
        <w:tc>
          <w:tcPr>
            <w:tcW w:w="1875" w:type="dxa"/>
            <w:tcBorders>
              <w:top w:val="single" w:sz="4" w:space="0" w:color="000000"/>
              <w:bottom w:val="nil"/>
            </w:tcBorders>
          </w:tcPr>
          <w:p w14:paraId="030F6C16" w14:textId="30B17146" w:rsidR="00021C04" w:rsidRDefault="00A831F7">
            <w:pPr>
              <w:widowControl w:val="0"/>
              <w:pBdr>
                <w:top w:val="nil"/>
                <w:left w:val="nil"/>
                <w:bottom w:val="nil"/>
                <w:right w:val="nil"/>
                <w:between w:val="nil"/>
              </w:pBdr>
              <w:jc w:val="center"/>
              <w:rPr>
                <w:sz w:val="21"/>
                <w:szCs w:val="21"/>
              </w:rPr>
            </w:pPr>
            <w:r>
              <w:rPr>
                <w:sz w:val="21"/>
                <w:szCs w:val="21"/>
              </w:rPr>
              <w:t>-28</w:t>
            </w:r>
            <w:r w:rsidR="00B204FE">
              <w:rPr>
                <w:sz w:val="21"/>
                <w:szCs w:val="21"/>
              </w:rPr>
              <w:t> </w:t>
            </w:r>
            <w:r>
              <w:rPr>
                <w:sz w:val="21"/>
                <w:szCs w:val="21"/>
              </w:rPr>
              <w:t>061</w:t>
            </w:r>
          </w:p>
        </w:tc>
        <w:tc>
          <w:tcPr>
            <w:tcW w:w="1290" w:type="dxa"/>
            <w:tcBorders>
              <w:top w:val="single" w:sz="4" w:space="0" w:color="000000"/>
              <w:bottom w:val="nil"/>
            </w:tcBorders>
          </w:tcPr>
          <w:p w14:paraId="01B24A62" w14:textId="73F57FD7" w:rsidR="00021C04" w:rsidRDefault="00A831F7">
            <w:pPr>
              <w:widowControl w:val="0"/>
              <w:pBdr>
                <w:top w:val="nil"/>
                <w:left w:val="nil"/>
                <w:bottom w:val="nil"/>
                <w:right w:val="nil"/>
                <w:between w:val="nil"/>
              </w:pBdr>
              <w:jc w:val="center"/>
              <w:rPr>
                <w:sz w:val="21"/>
                <w:szCs w:val="21"/>
              </w:rPr>
            </w:pPr>
            <w:r>
              <w:rPr>
                <w:sz w:val="21"/>
                <w:szCs w:val="21"/>
              </w:rPr>
              <w:t>33</w:t>
            </w:r>
            <w:r w:rsidR="00B204FE">
              <w:rPr>
                <w:sz w:val="21"/>
                <w:szCs w:val="21"/>
              </w:rPr>
              <w:t> </w:t>
            </w:r>
            <w:r>
              <w:rPr>
                <w:sz w:val="21"/>
                <w:szCs w:val="21"/>
              </w:rPr>
              <w:t>283</w:t>
            </w:r>
          </w:p>
        </w:tc>
        <w:tc>
          <w:tcPr>
            <w:tcW w:w="1430" w:type="dxa"/>
            <w:tcBorders>
              <w:top w:val="single" w:sz="4" w:space="0" w:color="000000"/>
              <w:bottom w:val="nil"/>
            </w:tcBorders>
          </w:tcPr>
          <w:p w14:paraId="2FDC4289" w14:textId="77777777" w:rsidR="00021C04" w:rsidRDefault="00A831F7">
            <w:pPr>
              <w:widowControl w:val="0"/>
              <w:pBdr>
                <w:top w:val="nil"/>
                <w:left w:val="nil"/>
                <w:bottom w:val="nil"/>
                <w:right w:val="nil"/>
                <w:between w:val="nil"/>
              </w:pBdr>
              <w:jc w:val="center"/>
              <w:rPr>
                <w:sz w:val="21"/>
                <w:szCs w:val="21"/>
              </w:rPr>
            </w:pPr>
            <w:r>
              <w:rPr>
                <w:sz w:val="21"/>
                <w:szCs w:val="21"/>
              </w:rPr>
              <w:t>-0,84</w:t>
            </w:r>
          </w:p>
        </w:tc>
        <w:tc>
          <w:tcPr>
            <w:tcW w:w="1484" w:type="dxa"/>
            <w:tcBorders>
              <w:top w:val="single" w:sz="4" w:space="0" w:color="000000"/>
              <w:bottom w:val="nil"/>
            </w:tcBorders>
          </w:tcPr>
          <w:p w14:paraId="2FF13D56" w14:textId="77777777" w:rsidR="00021C04" w:rsidRDefault="00A831F7">
            <w:pPr>
              <w:widowControl w:val="0"/>
              <w:pBdr>
                <w:top w:val="nil"/>
                <w:left w:val="nil"/>
                <w:bottom w:val="nil"/>
                <w:right w:val="nil"/>
                <w:between w:val="nil"/>
              </w:pBdr>
              <w:jc w:val="center"/>
              <w:rPr>
                <w:sz w:val="21"/>
                <w:szCs w:val="21"/>
              </w:rPr>
            </w:pPr>
            <w:r>
              <w:rPr>
                <w:sz w:val="21"/>
                <w:szCs w:val="21"/>
              </w:rPr>
              <w:t>0,399</w:t>
            </w:r>
          </w:p>
        </w:tc>
      </w:tr>
      <w:tr w:rsidR="00021C04" w14:paraId="23F10DDE" w14:textId="77777777" w:rsidTr="00021C04">
        <w:trPr>
          <w:trHeight w:val="349"/>
        </w:trPr>
        <w:tc>
          <w:tcPr>
            <w:tcW w:w="3060" w:type="dxa"/>
            <w:tcBorders>
              <w:top w:val="nil"/>
              <w:bottom w:val="nil"/>
            </w:tcBorders>
          </w:tcPr>
          <w:p w14:paraId="025799F1" w14:textId="77777777" w:rsidR="00021C04" w:rsidRDefault="00A831F7">
            <w:pPr>
              <w:widowControl w:val="0"/>
              <w:pBdr>
                <w:top w:val="nil"/>
                <w:left w:val="nil"/>
                <w:bottom w:val="nil"/>
                <w:right w:val="nil"/>
                <w:between w:val="nil"/>
              </w:pBdr>
              <w:jc w:val="both"/>
              <w:rPr>
                <w:b/>
                <w:sz w:val="21"/>
                <w:szCs w:val="21"/>
              </w:rPr>
            </w:pPr>
            <w:r>
              <w:rPr>
                <w:b/>
                <w:sz w:val="21"/>
                <w:szCs w:val="21"/>
              </w:rPr>
              <w:t>Avec autodiagnostics</w:t>
            </w:r>
          </w:p>
        </w:tc>
        <w:tc>
          <w:tcPr>
            <w:tcW w:w="1875" w:type="dxa"/>
            <w:tcBorders>
              <w:top w:val="nil"/>
              <w:bottom w:val="nil"/>
            </w:tcBorders>
          </w:tcPr>
          <w:p w14:paraId="75B95ADC" w14:textId="39DB9428" w:rsidR="00021C04" w:rsidRDefault="00A831F7">
            <w:pPr>
              <w:widowControl w:val="0"/>
              <w:pBdr>
                <w:top w:val="nil"/>
                <w:left w:val="nil"/>
                <w:bottom w:val="nil"/>
                <w:right w:val="nil"/>
                <w:between w:val="nil"/>
              </w:pBdr>
              <w:jc w:val="center"/>
              <w:rPr>
                <w:sz w:val="21"/>
                <w:szCs w:val="21"/>
              </w:rPr>
            </w:pPr>
            <w:r>
              <w:rPr>
                <w:sz w:val="21"/>
                <w:szCs w:val="21"/>
              </w:rPr>
              <w:t>-7</w:t>
            </w:r>
            <w:r w:rsidR="00B204FE">
              <w:rPr>
                <w:sz w:val="21"/>
                <w:szCs w:val="21"/>
              </w:rPr>
              <w:t> </w:t>
            </w:r>
            <w:r>
              <w:rPr>
                <w:sz w:val="21"/>
                <w:szCs w:val="21"/>
              </w:rPr>
              <w:t>260</w:t>
            </w:r>
          </w:p>
        </w:tc>
        <w:tc>
          <w:tcPr>
            <w:tcW w:w="1290" w:type="dxa"/>
            <w:tcBorders>
              <w:top w:val="nil"/>
              <w:bottom w:val="nil"/>
            </w:tcBorders>
          </w:tcPr>
          <w:p w14:paraId="62DF9F7C" w14:textId="32C89905" w:rsidR="00021C04" w:rsidRDefault="00A831F7">
            <w:pPr>
              <w:widowControl w:val="0"/>
              <w:pBdr>
                <w:top w:val="nil"/>
                <w:left w:val="nil"/>
                <w:bottom w:val="nil"/>
                <w:right w:val="nil"/>
                <w:between w:val="nil"/>
              </w:pBdr>
              <w:jc w:val="center"/>
              <w:rPr>
                <w:sz w:val="21"/>
                <w:szCs w:val="21"/>
              </w:rPr>
            </w:pPr>
            <w:r>
              <w:rPr>
                <w:sz w:val="21"/>
                <w:szCs w:val="21"/>
              </w:rPr>
              <w:t>41</w:t>
            </w:r>
            <w:r w:rsidR="00B204FE">
              <w:rPr>
                <w:sz w:val="21"/>
                <w:szCs w:val="21"/>
              </w:rPr>
              <w:t> </w:t>
            </w:r>
            <w:r>
              <w:rPr>
                <w:sz w:val="21"/>
                <w:szCs w:val="21"/>
              </w:rPr>
              <w:t>086</w:t>
            </w:r>
          </w:p>
        </w:tc>
        <w:tc>
          <w:tcPr>
            <w:tcW w:w="1430" w:type="dxa"/>
            <w:tcBorders>
              <w:top w:val="nil"/>
              <w:bottom w:val="nil"/>
            </w:tcBorders>
          </w:tcPr>
          <w:p w14:paraId="37F648AA" w14:textId="77777777" w:rsidR="00021C04" w:rsidRDefault="00A831F7">
            <w:pPr>
              <w:widowControl w:val="0"/>
              <w:pBdr>
                <w:top w:val="nil"/>
                <w:left w:val="nil"/>
                <w:bottom w:val="nil"/>
                <w:right w:val="nil"/>
                <w:between w:val="nil"/>
              </w:pBdr>
              <w:jc w:val="center"/>
              <w:rPr>
                <w:sz w:val="21"/>
                <w:szCs w:val="21"/>
              </w:rPr>
            </w:pPr>
            <w:r>
              <w:rPr>
                <w:sz w:val="21"/>
                <w:szCs w:val="21"/>
              </w:rPr>
              <w:t>-0,18</w:t>
            </w:r>
          </w:p>
        </w:tc>
        <w:tc>
          <w:tcPr>
            <w:tcW w:w="1484" w:type="dxa"/>
            <w:tcBorders>
              <w:top w:val="nil"/>
              <w:bottom w:val="nil"/>
            </w:tcBorders>
          </w:tcPr>
          <w:p w14:paraId="7E4E7BD1" w14:textId="77777777" w:rsidR="00021C04" w:rsidRDefault="00A831F7">
            <w:pPr>
              <w:widowControl w:val="0"/>
              <w:pBdr>
                <w:top w:val="nil"/>
                <w:left w:val="nil"/>
                <w:bottom w:val="nil"/>
                <w:right w:val="nil"/>
                <w:between w:val="nil"/>
              </w:pBdr>
              <w:jc w:val="center"/>
              <w:rPr>
                <w:sz w:val="21"/>
                <w:szCs w:val="21"/>
              </w:rPr>
            </w:pPr>
            <w:r>
              <w:rPr>
                <w:sz w:val="21"/>
                <w:szCs w:val="21"/>
              </w:rPr>
              <w:t>0,860</w:t>
            </w:r>
          </w:p>
        </w:tc>
      </w:tr>
      <w:tr w:rsidR="00021C04" w14:paraId="659F915F" w14:textId="77777777" w:rsidTr="00021C04">
        <w:trPr>
          <w:trHeight w:val="348"/>
        </w:trPr>
        <w:tc>
          <w:tcPr>
            <w:tcW w:w="3060" w:type="dxa"/>
            <w:tcBorders>
              <w:top w:val="nil"/>
              <w:bottom w:val="nil"/>
            </w:tcBorders>
          </w:tcPr>
          <w:p w14:paraId="71ADCABF" w14:textId="77777777" w:rsidR="00021C04" w:rsidRDefault="00A831F7">
            <w:pPr>
              <w:widowControl w:val="0"/>
              <w:pBdr>
                <w:top w:val="nil"/>
                <w:left w:val="nil"/>
                <w:bottom w:val="nil"/>
                <w:right w:val="nil"/>
                <w:between w:val="nil"/>
              </w:pBdr>
              <w:jc w:val="both"/>
              <w:rPr>
                <w:b/>
                <w:sz w:val="21"/>
                <w:szCs w:val="21"/>
              </w:rPr>
            </w:pPr>
            <w:r>
              <w:rPr>
                <w:b/>
                <w:sz w:val="21"/>
                <w:szCs w:val="21"/>
              </w:rPr>
              <w:t xml:space="preserve">APR, </w:t>
            </w:r>
            <w:proofErr w:type="spellStart"/>
            <w:r>
              <w:rPr>
                <w:b/>
                <w:sz w:val="21"/>
                <w:szCs w:val="21"/>
              </w:rPr>
              <w:t>Killworth</w:t>
            </w:r>
            <w:proofErr w:type="spellEnd"/>
            <w:r>
              <w:rPr>
                <w:b/>
                <w:sz w:val="21"/>
                <w:szCs w:val="21"/>
              </w:rPr>
              <w:t xml:space="preserve"> et al. (1998)</w:t>
            </w:r>
          </w:p>
        </w:tc>
        <w:tc>
          <w:tcPr>
            <w:tcW w:w="1875" w:type="dxa"/>
            <w:tcBorders>
              <w:top w:val="nil"/>
              <w:bottom w:val="nil"/>
            </w:tcBorders>
          </w:tcPr>
          <w:p w14:paraId="3347FE12" w14:textId="13615349" w:rsidR="00021C04" w:rsidRDefault="00A831F7">
            <w:pPr>
              <w:widowControl w:val="0"/>
              <w:pBdr>
                <w:top w:val="nil"/>
                <w:left w:val="nil"/>
                <w:bottom w:val="nil"/>
                <w:right w:val="nil"/>
                <w:between w:val="nil"/>
              </w:pBdr>
              <w:jc w:val="center"/>
              <w:rPr>
                <w:sz w:val="21"/>
                <w:szCs w:val="21"/>
              </w:rPr>
            </w:pPr>
            <w:r>
              <w:rPr>
                <w:sz w:val="21"/>
                <w:szCs w:val="21"/>
              </w:rPr>
              <w:t>-33</w:t>
            </w:r>
            <w:r w:rsidR="00B204FE">
              <w:rPr>
                <w:sz w:val="21"/>
                <w:szCs w:val="21"/>
              </w:rPr>
              <w:t> </w:t>
            </w:r>
            <w:r>
              <w:rPr>
                <w:sz w:val="21"/>
                <w:szCs w:val="21"/>
              </w:rPr>
              <w:t>851</w:t>
            </w:r>
          </w:p>
        </w:tc>
        <w:tc>
          <w:tcPr>
            <w:tcW w:w="1290" w:type="dxa"/>
            <w:tcBorders>
              <w:top w:val="nil"/>
              <w:bottom w:val="nil"/>
            </w:tcBorders>
          </w:tcPr>
          <w:p w14:paraId="6BEAB59A" w14:textId="728FD71C" w:rsidR="00021C04" w:rsidRDefault="00A831F7">
            <w:pPr>
              <w:widowControl w:val="0"/>
              <w:pBdr>
                <w:top w:val="nil"/>
                <w:left w:val="nil"/>
                <w:bottom w:val="nil"/>
                <w:right w:val="nil"/>
                <w:between w:val="nil"/>
              </w:pBdr>
              <w:jc w:val="center"/>
              <w:rPr>
                <w:sz w:val="21"/>
                <w:szCs w:val="21"/>
              </w:rPr>
            </w:pPr>
            <w:r>
              <w:rPr>
                <w:sz w:val="21"/>
                <w:szCs w:val="21"/>
              </w:rPr>
              <w:t>14</w:t>
            </w:r>
            <w:r w:rsidR="00B204FE">
              <w:rPr>
                <w:sz w:val="21"/>
                <w:szCs w:val="21"/>
              </w:rPr>
              <w:t> </w:t>
            </w:r>
            <w:r>
              <w:rPr>
                <w:sz w:val="21"/>
                <w:szCs w:val="21"/>
              </w:rPr>
              <w:t>275</w:t>
            </w:r>
          </w:p>
        </w:tc>
        <w:tc>
          <w:tcPr>
            <w:tcW w:w="1430" w:type="dxa"/>
            <w:tcBorders>
              <w:top w:val="nil"/>
              <w:bottom w:val="nil"/>
            </w:tcBorders>
          </w:tcPr>
          <w:p w14:paraId="2645D693" w14:textId="77777777" w:rsidR="00021C04" w:rsidRDefault="00A831F7">
            <w:pPr>
              <w:widowControl w:val="0"/>
              <w:pBdr>
                <w:top w:val="nil"/>
                <w:left w:val="nil"/>
                <w:bottom w:val="nil"/>
                <w:right w:val="nil"/>
                <w:between w:val="nil"/>
              </w:pBdr>
              <w:jc w:val="center"/>
              <w:rPr>
                <w:sz w:val="21"/>
                <w:szCs w:val="21"/>
              </w:rPr>
            </w:pPr>
            <w:r>
              <w:rPr>
                <w:sz w:val="21"/>
                <w:szCs w:val="21"/>
              </w:rPr>
              <w:t>-2,37</w:t>
            </w:r>
          </w:p>
        </w:tc>
        <w:tc>
          <w:tcPr>
            <w:tcW w:w="1484" w:type="dxa"/>
            <w:tcBorders>
              <w:top w:val="nil"/>
              <w:bottom w:val="nil"/>
            </w:tcBorders>
          </w:tcPr>
          <w:p w14:paraId="6045822B" w14:textId="77777777" w:rsidR="00021C04" w:rsidRDefault="00A831F7">
            <w:pPr>
              <w:widowControl w:val="0"/>
              <w:pBdr>
                <w:top w:val="nil"/>
                <w:left w:val="nil"/>
                <w:bottom w:val="nil"/>
                <w:right w:val="nil"/>
                <w:between w:val="nil"/>
              </w:pBdr>
              <w:jc w:val="center"/>
              <w:rPr>
                <w:sz w:val="21"/>
                <w:szCs w:val="21"/>
              </w:rPr>
            </w:pPr>
            <w:r>
              <w:rPr>
                <w:sz w:val="21"/>
                <w:szCs w:val="21"/>
              </w:rPr>
              <w:t>0,018</w:t>
            </w:r>
          </w:p>
        </w:tc>
      </w:tr>
      <w:tr w:rsidR="00021C04" w14:paraId="05084955" w14:textId="77777777" w:rsidTr="00021C04">
        <w:trPr>
          <w:trHeight w:val="279"/>
        </w:trPr>
        <w:tc>
          <w:tcPr>
            <w:tcW w:w="3060" w:type="dxa"/>
            <w:tcBorders>
              <w:top w:val="nil"/>
              <w:bottom w:val="single" w:sz="4" w:space="0" w:color="000000"/>
            </w:tcBorders>
          </w:tcPr>
          <w:p w14:paraId="3598DCFA" w14:textId="77777777" w:rsidR="00021C04" w:rsidRDefault="00A831F7">
            <w:pPr>
              <w:widowControl w:val="0"/>
              <w:pBdr>
                <w:top w:val="nil"/>
                <w:left w:val="nil"/>
                <w:bottom w:val="nil"/>
                <w:right w:val="nil"/>
                <w:between w:val="nil"/>
              </w:pBdr>
              <w:jc w:val="both"/>
              <w:rPr>
                <w:b/>
                <w:sz w:val="21"/>
                <w:szCs w:val="21"/>
              </w:rPr>
            </w:pPr>
            <w:r>
              <w:rPr>
                <w:b/>
                <w:sz w:val="21"/>
                <w:szCs w:val="21"/>
              </w:rPr>
              <w:t xml:space="preserve">APR, </w:t>
            </w:r>
            <w:proofErr w:type="spellStart"/>
            <w:r>
              <w:rPr>
                <w:b/>
                <w:sz w:val="21"/>
                <w:szCs w:val="21"/>
              </w:rPr>
              <w:t>Habecker</w:t>
            </w:r>
            <w:proofErr w:type="spellEnd"/>
            <w:r>
              <w:rPr>
                <w:b/>
                <w:sz w:val="21"/>
                <w:szCs w:val="21"/>
              </w:rPr>
              <w:t xml:space="preserve"> et al. (2015)</w:t>
            </w:r>
          </w:p>
        </w:tc>
        <w:tc>
          <w:tcPr>
            <w:tcW w:w="1875" w:type="dxa"/>
            <w:tcBorders>
              <w:top w:val="nil"/>
              <w:bottom w:val="single" w:sz="4" w:space="0" w:color="000000"/>
            </w:tcBorders>
          </w:tcPr>
          <w:p w14:paraId="44623923" w14:textId="094666A9" w:rsidR="00021C04" w:rsidRDefault="00A831F7">
            <w:pPr>
              <w:widowControl w:val="0"/>
              <w:pBdr>
                <w:top w:val="nil"/>
                <w:left w:val="nil"/>
                <w:bottom w:val="nil"/>
                <w:right w:val="nil"/>
                <w:between w:val="nil"/>
              </w:pBdr>
              <w:jc w:val="center"/>
              <w:rPr>
                <w:sz w:val="21"/>
                <w:szCs w:val="21"/>
              </w:rPr>
            </w:pPr>
            <w:r>
              <w:rPr>
                <w:sz w:val="21"/>
                <w:szCs w:val="21"/>
              </w:rPr>
              <w:t>-39</w:t>
            </w:r>
            <w:r w:rsidR="00B204FE">
              <w:rPr>
                <w:sz w:val="21"/>
                <w:szCs w:val="21"/>
              </w:rPr>
              <w:t> </w:t>
            </w:r>
            <w:r>
              <w:rPr>
                <w:sz w:val="21"/>
                <w:szCs w:val="21"/>
              </w:rPr>
              <w:t>257</w:t>
            </w:r>
          </w:p>
        </w:tc>
        <w:tc>
          <w:tcPr>
            <w:tcW w:w="1290" w:type="dxa"/>
            <w:tcBorders>
              <w:top w:val="nil"/>
              <w:bottom w:val="single" w:sz="4" w:space="0" w:color="000000"/>
            </w:tcBorders>
          </w:tcPr>
          <w:p w14:paraId="0736D726" w14:textId="78F21B1F" w:rsidR="00021C04" w:rsidRDefault="00A831F7">
            <w:pPr>
              <w:widowControl w:val="0"/>
              <w:pBdr>
                <w:top w:val="nil"/>
                <w:left w:val="nil"/>
                <w:bottom w:val="nil"/>
                <w:right w:val="nil"/>
                <w:between w:val="nil"/>
              </w:pBdr>
              <w:jc w:val="center"/>
              <w:rPr>
                <w:sz w:val="21"/>
                <w:szCs w:val="21"/>
              </w:rPr>
            </w:pPr>
            <w:r>
              <w:rPr>
                <w:sz w:val="21"/>
                <w:szCs w:val="21"/>
              </w:rPr>
              <w:t>14</w:t>
            </w:r>
            <w:r w:rsidR="00B204FE">
              <w:rPr>
                <w:sz w:val="21"/>
                <w:szCs w:val="21"/>
              </w:rPr>
              <w:t> </w:t>
            </w:r>
            <w:r>
              <w:rPr>
                <w:sz w:val="21"/>
                <w:szCs w:val="21"/>
              </w:rPr>
              <w:t>557</w:t>
            </w:r>
          </w:p>
        </w:tc>
        <w:tc>
          <w:tcPr>
            <w:tcW w:w="1430" w:type="dxa"/>
            <w:tcBorders>
              <w:top w:val="nil"/>
              <w:bottom w:val="single" w:sz="4" w:space="0" w:color="000000"/>
            </w:tcBorders>
          </w:tcPr>
          <w:p w14:paraId="5DE881B4" w14:textId="77777777" w:rsidR="00021C04" w:rsidRDefault="00A831F7">
            <w:pPr>
              <w:widowControl w:val="0"/>
              <w:pBdr>
                <w:top w:val="nil"/>
                <w:left w:val="nil"/>
                <w:bottom w:val="nil"/>
                <w:right w:val="nil"/>
                <w:between w:val="nil"/>
              </w:pBdr>
              <w:jc w:val="center"/>
              <w:rPr>
                <w:sz w:val="21"/>
                <w:szCs w:val="21"/>
              </w:rPr>
            </w:pPr>
            <w:r>
              <w:rPr>
                <w:sz w:val="21"/>
                <w:szCs w:val="21"/>
              </w:rPr>
              <w:t>-2,70</w:t>
            </w:r>
          </w:p>
        </w:tc>
        <w:tc>
          <w:tcPr>
            <w:tcW w:w="1484" w:type="dxa"/>
            <w:tcBorders>
              <w:top w:val="nil"/>
              <w:bottom w:val="single" w:sz="4" w:space="0" w:color="000000"/>
            </w:tcBorders>
          </w:tcPr>
          <w:p w14:paraId="3BC4B95F" w14:textId="77777777" w:rsidR="00021C04" w:rsidRDefault="00A831F7">
            <w:pPr>
              <w:widowControl w:val="0"/>
              <w:pBdr>
                <w:top w:val="nil"/>
                <w:left w:val="nil"/>
                <w:bottom w:val="nil"/>
                <w:right w:val="nil"/>
                <w:between w:val="nil"/>
              </w:pBdr>
              <w:jc w:val="center"/>
              <w:rPr>
                <w:sz w:val="21"/>
                <w:szCs w:val="21"/>
              </w:rPr>
            </w:pPr>
            <w:r>
              <w:rPr>
                <w:sz w:val="21"/>
                <w:szCs w:val="21"/>
              </w:rPr>
              <w:t>0,007</w:t>
            </w:r>
          </w:p>
        </w:tc>
      </w:tr>
    </w:tbl>
    <w:p w14:paraId="29F1F0DC" w14:textId="77777777" w:rsidR="00021C04" w:rsidRDefault="00021C04">
      <w:pPr>
        <w:jc w:val="both"/>
      </w:pPr>
    </w:p>
    <w:p w14:paraId="41B1FD7D" w14:textId="77777777" w:rsidR="00021C04" w:rsidRDefault="00A831F7">
      <w:pPr>
        <w:jc w:val="both"/>
      </w:pPr>
      <w:r>
        <w:rPr>
          <w:sz w:val="18"/>
          <w:szCs w:val="18"/>
        </w:rPr>
        <w:t xml:space="preserve">Tableau 2 – Estimation de la tendance du nombre de nouveaux cas de COVID-19 de la semaine 2 à la semaine 3 selon plusieurs méthodes sur une base de sept jours (7j). L’écart-type de la différence est aussi rapporté, ainsi que la statistique </w:t>
      </w:r>
      <w:r>
        <w:rPr>
          <w:i/>
          <w:sz w:val="18"/>
          <w:szCs w:val="18"/>
        </w:rPr>
        <w:t>t</w:t>
      </w:r>
      <w:r>
        <w:rPr>
          <w:sz w:val="18"/>
          <w:szCs w:val="18"/>
        </w:rPr>
        <w:t>, dont le seuil</w:t>
      </w:r>
      <w:r>
        <w:rPr>
          <w:sz w:val="18"/>
          <w:szCs w:val="18"/>
        </w:rPr>
        <w:t xml:space="preserve"> critique pour un niveau de confiance de 5 % est de 1,96. À ce seuil, une p-value inférieure à 0,05 indique une différence significative. La première ligne montre l’incidence chez les adultes, basée sur un test positif (PCR ou rapide), à partir de la quest</w:t>
      </w:r>
      <w:r>
        <w:rPr>
          <w:sz w:val="18"/>
          <w:szCs w:val="18"/>
        </w:rPr>
        <w:t>ion individuelle. La deuxième ligne inclut ceux rapportant qu’ils ont eu la COVID-19 sur la base d’un autodiagnostic en fonction des symptômes. La troisième ligne montre la variation de l’incidence dans la population totale sur la base de la méthode de l’a</w:t>
      </w:r>
      <w:r>
        <w:rPr>
          <w:sz w:val="18"/>
          <w:szCs w:val="18"/>
        </w:rPr>
        <w:t xml:space="preserve">mplificateur par réseau en utilisant l’estimateur par maximum de vraisemblance de </w:t>
      </w:r>
      <w:proofErr w:type="spellStart"/>
      <w:r>
        <w:rPr>
          <w:sz w:val="18"/>
          <w:szCs w:val="18"/>
        </w:rPr>
        <w:t>Killlworth</w:t>
      </w:r>
      <w:proofErr w:type="spellEnd"/>
      <w:r>
        <w:rPr>
          <w:sz w:val="18"/>
          <w:szCs w:val="18"/>
        </w:rPr>
        <w:t xml:space="preserve"> et al. (1998), alors que la dernière ligne utilise plutôt l’estimateur de </w:t>
      </w:r>
      <w:proofErr w:type="spellStart"/>
      <w:r>
        <w:rPr>
          <w:sz w:val="18"/>
          <w:szCs w:val="18"/>
        </w:rPr>
        <w:t>Habecker</w:t>
      </w:r>
      <w:proofErr w:type="spellEnd"/>
      <w:r>
        <w:rPr>
          <w:sz w:val="18"/>
          <w:szCs w:val="18"/>
        </w:rPr>
        <w:t xml:space="preserve"> et al. (2015).</w:t>
      </w:r>
    </w:p>
    <w:p w14:paraId="64568EE2" w14:textId="77777777" w:rsidR="00021C04" w:rsidRDefault="00021C04">
      <w:pPr>
        <w:jc w:val="both"/>
      </w:pPr>
    </w:p>
    <w:p w14:paraId="67B45236" w14:textId="77777777" w:rsidR="00021C04" w:rsidRDefault="00021C04">
      <w:pPr>
        <w:jc w:val="both"/>
        <w:rPr>
          <w:highlight w:val="yellow"/>
        </w:rPr>
      </w:pPr>
    </w:p>
    <w:p w14:paraId="0BC2C0DB" w14:textId="77777777" w:rsidR="00021C04" w:rsidRDefault="00A831F7" w:rsidP="00641DEE">
      <w:pPr>
        <w:pStyle w:val="Titre1"/>
      </w:pPr>
      <w:r>
        <w:t>CONCLUSION</w:t>
      </w:r>
    </w:p>
    <w:p w14:paraId="496D3FDD" w14:textId="77777777" w:rsidR="00021C04" w:rsidRDefault="00A831F7">
      <w:pPr>
        <w:jc w:val="both"/>
      </w:pPr>
      <w:r>
        <w:t>L</w:t>
      </w:r>
      <w:r>
        <w:t xml:space="preserve">es données collectées au temps 3 semblent indiquer </w:t>
      </w:r>
      <w:r>
        <w:t>une baisse de l’incidence des cas de COVID-19 par rapport à la semaine précédente. Cette baisse de l’incidence n’est pas statistiquement significative dans l’estimation par échantillonnage direct. La baisse est en revanche significative dans les estimation</w:t>
      </w:r>
      <w:r>
        <w:t>s basées sur l’APR. Ces résultats doivent donc être pris avec précaution. En générant des écarts-types plus faibles, la méthode par APR permet néanmoins d’apporter plus de précision dans l’estimation de la tendance de l’incidence des cas.</w:t>
      </w:r>
    </w:p>
    <w:p w14:paraId="7F37E4DC" w14:textId="77777777" w:rsidR="00021C04" w:rsidRDefault="00021C04">
      <w:pPr>
        <w:jc w:val="both"/>
      </w:pPr>
    </w:p>
    <w:p w14:paraId="1E53DB7D" w14:textId="77777777" w:rsidR="00021C04" w:rsidRDefault="00021C04">
      <w:pPr>
        <w:jc w:val="both"/>
      </w:pPr>
    </w:p>
    <w:p w14:paraId="1217FECA" w14:textId="77777777" w:rsidR="00021C04" w:rsidRDefault="00021C04">
      <w:pPr>
        <w:jc w:val="both"/>
      </w:pPr>
    </w:p>
    <w:p w14:paraId="3D963D96" w14:textId="77777777" w:rsidR="00021C04" w:rsidRDefault="00021C04">
      <w:pPr>
        <w:jc w:val="both"/>
      </w:pPr>
    </w:p>
    <w:p w14:paraId="47C571CB" w14:textId="77777777" w:rsidR="00021C04" w:rsidRDefault="00021C04">
      <w:pPr>
        <w:jc w:val="both"/>
      </w:pPr>
    </w:p>
    <w:p w14:paraId="7CAB4B77" w14:textId="77777777" w:rsidR="00021C04" w:rsidRDefault="00021C04">
      <w:pPr>
        <w:jc w:val="both"/>
      </w:pPr>
    </w:p>
    <w:p w14:paraId="527B0273" w14:textId="77777777" w:rsidR="00021C04" w:rsidRDefault="00021C04">
      <w:pPr>
        <w:jc w:val="both"/>
      </w:pPr>
    </w:p>
    <w:p w14:paraId="5419D71C" w14:textId="77777777" w:rsidR="00021C04" w:rsidRDefault="00A831F7" w:rsidP="00641DEE">
      <w:pPr>
        <w:pStyle w:val="Titre1"/>
      </w:pPr>
      <w:r>
        <w:t>Ressources</w:t>
      </w:r>
      <w:r>
        <w:t xml:space="preserve"> complémentaires</w:t>
      </w:r>
    </w:p>
    <w:p w14:paraId="7E5E2522" w14:textId="2B30E09A" w:rsidR="00021C04" w:rsidRDefault="00A831F7">
      <w:pPr>
        <w:numPr>
          <w:ilvl w:val="0"/>
          <w:numId w:val="1"/>
        </w:numPr>
        <w:pBdr>
          <w:top w:val="nil"/>
          <w:left w:val="nil"/>
          <w:bottom w:val="nil"/>
          <w:right w:val="nil"/>
          <w:between w:val="nil"/>
        </w:pBdr>
        <w:jc w:val="both"/>
        <w:rPr>
          <w:color w:val="000000"/>
        </w:rPr>
      </w:pPr>
      <w:r>
        <w:rPr>
          <w:color w:val="000000"/>
        </w:rPr>
        <w:t>C</w:t>
      </w:r>
      <w:r>
        <w:rPr>
          <w:color w:val="000000"/>
        </w:rPr>
        <w:t xml:space="preserve">ahier scientifique de référence : Boisclair, D., </w:t>
      </w:r>
      <w:proofErr w:type="spellStart"/>
      <w:r>
        <w:rPr>
          <w:color w:val="000000"/>
        </w:rPr>
        <w:t>Borgès</w:t>
      </w:r>
      <w:proofErr w:type="spellEnd"/>
      <w:r>
        <w:rPr>
          <w:color w:val="000000"/>
        </w:rPr>
        <w:t xml:space="preserve"> Da Silva, R., Boucher, V., De </w:t>
      </w:r>
      <w:proofErr w:type="spellStart"/>
      <w:r>
        <w:rPr>
          <w:color w:val="000000"/>
        </w:rPr>
        <w:t>Marcellis</w:t>
      </w:r>
      <w:proofErr w:type="spellEnd"/>
      <w:r>
        <w:rPr>
          <w:color w:val="000000"/>
        </w:rPr>
        <w:t>-Warin, N., Michaud, P-C et Peignier, I. (2022). Combien de personnes ont développé des symptômes ou contracté la C</w:t>
      </w:r>
      <w:r w:rsidR="00B204FE">
        <w:rPr>
          <w:color w:val="000000"/>
        </w:rPr>
        <w:t>OVID</w:t>
      </w:r>
      <w:r>
        <w:rPr>
          <w:color w:val="000000"/>
        </w:rPr>
        <w:t>-19 au Québec</w:t>
      </w:r>
      <w:r w:rsidR="00B204FE">
        <w:rPr>
          <w:color w:val="000000"/>
        </w:rPr>
        <w:t> </w:t>
      </w:r>
      <w:r>
        <w:rPr>
          <w:color w:val="000000"/>
        </w:rPr>
        <w:t>? Une étude</w:t>
      </w:r>
      <w:r>
        <w:rPr>
          <w:color w:val="000000"/>
        </w:rPr>
        <w:t xml:space="preserve"> exploratoire (2022s-03). </w:t>
      </w:r>
      <w:hyperlink r:id="rId11">
        <w:r>
          <w:rPr>
            <w:color w:val="0000FF"/>
            <w:u w:val="single"/>
          </w:rPr>
          <w:t>https://doi.org/10.54932/KWYT2364</w:t>
        </w:r>
      </w:hyperlink>
    </w:p>
    <w:p w14:paraId="7CC392FE" w14:textId="77777777" w:rsidR="00021C04" w:rsidRDefault="00021C04">
      <w:pPr>
        <w:jc w:val="both"/>
      </w:pPr>
    </w:p>
    <w:p w14:paraId="75EB0E09" w14:textId="77777777" w:rsidR="00021C04" w:rsidRDefault="00A831F7">
      <w:pPr>
        <w:numPr>
          <w:ilvl w:val="0"/>
          <w:numId w:val="1"/>
        </w:numPr>
        <w:pBdr>
          <w:top w:val="nil"/>
          <w:left w:val="nil"/>
          <w:bottom w:val="nil"/>
          <w:right w:val="nil"/>
          <w:between w:val="nil"/>
        </w:pBdr>
        <w:jc w:val="both"/>
      </w:pPr>
      <w:r>
        <w:rPr>
          <w:color w:val="000000"/>
        </w:rPr>
        <w:t xml:space="preserve">Les données ainsi que les scripts ayant produit les résultats de cette note sont disponibles sur le site </w:t>
      </w:r>
      <w:hyperlink r:id="rId12">
        <w:r>
          <w:rPr>
            <w:color w:val="0000FF"/>
            <w:u w:val="single"/>
          </w:rPr>
          <w:t>https://www.github.com/p</w:t>
        </w:r>
        <w:r>
          <w:rPr>
            <w:color w:val="0000FF"/>
            <w:u w:val="single"/>
          </w:rPr>
          <w:t>c</w:t>
        </w:r>
        <w:r>
          <w:rPr>
            <w:color w:val="0000FF"/>
            <w:u w:val="single"/>
          </w:rPr>
          <w:t>michaud/EnqueteCovid.git</w:t>
        </w:r>
      </w:hyperlink>
    </w:p>
    <w:sectPr w:rsidR="00021C04">
      <w:footerReference w:type="defaul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1E817" w14:textId="77777777" w:rsidR="00A831F7" w:rsidRDefault="00A831F7">
      <w:pPr>
        <w:spacing w:line="240" w:lineRule="auto"/>
      </w:pPr>
      <w:r>
        <w:separator/>
      </w:r>
    </w:p>
  </w:endnote>
  <w:endnote w:type="continuationSeparator" w:id="0">
    <w:p w14:paraId="2424FAD7" w14:textId="77777777" w:rsidR="00A831F7" w:rsidRDefault="00A83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8DE7" w14:textId="77777777" w:rsidR="00021C04" w:rsidRDefault="00A831F7">
    <w:pPr>
      <w:jc w:val="center"/>
    </w:pPr>
    <w:r>
      <w:fldChar w:fldCharType="begin"/>
    </w:r>
    <w:r>
      <w:instrText>PAGE</w:instrText>
    </w:r>
    <w:r>
      <w:fldChar w:fldCharType="separate"/>
    </w:r>
    <w:r w:rsidR="00BA739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897D" w14:textId="77777777" w:rsidR="00021C04" w:rsidRDefault="00A831F7">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A7390">
      <w:rPr>
        <w:noProof/>
        <w:color w:val="000000"/>
      </w:rPr>
      <w:t>1</w:t>
    </w:r>
    <w:r>
      <w:rPr>
        <w:color w:val="000000"/>
      </w:rPr>
      <w:fldChar w:fldCharType="end"/>
    </w:r>
  </w:p>
  <w:p w14:paraId="40E74F3C" w14:textId="77777777" w:rsidR="00021C04" w:rsidRDefault="00021C04">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6A46C" w14:textId="77777777" w:rsidR="00A831F7" w:rsidRDefault="00A831F7">
      <w:pPr>
        <w:spacing w:line="240" w:lineRule="auto"/>
      </w:pPr>
      <w:r>
        <w:separator/>
      </w:r>
    </w:p>
  </w:footnote>
  <w:footnote w:type="continuationSeparator" w:id="0">
    <w:p w14:paraId="44251906" w14:textId="77777777" w:rsidR="00A831F7" w:rsidRDefault="00A831F7">
      <w:pPr>
        <w:spacing w:line="240" w:lineRule="auto"/>
      </w:pPr>
      <w:r>
        <w:continuationSeparator/>
      </w:r>
    </w:p>
  </w:footnote>
  <w:footnote w:id="1">
    <w:p w14:paraId="37833FB5" w14:textId="77777777" w:rsidR="00956DB9" w:rsidRPr="003108EF" w:rsidRDefault="00956DB9" w:rsidP="00956DB9">
      <w:pPr>
        <w:pStyle w:val="Notedebasdepage"/>
        <w:jc w:val="both"/>
        <w:rPr>
          <w:rFonts w:ascii="Arial" w:hAnsi="Arial" w:cs="Arial"/>
          <w:sz w:val="17"/>
          <w:szCs w:val="17"/>
        </w:rPr>
      </w:pPr>
      <w:r w:rsidRPr="003108EF">
        <w:rPr>
          <w:rStyle w:val="Appelnotedebasdep"/>
          <w:rFonts w:ascii="Arial" w:hAnsi="Arial" w:cs="Arial"/>
          <w:sz w:val="17"/>
          <w:szCs w:val="17"/>
        </w:rPr>
        <w:footnoteRef/>
      </w:r>
      <w:r w:rsidRPr="003108EF">
        <w:rPr>
          <w:rFonts w:ascii="Arial" w:hAnsi="Arial" w:cs="Arial"/>
          <w:sz w:val="17"/>
          <w:szCs w:val="17"/>
        </w:rPr>
        <w:t xml:space="preserve"> HEC Montréal</w:t>
      </w:r>
    </w:p>
  </w:footnote>
  <w:footnote w:id="2">
    <w:p w14:paraId="412FDFE4" w14:textId="77777777" w:rsidR="00956DB9" w:rsidRPr="003108EF" w:rsidRDefault="00956DB9" w:rsidP="00956DB9">
      <w:pPr>
        <w:pStyle w:val="Notedebasdepage"/>
        <w:jc w:val="both"/>
        <w:rPr>
          <w:rFonts w:ascii="Arial" w:hAnsi="Arial" w:cs="Arial"/>
          <w:sz w:val="17"/>
          <w:szCs w:val="17"/>
        </w:rPr>
      </w:pPr>
      <w:r w:rsidRPr="003108EF">
        <w:rPr>
          <w:rStyle w:val="Appelnotedebasdep"/>
          <w:rFonts w:ascii="Arial" w:hAnsi="Arial" w:cs="Arial"/>
          <w:sz w:val="17"/>
          <w:szCs w:val="17"/>
        </w:rPr>
        <w:footnoteRef/>
      </w:r>
      <w:r w:rsidRPr="003108EF">
        <w:rPr>
          <w:rFonts w:ascii="Arial" w:hAnsi="Arial" w:cs="Arial"/>
          <w:sz w:val="17"/>
          <w:szCs w:val="17"/>
        </w:rPr>
        <w:t xml:space="preserve"> Université de Montréal et CIRANO</w:t>
      </w:r>
    </w:p>
  </w:footnote>
  <w:footnote w:id="3">
    <w:p w14:paraId="64ACFF33" w14:textId="77777777" w:rsidR="00956DB9" w:rsidRPr="003108EF" w:rsidRDefault="00956DB9" w:rsidP="00956DB9">
      <w:pPr>
        <w:pStyle w:val="Notedebasdepage"/>
        <w:jc w:val="both"/>
        <w:rPr>
          <w:rFonts w:ascii="Arial" w:hAnsi="Arial" w:cs="Arial"/>
          <w:sz w:val="17"/>
          <w:szCs w:val="17"/>
        </w:rPr>
      </w:pPr>
      <w:r w:rsidRPr="003108EF">
        <w:rPr>
          <w:rStyle w:val="Appelnotedebasdep"/>
          <w:rFonts w:ascii="Arial" w:hAnsi="Arial" w:cs="Arial"/>
          <w:sz w:val="17"/>
          <w:szCs w:val="17"/>
        </w:rPr>
        <w:footnoteRef/>
      </w:r>
      <w:r w:rsidRPr="003108EF">
        <w:rPr>
          <w:rFonts w:ascii="Arial" w:hAnsi="Arial" w:cs="Arial"/>
          <w:sz w:val="17"/>
          <w:szCs w:val="17"/>
        </w:rPr>
        <w:t xml:space="preserve"> Université Laval</w:t>
      </w:r>
    </w:p>
  </w:footnote>
  <w:footnote w:id="4">
    <w:p w14:paraId="5BC72B68" w14:textId="77777777" w:rsidR="00956DB9" w:rsidRPr="003108EF" w:rsidRDefault="00956DB9" w:rsidP="00956DB9">
      <w:pPr>
        <w:pStyle w:val="Notedebasdepage"/>
        <w:jc w:val="both"/>
        <w:rPr>
          <w:rFonts w:ascii="Arial" w:hAnsi="Arial" w:cs="Arial"/>
          <w:sz w:val="17"/>
          <w:szCs w:val="17"/>
        </w:rPr>
      </w:pPr>
      <w:r w:rsidRPr="003108EF">
        <w:rPr>
          <w:rStyle w:val="Appelnotedebasdep"/>
          <w:rFonts w:ascii="Arial" w:hAnsi="Arial" w:cs="Arial"/>
          <w:sz w:val="17"/>
          <w:szCs w:val="17"/>
        </w:rPr>
        <w:footnoteRef/>
      </w:r>
      <w:r w:rsidRPr="003108EF">
        <w:rPr>
          <w:rFonts w:ascii="Arial" w:hAnsi="Arial" w:cs="Arial"/>
          <w:sz w:val="17"/>
          <w:szCs w:val="17"/>
        </w:rPr>
        <w:t xml:space="preserve"> Polytechnique Montréal et CIRANO</w:t>
      </w:r>
    </w:p>
  </w:footnote>
  <w:footnote w:id="5">
    <w:p w14:paraId="02D9137F" w14:textId="77777777" w:rsidR="00956DB9" w:rsidRPr="003108EF" w:rsidRDefault="00956DB9" w:rsidP="00956DB9">
      <w:pPr>
        <w:pStyle w:val="Notedebasdepage"/>
        <w:jc w:val="both"/>
        <w:rPr>
          <w:rFonts w:ascii="Arial" w:hAnsi="Arial" w:cs="Arial"/>
          <w:sz w:val="17"/>
          <w:szCs w:val="17"/>
        </w:rPr>
      </w:pPr>
      <w:r w:rsidRPr="003108EF">
        <w:rPr>
          <w:rStyle w:val="Appelnotedebasdep"/>
          <w:rFonts w:ascii="Arial" w:hAnsi="Arial" w:cs="Arial"/>
          <w:sz w:val="17"/>
          <w:szCs w:val="17"/>
        </w:rPr>
        <w:footnoteRef/>
      </w:r>
      <w:r w:rsidRPr="003108EF">
        <w:rPr>
          <w:rFonts w:ascii="Arial" w:hAnsi="Arial" w:cs="Arial"/>
          <w:sz w:val="17"/>
          <w:szCs w:val="17"/>
        </w:rPr>
        <w:t xml:space="preserve"> HEC Montréal et CIRANO</w:t>
      </w:r>
    </w:p>
  </w:footnote>
  <w:footnote w:id="6">
    <w:p w14:paraId="5CCD9307" w14:textId="77777777" w:rsidR="00956DB9" w:rsidRPr="003108EF" w:rsidRDefault="00956DB9" w:rsidP="00956DB9">
      <w:pPr>
        <w:pStyle w:val="Notedebasdepage"/>
        <w:jc w:val="both"/>
        <w:rPr>
          <w:rFonts w:ascii="Arial" w:hAnsi="Arial" w:cs="Arial"/>
          <w:sz w:val="17"/>
          <w:szCs w:val="17"/>
        </w:rPr>
      </w:pPr>
      <w:r w:rsidRPr="003108EF">
        <w:rPr>
          <w:rStyle w:val="Appelnotedebasdep"/>
          <w:rFonts w:ascii="Arial" w:hAnsi="Arial" w:cs="Arial"/>
          <w:sz w:val="17"/>
          <w:szCs w:val="17"/>
        </w:rPr>
        <w:footnoteRef/>
      </w:r>
      <w:r w:rsidRPr="003108EF">
        <w:rPr>
          <w:rFonts w:ascii="Arial" w:hAnsi="Arial" w:cs="Arial"/>
          <w:sz w:val="17"/>
          <w:szCs w:val="17"/>
        </w:rPr>
        <w:t xml:space="preserve"> CIRANO</w:t>
      </w:r>
    </w:p>
  </w:footnote>
  <w:footnote w:id="7">
    <w:p w14:paraId="7634FC0A" w14:textId="3A7085E8" w:rsidR="00021C04" w:rsidRPr="00641DEE" w:rsidRDefault="00A831F7" w:rsidP="009707DD">
      <w:pPr>
        <w:spacing w:after="120" w:line="240" w:lineRule="auto"/>
        <w:jc w:val="both"/>
        <w:rPr>
          <w:sz w:val="17"/>
          <w:szCs w:val="17"/>
        </w:rPr>
      </w:pPr>
      <w:r w:rsidRPr="00641DEE">
        <w:rPr>
          <w:sz w:val="17"/>
          <w:szCs w:val="17"/>
          <w:vertAlign w:val="superscript"/>
        </w:rPr>
        <w:footnoteRef/>
      </w:r>
      <w:r w:rsidRPr="00641DEE">
        <w:rPr>
          <w:sz w:val="17"/>
          <w:szCs w:val="17"/>
        </w:rPr>
        <w:t xml:space="preserve"> Des exclusions ont été faites par la firme de sondage pour assurer des échantillons différents. Aucun répondant n’a donc pu répondre à cette collecte ainsi qu’à l’une ou l’autre des deux premières collectes de </w:t>
      </w:r>
      <w:r w:rsidR="00C326BE">
        <w:rPr>
          <w:sz w:val="17"/>
          <w:szCs w:val="17"/>
        </w:rPr>
        <w:t>cette étude exploratoire</w:t>
      </w:r>
      <w:r w:rsidRPr="00641DEE">
        <w:rPr>
          <w:sz w:val="17"/>
          <w:szCs w:val="17"/>
        </w:rPr>
        <w:t xml:space="preserve">. </w:t>
      </w:r>
    </w:p>
  </w:footnote>
  <w:footnote w:id="8">
    <w:p w14:paraId="69B5F32E" w14:textId="77777777" w:rsidR="00021C04" w:rsidRPr="00641DEE" w:rsidRDefault="00A831F7" w:rsidP="009707DD">
      <w:pPr>
        <w:spacing w:after="120" w:line="240" w:lineRule="auto"/>
        <w:jc w:val="both"/>
        <w:rPr>
          <w:rFonts w:ascii="Times New Roman" w:eastAsia="Times New Roman" w:hAnsi="Times New Roman" w:cs="Times New Roman"/>
          <w:color w:val="000000"/>
          <w:sz w:val="17"/>
          <w:szCs w:val="17"/>
          <w:lang w:val="en-US"/>
        </w:rPr>
      </w:pPr>
      <w:r w:rsidRPr="00641DEE">
        <w:rPr>
          <w:sz w:val="17"/>
          <w:szCs w:val="17"/>
          <w:vertAlign w:val="superscript"/>
        </w:rPr>
        <w:footnoteRef/>
      </w:r>
      <w:r w:rsidRPr="00641DEE">
        <w:rPr>
          <w:sz w:val="17"/>
          <w:szCs w:val="17"/>
          <w:lang w:val="en-US"/>
        </w:rPr>
        <w:t xml:space="preserve"> </w:t>
      </w:r>
      <w:proofErr w:type="spellStart"/>
      <w:r w:rsidRPr="00641DEE">
        <w:rPr>
          <w:sz w:val="17"/>
          <w:szCs w:val="17"/>
          <w:lang w:val="en-US"/>
        </w:rPr>
        <w:t>Habecker</w:t>
      </w:r>
      <w:proofErr w:type="spellEnd"/>
      <w:r w:rsidRPr="00641DEE">
        <w:rPr>
          <w:sz w:val="17"/>
          <w:szCs w:val="17"/>
          <w:lang w:val="en-US"/>
        </w:rPr>
        <w:t>, P., Dombrowski, K., a</w:t>
      </w:r>
      <w:r w:rsidRPr="00641DEE">
        <w:rPr>
          <w:sz w:val="17"/>
          <w:szCs w:val="17"/>
          <w:lang w:val="en-US"/>
        </w:rPr>
        <w:t>nd Khan, B. (2015).  Improving the network scale-up estimator:  Incorporating means of sums, recursive back estimation, and sampling weights. PLOS ONE, 10: e0143406.</w:t>
      </w:r>
    </w:p>
  </w:footnote>
  <w:footnote w:id="9">
    <w:p w14:paraId="043F2D1E" w14:textId="6A27F244" w:rsidR="00021C04" w:rsidRPr="00641DEE" w:rsidRDefault="00A831F7" w:rsidP="009707DD">
      <w:pPr>
        <w:spacing w:after="120" w:line="240" w:lineRule="auto"/>
        <w:jc w:val="both"/>
        <w:rPr>
          <w:rFonts w:ascii="Times New Roman" w:eastAsia="Times New Roman" w:hAnsi="Times New Roman" w:cs="Times New Roman"/>
          <w:color w:val="000000"/>
          <w:sz w:val="17"/>
          <w:szCs w:val="17"/>
        </w:rPr>
      </w:pPr>
      <w:r w:rsidRPr="00641DEE">
        <w:rPr>
          <w:sz w:val="17"/>
          <w:szCs w:val="17"/>
          <w:vertAlign w:val="superscript"/>
        </w:rPr>
        <w:footnoteRef/>
      </w:r>
      <w:r w:rsidRPr="00641DEE">
        <w:rPr>
          <w:sz w:val="17"/>
          <w:szCs w:val="17"/>
          <w:lang w:val="en-US"/>
        </w:rPr>
        <w:t xml:space="preserve"> </w:t>
      </w:r>
      <w:proofErr w:type="spellStart"/>
      <w:r w:rsidRPr="00641DEE">
        <w:rPr>
          <w:sz w:val="17"/>
          <w:szCs w:val="17"/>
          <w:lang w:val="en-US"/>
        </w:rPr>
        <w:t>Killworth</w:t>
      </w:r>
      <w:proofErr w:type="spellEnd"/>
      <w:r w:rsidRPr="00641DEE">
        <w:rPr>
          <w:sz w:val="17"/>
          <w:szCs w:val="17"/>
          <w:lang w:val="en-US"/>
        </w:rPr>
        <w:t xml:space="preserve">, P. D., McCarty, C., Bernard, H. </w:t>
      </w:r>
      <w:r w:rsidR="00D55DD1" w:rsidRPr="00641DEE">
        <w:rPr>
          <w:sz w:val="17"/>
          <w:szCs w:val="17"/>
          <w:lang w:val="en-US"/>
        </w:rPr>
        <w:t>R., Shelley</w:t>
      </w:r>
      <w:r w:rsidRPr="00641DEE">
        <w:rPr>
          <w:sz w:val="17"/>
          <w:szCs w:val="17"/>
          <w:lang w:val="en-US"/>
        </w:rPr>
        <w:t>, G. A., and Johnsen, E. C. (1998).</w:t>
      </w:r>
      <w:r w:rsidRPr="00641DEE">
        <w:rPr>
          <w:sz w:val="17"/>
          <w:szCs w:val="17"/>
          <w:lang w:val="en-US"/>
        </w:rPr>
        <w:t xml:space="preserve"> Estimation of seroprevalence, rape, and homelessness in the United States using a social network approach. </w:t>
      </w:r>
      <w:r w:rsidRPr="00641DEE">
        <w:rPr>
          <w:sz w:val="17"/>
          <w:szCs w:val="17"/>
        </w:rPr>
        <w:t xml:space="preserve">Evaluation </w:t>
      </w:r>
      <w:proofErr w:type="spellStart"/>
      <w:r w:rsidRPr="00641DEE">
        <w:rPr>
          <w:sz w:val="17"/>
          <w:szCs w:val="17"/>
        </w:rPr>
        <w:t>review</w:t>
      </w:r>
      <w:proofErr w:type="spellEnd"/>
      <w:r w:rsidRPr="00641DEE">
        <w:rPr>
          <w:sz w:val="17"/>
          <w:szCs w:val="17"/>
        </w:rPr>
        <w:t>, 22(2) :289–307</w:t>
      </w:r>
    </w:p>
  </w:footnote>
  <w:footnote w:id="10">
    <w:p w14:paraId="06B27F9D" w14:textId="77777777" w:rsidR="00021C04" w:rsidRPr="00641DEE" w:rsidRDefault="00A831F7" w:rsidP="009707DD">
      <w:pPr>
        <w:spacing w:after="120" w:line="240" w:lineRule="auto"/>
        <w:jc w:val="both"/>
        <w:rPr>
          <w:sz w:val="17"/>
          <w:szCs w:val="17"/>
        </w:rPr>
      </w:pPr>
      <w:r w:rsidRPr="00641DEE">
        <w:rPr>
          <w:sz w:val="17"/>
          <w:szCs w:val="17"/>
          <w:vertAlign w:val="superscript"/>
        </w:rPr>
        <w:footnoteRef/>
      </w:r>
      <w:r w:rsidRPr="00641DEE">
        <w:rPr>
          <w:sz w:val="17"/>
          <w:szCs w:val="17"/>
        </w:rPr>
        <w:t xml:space="preserve"> Nous obtenons ce chiffre en pondérant la somme des cas sur les sept derniers jours (données de l’INSPQ, </w:t>
      </w:r>
      <w:r w:rsidRPr="00641DEE">
        <w:rPr>
          <w:i/>
          <w:sz w:val="17"/>
          <w:szCs w:val="17"/>
        </w:rPr>
        <w:t>Évolutio</w:t>
      </w:r>
      <w:r w:rsidRPr="00641DEE">
        <w:rPr>
          <w:i/>
          <w:sz w:val="17"/>
          <w:szCs w:val="17"/>
        </w:rPr>
        <w:t>n du nombre de cas confirmés de COVID-19 au Québec selon le type de confirmation et la date de déclaration des cas</w:t>
      </w:r>
      <w:r w:rsidRPr="00641DEE">
        <w:rPr>
          <w:sz w:val="17"/>
          <w:szCs w:val="17"/>
        </w:rPr>
        <w:t xml:space="preserve">, extraction réalisée le 2 février 2022 sur </w:t>
      </w:r>
      <w:hyperlink r:id="rId1">
        <w:r w:rsidRPr="00641DEE">
          <w:rPr>
            <w:sz w:val="17"/>
            <w:szCs w:val="17"/>
            <w:u w:val="single"/>
          </w:rPr>
          <w:t>https://www.inspq.qc.ca/covid-19/donne</w:t>
        </w:r>
        <w:r w:rsidRPr="00641DEE">
          <w:rPr>
            <w:sz w:val="17"/>
            <w:szCs w:val="17"/>
            <w:u w:val="single"/>
          </w:rPr>
          <w:t>es</w:t>
        </w:r>
      </w:hyperlink>
      <w:r w:rsidRPr="00641DEE">
        <w:rPr>
          <w:sz w:val="17"/>
          <w:szCs w:val="17"/>
        </w:rPr>
        <w:t>) pour chacune des journées d'enquête (du 27 janvier  au 1</w:t>
      </w:r>
      <w:r w:rsidRPr="00641DEE">
        <w:rPr>
          <w:sz w:val="17"/>
          <w:szCs w:val="17"/>
          <w:vertAlign w:val="superscript"/>
        </w:rPr>
        <w:t>er</w:t>
      </w:r>
      <w:r w:rsidRPr="00641DEE">
        <w:rPr>
          <w:sz w:val="17"/>
          <w:szCs w:val="17"/>
        </w:rPr>
        <w:t xml:space="preserve"> février 2022) par la proportion des répondants ayant répondu à l'enquête chaque jour.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13960"/>
    <w:multiLevelType w:val="multilevel"/>
    <w:tmpl w:val="CBB0A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itre3"/>
      <w:lvlText w:val="▪"/>
      <w:lvlJc w:val="left"/>
      <w:pPr>
        <w:ind w:left="2160" w:hanging="360"/>
      </w:pPr>
      <w:rPr>
        <w:rFonts w:ascii="Noto Sans Symbols" w:eastAsia="Noto Sans Symbols" w:hAnsi="Noto Sans Symbols" w:cs="Noto Sans Symbols"/>
      </w:rPr>
    </w:lvl>
    <w:lvl w:ilvl="3">
      <w:start w:val="1"/>
      <w:numFmt w:val="bullet"/>
      <w:pStyle w:val="Titre4"/>
      <w:lvlText w:val="●"/>
      <w:lvlJc w:val="left"/>
      <w:pPr>
        <w:ind w:left="2880" w:hanging="360"/>
      </w:pPr>
      <w:rPr>
        <w:rFonts w:ascii="Noto Sans Symbols" w:eastAsia="Noto Sans Symbols" w:hAnsi="Noto Sans Symbols" w:cs="Noto Sans Symbols"/>
      </w:rPr>
    </w:lvl>
    <w:lvl w:ilvl="4">
      <w:start w:val="1"/>
      <w:numFmt w:val="bullet"/>
      <w:pStyle w:val="Titre5"/>
      <w:lvlText w:val="o"/>
      <w:lvlJc w:val="left"/>
      <w:pPr>
        <w:ind w:left="3600" w:hanging="360"/>
      </w:pPr>
      <w:rPr>
        <w:rFonts w:ascii="Courier New" w:eastAsia="Courier New" w:hAnsi="Courier New" w:cs="Courier New"/>
      </w:rPr>
    </w:lvl>
    <w:lvl w:ilvl="5">
      <w:start w:val="1"/>
      <w:numFmt w:val="bullet"/>
      <w:pStyle w:val="Titre6"/>
      <w:lvlText w:val="▪"/>
      <w:lvlJc w:val="left"/>
      <w:pPr>
        <w:ind w:left="4320" w:hanging="360"/>
      </w:pPr>
      <w:rPr>
        <w:rFonts w:ascii="Noto Sans Symbols" w:eastAsia="Noto Sans Symbols" w:hAnsi="Noto Sans Symbols" w:cs="Noto Sans Symbols"/>
      </w:rPr>
    </w:lvl>
    <w:lvl w:ilvl="6">
      <w:start w:val="1"/>
      <w:numFmt w:val="bullet"/>
      <w:pStyle w:val="Titre7"/>
      <w:lvlText w:val="●"/>
      <w:lvlJc w:val="left"/>
      <w:pPr>
        <w:ind w:left="5040" w:hanging="360"/>
      </w:pPr>
      <w:rPr>
        <w:rFonts w:ascii="Noto Sans Symbols" w:eastAsia="Noto Sans Symbols" w:hAnsi="Noto Sans Symbols" w:cs="Noto Sans Symbols"/>
      </w:rPr>
    </w:lvl>
    <w:lvl w:ilvl="7">
      <w:start w:val="1"/>
      <w:numFmt w:val="bullet"/>
      <w:pStyle w:val="Titre8"/>
      <w:lvlText w:val="o"/>
      <w:lvlJc w:val="left"/>
      <w:pPr>
        <w:ind w:left="5760" w:hanging="360"/>
      </w:pPr>
      <w:rPr>
        <w:rFonts w:ascii="Courier New" w:eastAsia="Courier New" w:hAnsi="Courier New" w:cs="Courier New"/>
      </w:rPr>
    </w:lvl>
    <w:lvl w:ilvl="8">
      <w:start w:val="1"/>
      <w:numFmt w:val="bullet"/>
      <w:pStyle w:val="Titre9"/>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C04"/>
    <w:rsid w:val="00021C04"/>
    <w:rsid w:val="00062BFF"/>
    <w:rsid w:val="00641DEE"/>
    <w:rsid w:val="00956DB9"/>
    <w:rsid w:val="009707DD"/>
    <w:rsid w:val="00A831F7"/>
    <w:rsid w:val="00B204FE"/>
    <w:rsid w:val="00BA7390"/>
    <w:rsid w:val="00C326BE"/>
    <w:rsid w:val="00D52441"/>
    <w:rsid w:val="00D55DD1"/>
    <w:rsid w:val="00E7388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C4A4"/>
  <w15:docId w15:val="{633AE80C-1B24-0D44-B776-ABA07227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641DEE"/>
    <w:pPr>
      <w:keepNext/>
      <w:keepLines/>
      <w:spacing w:before="400" w:after="120"/>
      <w:outlineLvl w:val="0"/>
    </w:pPr>
    <w:rPr>
      <w:b/>
      <w:bCs/>
      <w:color w:val="8B2942"/>
      <w:sz w:val="28"/>
      <w:szCs w:val="28"/>
    </w:rPr>
  </w:style>
  <w:style w:type="paragraph" w:styleId="Titre2">
    <w:name w:val="heading 2"/>
    <w:basedOn w:val="Normal"/>
    <w:next w:val="Normal"/>
    <w:uiPriority w:val="9"/>
    <w:unhideWhenUsed/>
    <w:qFormat/>
    <w:rsid w:val="00CF19AA"/>
    <w:pPr>
      <w:keepNext/>
      <w:keepLines/>
      <w:spacing w:before="360" w:after="120"/>
      <w:outlineLvl w:val="1"/>
    </w:pPr>
    <w:rPr>
      <w:color w:val="244061" w:themeColor="accent1" w:themeShade="80"/>
      <w:sz w:val="24"/>
      <w:szCs w:val="24"/>
    </w:rPr>
  </w:style>
  <w:style w:type="paragraph" w:styleId="Titre3">
    <w:name w:val="heading 3"/>
    <w:basedOn w:val="Normal"/>
    <w:next w:val="Normal"/>
    <w:uiPriority w:val="9"/>
    <w:semiHidden/>
    <w:unhideWhenUsed/>
    <w:qFormat/>
    <w:pPr>
      <w:keepNext/>
      <w:keepLines/>
      <w:numPr>
        <w:ilvl w:val="2"/>
        <w:numId w:val="1"/>
      </w:numPr>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numPr>
        <w:ilvl w:val="3"/>
        <w:numId w:val="1"/>
      </w:numPr>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numPr>
        <w:ilvl w:val="4"/>
        <w:numId w:val="1"/>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Titre7">
    <w:name w:val="heading 7"/>
    <w:basedOn w:val="Normal"/>
    <w:next w:val="Normal"/>
    <w:link w:val="Titre7Car"/>
    <w:uiPriority w:val="9"/>
    <w:semiHidden/>
    <w:unhideWhenUsed/>
    <w:qFormat/>
    <w:rsid w:val="00C7059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C7059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7059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C7059E"/>
    <w:pPr>
      <w:tabs>
        <w:tab w:val="center" w:pos="4320"/>
        <w:tab w:val="right" w:pos="8640"/>
      </w:tabs>
      <w:spacing w:line="240" w:lineRule="auto"/>
    </w:pPr>
  </w:style>
  <w:style w:type="character" w:customStyle="1" w:styleId="En-tteCar">
    <w:name w:val="En-tête Car"/>
    <w:basedOn w:val="Policepardfaut"/>
    <w:link w:val="En-tte"/>
    <w:uiPriority w:val="99"/>
    <w:rsid w:val="00C7059E"/>
  </w:style>
  <w:style w:type="paragraph" w:styleId="Pieddepage">
    <w:name w:val="footer"/>
    <w:basedOn w:val="Normal"/>
    <w:link w:val="PieddepageCar"/>
    <w:uiPriority w:val="99"/>
    <w:unhideWhenUsed/>
    <w:rsid w:val="00C7059E"/>
    <w:pPr>
      <w:tabs>
        <w:tab w:val="center" w:pos="4320"/>
        <w:tab w:val="right" w:pos="8640"/>
      </w:tabs>
      <w:spacing w:line="240" w:lineRule="auto"/>
    </w:pPr>
  </w:style>
  <w:style w:type="character" w:customStyle="1" w:styleId="PieddepageCar">
    <w:name w:val="Pied de page Car"/>
    <w:basedOn w:val="Policepardfaut"/>
    <w:link w:val="Pieddepage"/>
    <w:uiPriority w:val="99"/>
    <w:rsid w:val="00C7059E"/>
  </w:style>
  <w:style w:type="character" w:styleId="Numrodepage">
    <w:name w:val="page number"/>
    <w:basedOn w:val="Policepardfaut"/>
    <w:uiPriority w:val="99"/>
    <w:semiHidden/>
    <w:unhideWhenUsed/>
    <w:rsid w:val="00C7059E"/>
  </w:style>
  <w:style w:type="character" w:styleId="Appelnotedebasdep">
    <w:name w:val="footnote reference"/>
    <w:semiHidden/>
    <w:rsid w:val="00C7059E"/>
    <w:rPr>
      <w:vertAlign w:val="superscript"/>
    </w:rPr>
  </w:style>
  <w:style w:type="paragraph" w:styleId="Notedebasdepage">
    <w:name w:val="footnote text"/>
    <w:basedOn w:val="Normal"/>
    <w:link w:val="NotedebasdepageCar"/>
    <w:semiHidden/>
    <w:rsid w:val="00C7059E"/>
    <w:pPr>
      <w:widowControl w:val="0"/>
      <w:spacing w:line="240" w:lineRule="auto"/>
    </w:pPr>
    <w:rPr>
      <w:rFonts w:ascii="Times New Roman" w:eastAsia="Times New Roman" w:hAnsi="Times New Roman" w:cs="Times New Roman"/>
      <w:snapToGrid w:val="0"/>
      <w:sz w:val="20"/>
      <w:szCs w:val="20"/>
      <w:lang w:val="fr-CA" w:eastAsia="fr-FR"/>
    </w:rPr>
  </w:style>
  <w:style w:type="character" w:customStyle="1" w:styleId="NotedebasdepageCar">
    <w:name w:val="Note de bas de page Car"/>
    <w:basedOn w:val="Policepardfaut"/>
    <w:link w:val="Notedebasdepage"/>
    <w:semiHidden/>
    <w:rsid w:val="00C7059E"/>
    <w:rPr>
      <w:rFonts w:ascii="Times New Roman" w:eastAsia="Times New Roman" w:hAnsi="Times New Roman" w:cs="Times New Roman"/>
      <w:snapToGrid w:val="0"/>
      <w:sz w:val="20"/>
      <w:szCs w:val="20"/>
      <w:lang w:val="fr-CA" w:eastAsia="fr-FR"/>
    </w:rPr>
  </w:style>
  <w:style w:type="character" w:customStyle="1" w:styleId="Titre7Car">
    <w:name w:val="Titre 7 Car"/>
    <w:basedOn w:val="Policepardfaut"/>
    <w:link w:val="Titre7"/>
    <w:uiPriority w:val="9"/>
    <w:semiHidden/>
    <w:rsid w:val="00C7059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C705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7059E"/>
    <w:rPr>
      <w:rFonts w:asciiTheme="majorHAnsi" w:eastAsiaTheme="majorEastAsia" w:hAnsiTheme="majorHAnsi" w:cstheme="majorBidi"/>
      <w:i/>
      <w:iCs/>
      <w:color w:val="272727" w:themeColor="text1" w:themeTint="D8"/>
      <w:sz w:val="21"/>
      <w:szCs w:val="21"/>
    </w:rPr>
  </w:style>
  <w:style w:type="table" w:styleId="TableauListe2">
    <w:name w:val="List Table 2"/>
    <w:basedOn w:val="TableauNormal"/>
    <w:uiPriority w:val="47"/>
    <w:rsid w:val="00EE7B8B"/>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arquedecommentaire">
    <w:name w:val="annotation reference"/>
    <w:basedOn w:val="Policepardfaut"/>
    <w:uiPriority w:val="99"/>
    <w:semiHidden/>
    <w:unhideWhenUsed/>
    <w:rsid w:val="002552DE"/>
    <w:rPr>
      <w:sz w:val="16"/>
      <w:szCs w:val="16"/>
    </w:rPr>
  </w:style>
  <w:style w:type="paragraph" w:styleId="Commentaire">
    <w:name w:val="annotation text"/>
    <w:basedOn w:val="Normal"/>
    <w:link w:val="CommentaireCar"/>
    <w:uiPriority w:val="99"/>
    <w:semiHidden/>
    <w:unhideWhenUsed/>
    <w:rsid w:val="002552DE"/>
    <w:pPr>
      <w:spacing w:line="240" w:lineRule="auto"/>
    </w:pPr>
    <w:rPr>
      <w:sz w:val="20"/>
      <w:szCs w:val="20"/>
    </w:rPr>
  </w:style>
  <w:style w:type="character" w:customStyle="1" w:styleId="CommentaireCar">
    <w:name w:val="Commentaire Car"/>
    <w:basedOn w:val="Policepardfaut"/>
    <w:link w:val="Commentaire"/>
    <w:uiPriority w:val="99"/>
    <w:semiHidden/>
    <w:rsid w:val="002552DE"/>
    <w:rPr>
      <w:sz w:val="20"/>
      <w:szCs w:val="20"/>
    </w:rPr>
  </w:style>
  <w:style w:type="paragraph" w:styleId="Objetducommentaire">
    <w:name w:val="annotation subject"/>
    <w:basedOn w:val="Commentaire"/>
    <w:next w:val="Commentaire"/>
    <w:link w:val="ObjetducommentaireCar"/>
    <w:uiPriority w:val="99"/>
    <w:semiHidden/>
    <w:unhideWhenUsed/>
    <w:rsid w:val="002552DE"/>
    <w:rPr>
      <w:b/>
      <w:bCs/>
    </w:rPr>
  </w:style>
  <w:style w:type="character" w:customStyle="1" w:styleId="ObjetducommentaireCar">
    <w:name w:val="Objet du commentaire Car"/>
    <w:basedOn w:val="CommentaireCar"/>
    <w:link w:val="Objetducommentaire"/>
    <w:uiPriority w:val="99"/>
    <w:semiHidden/>
    <w:rsid w:val="002552DE"/>
    <w:rPr>
      <w:b/>
      <w:bCs/>
      <w:sz w:val="20"/>
      <w:szCs w:val="20"/>
    </w:rPr>
  </w:style>
  <w:style w:type="paragraph" w:styleId="Textedebulles">
    <w:name w:val="Balloon Text"/>
    <w:basedOn w:val="Normal"/>
    <w:link w:val="TextedebullesCar"/>
    <w:uiPriority w:val="99"/>
    <w:semiHidden/>
    <w:unhideWhenUsed/>
    <w:rsid w:val="002552D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52DE"/>
    <w:rPr>
      <w:rFonts w:ascii="Segoe UI" w:hAnsi="Segoe UI" w:cs="Segoe UI"/>
      <w:sz w:val="18"/>
      <w:szCs w:val="18"/>
    </w:rPr>
  </w:style>
  <w:style w:type="paragraph" w:styleId="Rvision">
    <w:name w:val="Revision"/>
    <w:hidden/>
    <w:uiPriority w:val="99"/>
    <w:semiHidden/>
    <w:rsid w:val="00AA2CF4"/>
    <w:pPr>
      <w:spacing w:line="240" w:lineRule="auto"/>
    </w:pPr>
  </w:style>
  <w:style w:type="character" w:styleId="Hyperlien">
    <w:name w:val="Hyperlink"/>
    <w:basedOn w:val="Policepardfaut"/>
    <w:uiPriority w:val="99"/>
    <w:unhideWhenUsed/>
    <w:rsid w:val="003108EF"/>
    <w:rPr>
      <w:color w:val="0000FF" w:themeColor="hyperlink"/>
      <w:u w:val="single"/>
    </w:rPr>
  </w:style>
  <w:style w:type="paragraph" w:styleId="Paragraphedeliste">
    <w:name w:val="List Paragraph"/>
    <w:basedOn w:val="Normal"/>
    <w:uiPriority w:val="34"/>
    <w:qFormat/>
    <w:rsid w:val="003108EF"/>
    <w:pPr>
      <w:ind w:left="720"/>
      <w:contextualSpacing/>
    </w:pPr>
  </w:style>
  <w:style w:type="character" w:styleId="Lienvisit">
    <w:name w:val="FollowedHyperlink"/>
    <w:basedOn w:val="Policepardfaut"/>
    <w:uiPriority w:val="99"/>
    <w:semiHidden/>
    <w:unhideWhenUsed/>
    <w:rsid w:val="002D2226"/>
    <w:rPr>
      <w:color w:val="800080" w:themeColor="followedHyperlink"/>
      <w:u w:val="single"/>
    </w:rPr>
  </w:style>
  <w:style w:type="table" w:customStyle="1" w:styleId="a1">
    <w:basedOn w:val="TableNormal0"/>
    <w:pPr>
      <w:spacing w:line="240" w:lineRule="auto"/>
    </w:p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line="240" w:lineRule="auto"/>
    </w:p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pcmichaud/EnqueteCovid.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4932/KWYT236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irano.qc.ca/fr/sommaires/2022s-03"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inspq.qc.ca/covid-19/donn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vGV4Y1J8uX6We+wPFXqABGg2GQ==">AMUW2mW51+4A/sK1AtvizZnu2AHvhJVJXnTtrEb+3rE+MPXeXwknpXvpFkNY9b5/7Tq+MjLze4QITJ+ywvEl2hjUxCnnGYwKUuZ48U4npa619LN/YCdIDZhta7KaesvtCOl2/avTznFTdp2tisCzyn5kCiNr/0dtTnQCDiOVg0DWipc62i6y1HE=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1559</Words>
  <Characters>8578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Roxane Borgès Da Silva</dc:creator>
  <cp:lastModifiedBy>Ingrid Peignier</cp:lastModifiedBy>
  <cp:revision>3</cp:revision>
  <dcterms:created xsi:type="dcterms:W3CDTF">2022-02-03T14:05:00Z</dcterms:created>
  <dcterms:modified xsi:type="dcterms:W3CDTF">2022-02-03T14:06:00Z</dcterms:modified>
</cp:coreProperties>
</file>