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Aplikasi Manhaj Tarjih: Tanawwu Fil Ibadah</w:t>
      </w:r>
    </w:p>
    <w:p>
      <w:r>
        <w:t xml:space="preserve">APLIKASI MANHAJ TARJIH MUHAMMADIYAH : </w:t>
        <w:br/>
        <w:t xml:space="preserve">KONSEP AT-TANAWWU’ FIL-IBADAH </w:t>
        <w:br/>
        <w:t>DAN CONTOH-CONTOHNYA DALAM HPT</w:t>
        <w:br/>
        <w:t>OLEH : Dr. Sopa, M.Ag</w:t>
        <w:br/>
        <w:t>Disampaikan dalam “Pengajian Tarjih</w:t>
        <w:br/>
        <w:t xml:space="preserve">Muhammadiyah” Edisi 195, </w:t>
        <w:br/>
        <w:t>Rabu 28 Rabiul Akhir 1444 H/</w:t>
        <w:br/>
        <w:t>23 Nopember 2023</w:t>
        <w:br/>
        <w:t>1</w:t>
      </w:r>
    </w:p>
    <w:p>
      <w:r>
        <w:t>Pengantar</w:t>
        <w:br/>
        <w:t>Tanāwu’</w:t>
        <w:br/>
        <w:t>berarti</w:t>
        <w:br/>
        <w:t>keragaman</w:t>
        <w:br/>
        <w:t>atau</w:t>
        <w:br/>
        <w:t>pluralitas.</w:t>
        <w:br/>
        <w:t>Tanāwu’</w:t>
        <w:br/>
        <w:t>ibadah</w:t>
        <w:br/>
        <w:t>adalah</w:t>
        <w:br/>
        <w:t>keragaman</w:t>
        <w:br/>
        <w:t>atau</w:t>
        <w:br/>
        <w:t>pluralitas</w:t>
        <w:br/>
        <w:t>dalam</w:t>
        <w:br/>
        <w:t>menjalankan ibadah. Dalam kenyataan, ibadah dalam agama</w:t>
        <w:br/>
        <w:t>Islam,</w:t>
        <w:br/>
        <w:t>meskipun</w:t>
        <w:br/>
        <w:t>secara</w:t>
        <w:br/>
        <w:t>umum</w:t>
        <w:br/>
        <w:t>dapat</w:t>
        <w:br/>
        <w:t>dinyatakan</w:t>
        <w:br/>
        <w:t>seragam,</w:t>
        <w:br/>
        <w:t>namun</w:t>
        <w:br/>
        <w:t>ada</w:t>
        <w:br/>
        <w:t>variasi</w:t>
        <w:br/>
        <w:t>cara</w:t>
        <w:br/>
        <w:t>menjalankannya</w:t>
        <w:br/>
        <w:t>karena</w:t>
        <w:br/>
        <w:t>perbedaan</w:t>
        <w:br/>
        <w:t>mazhab, bahkan ada yang berbeda dalam mazhab yang sama.</w:t>
        <w:br/>
        <w:t>Keragaman</w:t>
        <w:br/>
        <w:t>pendapat</w:t>
        <w:br/>
        <w:t>fikih</w:t>
        <w:br/>
        <w:t>itu</w:t>
        <w:br/>
        <w:t>adalah</w:t>
        <w:br/>
        <w:t>suatu</w:t>
        <w:br/>
        <w:t>yang</w:t>
        <w:br/>
        <w:t>wajar</w:t>
        <w:br/>
        <w:t>saja</w:t>
        <w:br/>
        <w:t>karena</w:t>
        <w:br/>
        <w:t>adanya</w:t>
        <w:br/>
        <w:t>prinsip</w:t>
        <w:br/>
        <w:t>kebebasan</w:t>
        <w:br/>
        <w:t>berijtihad</w:t>
        <w:br/>
        <w:t>yang</w:t>
        <w:br/>
        <w:t>diakui</w:t>
        <w:br/>
        <w:t>dalam</w:t>
        <w:br/>
        <w:t>hukum</w:t>
        <w:br/>
        <w:t>syariah.</w:t>
        <w:br/>
        <w:t>Namun</w:t>
        <w:br/>
        <w:t>perbedaan</w:t>
        <w:br/>
        <w:t>itu</w:t>
        <w:br/>
        <w:t>tetap</w:t>
        <w:br/>
        <w:t>ada batasnya, yaitu sepanjang semuanya masih berada di</w:t>
        <w:br/>
        <w:t>dalam</w:t>
        <w:br/>
        <w:t>koridor</w:t>
        <w:br/>
        <w:t>syariah.</w:t>
        <w:br/>
        <w:t>Apabila</w:t>
        <w:br/>
        <w:t>keluar</w:t>
        <w:br/>
        <w:t>dari</w:t>
        <w:br/>
        <w:t>koridor</w:t>
        <w:br/>
        <w:t>syariah,</w:t>
        <w:br/>
        <w:t>maka</w:t>
        <w:br/>
        <w:t>ibadah</w:t>
        <w:br/>
        <w:t>tersebut</w:t>
        <w:br/>
        <w:t>dapat</w:t>
        <w:br/>
        <w:t>dikategorikan</w:t>
        <w:br/>
        <w:t>bid’ah.</w:t>
        <w:br/>
        <w:t>2</w:t>
      </w:r>
    </w:p>
    <w:p>
      <w:r>
        <w:t>PEMBAHASAN</w:t>
        <w:br/>
        <w:t>a. Ibadah secara lughawi : taat (al-tha’ah), tunduk (al-</w:t>
        <w:br/>
        <w:t xml:space="preserve">khudhu’), hina (al-dzull), dan pengabdian (al-tanasuk). </w:t>
        <w:br/>
        <w:t>Istilah :</w:t>
        <w:br/>
        <w:t>التقرب الى هللا بامتثال اوامره واجتناب نواهيه والعمل بما اذن</w:t>
        <w:br/>
        <w:t>به الشارع</w:t>
        <w:br/>
        <w:t></w:t>
        <w:br/>
        <w:t>“Mendekatkan diri kepada Allah dengan cara mengerjakan segala</w:t>
        <w:br/>
        <w:t>perintah-Nya dan menjauhi segala larangan-Nya dan</w:t>
        <w:br/>
        <w:t>mengamalkan segala yang diizinkan Allah”</w:t>
        <w:br/>
        <w:t>3</w:t>
      </w:r>
    </w:p>
    <w:p>
      <w:r>
        <w:t>b. Pembagian</w:t>
        <w:br/>
        <w:t>IBADAH</w:t>
        <w:br/>
        <w:t>MAHDA</w:t>
        <w:br/>
        <w:t>H</w:t>
        <w:br/>
        <w:t>KHUSUS</w:t>
        <w:br/>
        <w:t>JENIS</w:t>
        <w:br/>
        <w:t>KAIFIYA</w:t>
        <w:br/>
        <w:t>H</w:t>
        <w:br/>
        <w:t>GHAIR</w:t>
        <w:br/>
        <w:t>MAHDA</w:t>
        <w:br/>
        <w:t>H</w:t>
        <w:br/>
        <w:t>UMUM</w:t>
        <w:br/>
        <w:t>BAIK/</w:t>
        <w:br/>
        <w:t>MANFA</w:t>
        <w:br/>
        <w:t>AT</w:t>
        <w:br/>
        <w:t xml:space="preserve">NIAT </w:t>
        <w:br/>
        <w:t>IBADAH</w:t>
        <w:br/>
        <w:t>4</w:t>
      </w:r>
    </w:p>
    <w:p>
      <w:r>
        <w:t>penjelasan</w:t>
        <w:br/>
        <w:t xml:space="preserve">1. IBADAH MAHDHAH  (khusus): ibadah yang </w:t>
        <w:br/>
        <w:t>sudah ditentukan Allah secara terperinci tentang</w:t>
        <w:br/>
        <w:t>jenis dan tatacaranya.</w:t>
        <w:br/>
        <w:t xml:space="preserve">Contoh : wudu, tayammum, mandi,  salat, puasa, </w:t>
        <w:br/>
        <w:t>hajji dan umrah</w:t>
        <w:br/>
        <w:t>2. IBADAH GHAIR MAHDHAH (umum) : segala</w:t>
        <w:br/>
        <w:t xml:space="preserve">amal (hati,lisan,perbuatan) yang diizinkan Allah. </w:t>
        <w:br/>
        <w:t xml:space="preserve">Contoh : menuntut ilmu, bekerja, berkarya, kuliah, </w:t>
        <w:br/>
        <w:t>dsb</w:t>
        <w:br/>
        <w:t>5</w:t>
      </w:r>
    </w:p>
    <w:p>
      <w:r>
        <w:t>c.karakteristik</w:t>
        <w:br/>
        <w:t>NO</w:t>
        <w:br/>
        <w:t>IBADAH MAHDLAH</w:t>
        <w:br/>
        <w:t>GHAIR MAHDLAH</w:t>
        <w:br/>
        <w:t xml:space="preserve">1. </w:t>
        <w:br/>
        <w:t xml:space="preserve">Hablum minallah, </w:t>
        <w:br/>
        <w:t>hubungan vertikal</w:t>
        <w:br/>
        <w:t xml:space="preserve">1. Hablum minan-nas, </w:t>
        <w:br/>
        <w:t>hubungan horizontal</w:t>
        <w:br/>
        <w:t>2.</w:t>
        <w:br/>
        <w:t xml:space="preserve">Statis, tetap, tidak </w:t>
        <w:br/>
        <w:t>berubah</w:t>
        <w:br/>
        <w:t xml:space="preserve">2. Dinamis, fleksibel, </w:t>
        <w:br/>
        <w:t xml:space="preserve">mengikuti prubahan zaman </w:t>
        <w:br/>
        <w:t>dan tempat</w:t>
        <w:br/>
        <w:t xml:space="preserve">3. </w:t>
        <w:br/>
        <w:t>Ta’abbudi, ghair</w:t>
        <w:br/>
        <w:t>ma’qulah al-ma’na</w:t>
        <w:br/>
        <w:t>3. Ta’aqquli, ma’qulah al-</w:t>
        <w:br/>
        <w:t>ma’na</w:t>
        <w:br/>
        <w:t>4.</w:t>
        <w:br/>
        <w:t>Tidak ada peran akal</w:t>
        <w:br/>
        <w:t xml:space="preserve">4. Akal berperan, dituntut </w:t>
        <w:br/>
        <w:t>kreatifitas akal</w:t>
        <w:br/>
        <w:t>6</w:t>
      </w:r>
    </w:p>
    <w:p>
      <w:r>
        <w:t>2. Ta’arudl al-adillah</w:t>
        <w:br/>
        <w:t>7</w:t>
      </w:r>
    </w:p>
    <w:p>
      <w:r>
        <w:t>penjelasan</w:t>
        <w:br/>
        <w:t>Al-jam’u wat tauqif menjadi pilihan yang pertama</w:t>
        <w:br/>
        <w:t>dengan pertimbangan menggunakan dua dalil itu lebih</w:t>
        <w:br/>
        <w:t>baik dari pada mengabaikan salah satunya. Akibatnya</w:t>
        <w:br/>
        <w:t>terdapat dua dalil atau lebih yang menjadi hujjah.</w:t>
        <w:br/>
        <w:t>Akibat lebih lanjut adalah pengamalannya menjadi</w:t>
        <w:br/>
        <w:t>bervariasi termasuk dalam ibadah mahdah,tidak</w:t>
        <w:br/>
        <w:t>seragam karena didukung oleh dalil yang bervariasi</w:t>
        <w:br/>
        <w:t>pula terutama hadis-hadis Nabi saw yang umumnya</w:t>
        <w:br/>
        <w:t>hadis Ahad yang bersifat zhanni.</w:t>
        <w:br/>
        <w:t xml:space="preserve">Hal ini didukung pula oleh manhaj tarjih yang </w:t>
        <w:br/>
        <w:t>menetapkan sumber ajaran Islam (hokum Islam) itu</w:t>
        <w:br/>
        <w:t>adalah al-Qur’an dan Sunnah al-maqbulah</w:t>
        <w:br/>
        <w:t>8</w:t>
      </w:r>
    </w:p>
    <w:p>
      <w:r>
        <w:t>lanjut</w:t>
        <w:br/>
        <w:t>Tanawwu’ sangat dimungkinkan terutama menyangkut</w:t>
        <w:br/>
        <w:t>teknis pelaksanaan ibadah (furu’iyah). Oleh karena</w:t>
        <w:br/>
        <w:t>itu, harus ditanamkan sikap saling menghormati</w:t>
        <w:br/>
        <w:t>(toleransi) yang mencerminkan identitas</w:t>
        <w:br/>
        <w:t>Muhammadiyah yang luas pandangan (wawasan).</w:t>
        <w:br/>
        <w:t>Hal ini bisa kita saksikan dalam putusan Tarjih</w:t>
        <w:br/>
        <w:t>baik dalam bentuk fatwa (soal jawab agama) maupun</w:t>
        <w:br/>
        <w:t>keputusan munas tarjih.</w:t>
        <w:br/>
        <w:t>9</w:t>
      </w:r>
    </w:p>
    <w:p>
      <w:r>
        <w:t>PENUTUP</w:t>
        <w:br/>
        <w:t>Ibnu</w:t>
        <w:br/>
        <w:t>Najim</w:t>
        <w:br/>
        <w:t>(ulama</w:t>
        <w:br/>
        <w:t>bermadzab</w:t>
        <w:br/>
        <w:t>Hanafi)</w:t>
        <w:br/>
        <w:t>menyikapi</w:t>
        <w:br/>
        <w:t>perbedaan</w:t>
        <w:br/>
        <w:t>furû’iyah</w:t>
        <w:br/>
        <w:t>secara</w:t>
        <w:br/>
        <w:t>arif,</w:t>
        <w:br/>
        <w:t>“Jika</w:t>
        <w:br/>
        <w:t>kita</w:t>
        <w:br/>
        <w:t>ditanya tentang madzhab kita oleh orang-orang yang</w:t>
        <w:br/>
        <w:t>berbeda</w:t>
        <w:br/>
        <w:t>dengan</w:t>
        <w:br/>
        <w:t>kita</w:t>
        <w:br/>
        <w:t>dalam</w:t>
        <w:br/>
        <w:t>masalah</w:t>
        <w:br/>
        <w:t>furu’</w:t>
        <w:br/>
        <w:t>(cabang</w:t>
        <w:br/>
        <w:t>fikih),</w:t>
        <w:br/>
        <w:t>kita</w:t>
        <w:br/>
        <w:t>wajib</w:t>
        <w:br/>
        <w:t>menjawab</w:t>
        <w:br/>
        <w:t>bahwa</w:t>
        <w:br/>
        <w:t>madzhab</w:t>
        <w:br/>
        <w:t>kita</w:t>
        <w:br/>
        <w:t>shawab</w:t>
        <w:br/>
        <w:t>(benar),</w:t>
        <w:br/>
        <w:t>tapi</w:t>
        <w:br/>
        <w:t>ada</w:t>
        <w:br/>
        <w:t>kemungkinan</w:t>
        <w:br/>
        <w:t>salah,</w:t>
        <w:br/>
        <w:t>sedangkan madzhab yang menyelisihi kita bisa jadi</w:t>
        <w:br/>
        <w:t>khatha` (salah) tapi bisa jadi benar.” (al-Asybâh</w:t>
        <w:br/>
        <w:t>wa al-Nadhâir, Ibnu Najim 330).</w:t>
        <w:br/>
        <w:t>10</w:t>
      </w:r>
    </w:p>
    <w:p>
      <w:r>
        <w:t>Catatan Prof. Syamsul Anwar</w:t>
        <w:br/>
        <w:t>11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