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Manhaj Tarjih Muhammadiyah</w:t>
      </w:r>
    </w:p>
    <w:p>
      <w:r>
        <w:t>1</w:t>
      </w:r>
    </w:p>
    <w:p>
      <w:r>
        <w:t>MANHAJ TARJIH MUHAMMADIYAH•</w:t>
      </w:r>
    </w:p>
    <w:p>
      <w:r>
        <w:t xml:space="preserve">Syamsul Anwar•• </w:t>
        <w:br/>
        <w:t>A. Pendahuluan</w:t>
      </w:r>
    </w:p>
    <w:p>
      <w:r>
        <w:t xml:space="preserve">Muhammadiyah merupakan sebuah gerakan pembaruan sosial yang berbasis </w:t>
        <w:br/>
        <w:t xml:space="preserve">nilai-nilai keagamaan Islam. Muhammadiyah sendiri mendefinisikan dirinya sebagai </w:t>
        <w:br/>
        <w:t>“Gerakan Islam, dakwah amar makruf nahi munkar dan tajdid, bersumber kepada al-</w:t>
        <w:br/>
        <w:t xml:space="preserve">Quran dan as-Sunnah, [serta] berasas Islam.”1 Sebagai demikian, Muhammadiyah tentu </w:t>
        <w:br/>
        <w:t xml:space="preserve">terlibat dalam pengkajian, penafsiran dan penerapan ajaran agama Islam itu sendiri. </w:t>
        <w:br/>
        <w:t xml:space="preserve">Untuk tujuan tersebut di dalam Persyarikatan ini diadakan suatu majelis khusus yang </w:t>
        <w:br/>
        <w:t xml:space="preserve">bertugas melaksanakan tanggung jawab dimaksud, yang sekarang dinamakan Majelis </w:t>
        <w:br/>
        <w:t xml:space="preserve">Tarjih dan Tajidid yang terdapat pada setiap level organisasi sejak tingkat pusat hingga </w:t>
        <w:br/>
        <w:t>cabang.2</w:t>
      </w:r>
    </w:p>
    <w:p>
      <w:r>
        <w:t xml:space="preserve">Dalam melaksanakan pengkajian dan penafsiran ajaran agama tentu ada prinsip </w:t>
        <w:br/>
        <w:t xml:space="preserve">dan metode tertentu yang dipegangi. Prinsip dan metode tersebut disebut manhaj tarjih. </w:t>
        <w:br/>
        <w:t xml:space="preserve">Tulisan ini pada halaman-halaman berikut akan menjelaskan apa manhaj tarjih tersebut </w:t>
        <w:br/>
        <w:t>dan bagaimana mekanisme penerapannya?</w:t>
      </w:r>
    </w:p>
    <w:p>
      <w:r>
        <w:t>B. Pengertian Manhaj Tarjih</w:t>
      </w:r>
    </w:p>
    <w:p>
      <w:r>
        <w:t xml:space="preserve">Frasa “manhaj tarjih” secara harfiah berarti cara melakukan tarjih. Sebagai </w:t>
        <w:br/>
        <w:t xml:space="preserve">sebuah istilah, manhaj tarjih lebih dari sekedar cara bertarjih. Istilah tarjih sendiri </w:t>
        <w:br/>
        <w:t xml:space="preserve">sebenarnya berasal dari disiplin ilmu usul fikih. Dalam ilmu usul fikih tarjih berarti </w:t>
        <w:br/>
        <w:t xml:space="preserve">melakukan penilaian terhadap dalil-dalil syar’i yang secara zahir tampak saling </w:t>
        <w:br/>
        <w:t xml:space="preserve">bertentangan atau evaluasi terhadap pendapat-pendapat (kaul) fikih untuk menentukan </w:t>
        <w:br/>
        <w:t xml:space="preserve">mana yang lebih kuat. Ar-Rāzī (w. 606/1209) mendefinisikan tarjih dalam usul fikih </w:t>
        <w:br/>
        <w:t xml:space="preserve">sebagai, “Menguatkan salah satu dalil atas yang lain sehingga diketahui mana yang </w:t>
        <w:br/>
        <w:t>kuat lalu diamalkan yang lebih kuat itu dan ditinggalkan yang tidak kuat.”3 Definisi ar-</w:t>
      </w:r>
    </w:p>
    <w:p>
      <w:r>
        <w:t xml:space="preserve">• Materi Pengajian Tarjih dengan tema Manhaj Tarjih, disampaikan di Masjid Gedhe Kauman </w:t>
        <w:br/>
        <w:t xml:space="preserve">Yogyakarta, setiap dua kali satu bulan pada hari Rabu malam. </w:t>
        <w:br/>
        <w:t xml:space="preserve">•• Ketua Majelis Tarjih dan Tajdid Pimpinan Pusat Muhammadiyah, Ketua Badan Pembina Harian </w:t>
        <w:br/>
        <w:t xml:space="preserve">Univerasitas Muhammadiyah Yogyakarta. </w:t>
        <w:br/>
        <w:t xml:space="preserve">1 Anggaran Dasar Muhammadiyah, Tahun 2005, pasal 4 ayat (1) dan (2). Lihat Berita Resmi </w:t>
        <w:br/>
        <w:t xml:space="preserve">Muhammadiyah, edisi khusus, No. 1/2005 (Rajab 1426 H / September 2005 M), h. 111. </w:t>
        <w:br/>
        <w:t xml:space="preserve">2 Majelis Tarjih dalam Muhammadiyah didirikan pertama kali tahun 1928 sebagai buah dari </w:t>
        <w:br/>
        <w:t xml:space="preserve">Keputusan Kongres Muhammadiyah Ke-16 di Pekalongan tahun 1927. Kelembagaan Majelis Tarjih </w:t>
        <w:br/>
        <w:t xml:space="preserve">lengkap dengan susunan pengurus dan Qaidah Majelis Tarjih disahkan dalam Konres Muhammadiyah </w:t>
        <w:br/>
        <w:t xml:space="preserve">Ke-17 di Jogjakarta tahun 1928 dengan ketua pertamanya KH Mas Mansur (w. 1365/1946). Pada tahun </w:t>
        <w:br/>
        <w:t xml:space="preserve">1995 sampai dengan tahun 2005, Majelis ini disebut Majelis Tarjih dan Pengembangan Pemikiran Islam. </w:t>
        <w:br/>
        <w:t xml:space="preserve">Pada periode 2005 hingga sekarang lembaga ini diberi nama Majelis Tarjinh dan Tajdid. </w:t>
        <w:br/>
        <w:t xml:space="preserve">3 Ar-Rāzī, al-Maḥṣūl, disunting oleh Ṭāhā Jābir Fayyāḍ al-‘Alwānī (Beirut: Mu’assasat ar-Risālah, </w:t>
        <w:br/>
        <w:t xml:space="preserve">t.t.), V: 397; asy-Syaukānī, Irsyād al-Fuḥūl ilā Taḥqīq al-Ḥaqq min ‘Ilm al-Uṣūl, disunting oleh Abū Ḥafṣ </w:t>
        <w:br/>
        <w:t>Sāmī Ibn al-‘Arabī al-Aṡarī (Riyad: Dār al-Faḍīlah li an-Nasyr wa at-Tauzī‘, 1421/2000), h. 1113; al-</w:t>
        <w:br/>
        <w:t xml:space="preserve">Barzanjī, at-Ta‘āruḍ wa at-Tarjīḥ baina al-Adillah asy-Syar‘iyyah (Beirut: Dār al-Kutub al-Ilmiyyah, </w:t>
        <w:br/>
        <w:t>1417/1996), I: 79.</w:t>
      </w:r>
    </w:p>
    <w:p>
      <w:r>
        <w:t>2</w:t>
      </w:r>
    </w:p>
    <w:p>
      <w:r>
        <w:t xml:space="preserve">Rāzī ini menjelaskan dua hal pokok tentang pengertian tarjih, yaitu : </w:t>
        <w:br/>
        <w:t xml:space="preserve">1. Bahwa tarjih itu adalah perbuatan mujtahid (ahli hukum syariah) dan bukan sifat </w:t>
        <w:br/>
        <w:t xml:space="preserve">dari suatu dalil. </w:t>
        <w:br/>
        <w:t xml:space="preserve">2. Bahwa obyek tarjih adalah dalil-dalil yang tampak saling bertentangan untuk </w:t>
        <w:br/>
        <w:t>diambil yang lebih kuat.</w:t>
      </w:r>
    </w:p>
    <w:p>
      <w:r>
        <w:t xml:space="preserve">Hanya saja definisi ini, dan definisi lain sealur dengan definisi ini, dinyatakan </w:t>
        <w:br/>
        <w:t xml:space="preserve">kurang lengkap karena membatasi obyek tarjih pada dalil-dalil syar‘i yang secara zahir </w:t>
        <w:br/>
        <w:t xml:space="preserve">tampak saling bertentangan saja. Sesungguhnya tarjih tidak hanya dilakukan terhadap </w:t>
        <w:br/>
        <w:t xml:space="preserve">dalil-dalil syar‘i yang secara zahir tampak saling bertentangan, tetapi juga terhadap </w:t>
        <w:br/>
        <w:t>cara-cara berargumentasi (aujuh), pendapat-pendapat (kaul-kaul) fikih, dan riwayat-</w:t>
        <w:br/>
        <w:t xml:space="preserve">riwayat dari  seorang imam fikih yang berbeda bahkan bertentangan. Misalnya dari </w:t>
        <w:br/>
        <w:t xml:space="preserve">Imam Aḥmad diriwayatkan adanya dua riwayat tentang berbuka (iftar) di bulan </w:t>
        <w:br/>
        <w:t xml:space="preserve">Ramadan bagi orang yang mulai safar di tengah hari, apakah ia boleh berbuka hari itu </w:t>
        <w:br/>
        <w:t xml:space="preserve">atau tidak. Dari Imam Aḥmad terdapat dua riwayat, pertama, riwayat yang menyatakan </w:t>
        <w:br/>
        <w:t xml:space="preserve">bahwa Aḥmad membolehkan iftar (tidak puasa) pada hari itu bagi musafir tersebut, dan </w:t>
        <w:br/>
        <w:t xml:space="preserve">kedua, riwayat yang menyatakan bahwa Imam Aḥmad tidak membolehkan hal tersebut </w:t>
        <w:br/>
        <w:t xml:space="preserve">di mana untuk hari itu ia wajib meneruskan puasanya hingga magrib. Ibn Qudāmah (w. </w:t>
        <w:br/>
        <w:t>620/1223) menarjih riwayat pertama.4</w:t>
      </w:r>
    </w:p>
    <w:p>
      <w:r>
        <w:t>Jadi tarjih tidak hanya dilakukan terhadap dalil-dalil, tetapi juga terhadap riwayat-</w:t>
        <w:br/>
        <w:t xml:space="preserve">riwayat dari imam-imam mujtahid. Selain itu tarjih juga dilakukan terhadap berbagai </w:t>
        <w:br/>
        <w:t xml:space="preserve">pendapat (kaul) fikih yang beragam bahkan saling bertentangan menganai satu </w:t>
        <w:br/>
        <w:t xml:space="preserve">masalah yang sama untuk dievaluasi dan diambil yang lebih dekat kepada al-Kitab dan </w:t>
        <w:br/>
        <w:t xml:space="preserve">as-Sunnah serta lebih maslahat untuk diterima. Atas dasar itu ada yang mendefinisikan </w:t>
        <w:br/>
        <w:t xml:space="preserve">tarjih sebagai, “Perbuatan mujtahid mendahulukan salah satu dari dua jalan yang </w:t>
        <w:br/>
        <w:t xml:space="preserve">memiliki keungulan lebih yang dapat diterima dan yang menjadikannya lebih utama </w:t>
        <w:br/>
        <w:t xml:space="preserve">untuk diamalkan dari yang lain.”5 Yang dimaksud dengan “jalan” dalam definisi di atas </w:t>
        <w:br/>
        <w:t xml:space="preserve">meliputi (1) dalil-dalil, karena dalil itu merupakan jalan yang menghantarkan kepada </w:t>
        <w:br/>
        <w:t xml:space="preserve">kesimpulan (ketentuan hukum) mengenai suatu masalah; (2) cara memahami (wajh) </w:t>
        <w:br/>
        <w:t xml:space="preserve">karena cara memahami juga merupakan jalan mencapai kesimpulan; dan riwayat, </w:t>
        <w:br/>
        <w:t>karena riwayat juga jalan untuk mencapai suatu kesimpulan.</w:t>
      </w:r>
    </w:p>
    <w:p>
      <w:r>
        <w:t xml:space="preserve">Tetapi sebenarnya evaluasi terhadap pendapat-pendapat dan riwayat-riwayat </w:t>
        <w:br/>
        <w:t xml:space="preserve">fikih itu adalah evaluasi terhadap dalilnya untuk menemukan yang lebih kuat. </w:t>
        <w:br/>
        <w:t xml:space="preserve">Sebaliknya tarjih terhadap dalil-dalil pada akhirnya adalah juga untuk mendapatkan </w:t>
        <w:br/>
        <w:t xml:space="preserve">ketentuan hukum yang lebih kuat yang didasarkan kepada dalil-dalil tersebut. Dengan </w:t>
        <w:br/>
        <w:t xml:space="preserve">demikian tarjih terhadap dalil dan terhadap kaul dan riwayat fikih itu saling terkait dan </w:t>
        <w:br/>
        <w:t xml:space="preserve">bermuara pada satu tujuan, yaitu menemukan suatu ketentuan hukum syariah yang </w:t>
        <w:br/>
        <w:t>lebih mantap.</w:t>
      </w:r>
    </w:p>
    <w:p>
      <w:r>
        <w:t xml:space="preserve">Inilah pengertian tarjih dalam disiplin asli dari mana istilah itu berasal, yaitu usul </w:t>
        <w:br/>
        <w:t>fikih. Perlu pula dicatat bahwa tarjih merupakan salah satu tingkatan ijtihad. Dalam usul</w:t>
      </w:r>
    </w:p>
    <w:p>
      <w:r>
        <w:t xml:space="preserve">4 Ibn Qudāmah adalah salah seorang fakih Hanbali dan menulis kitab al-Mugnī. Mengenai kutipan </w:t>
        <w:br/>
        <w:t xml:space="preserve">di atas lihat Ibn Qudāmah, al-Mugnī, disunting oleh ‘Abdullāh Ibn ‘Abd al-Muḥsin at-Turkī (), III: 345-347. </w:t>
        <w:br/>
        <w:t>5 Al-Barzanjī, at-Ta‘āruḍ, h. 89.</w:t>
      </w:r>
    </w:p>
    <w:p>
      <w:r>
        <w:t>3</w:t>
      </w:r>
    </w:p>
    <w:p>
      <w:r>
        <w:t xml:space="preserve">fikih, tingkat-tingkat ijtihad meliputi ijtihad mutlak mandiri (ijtihad dalam usul dan </w:t>
        <w:br/>
        <w:t>cabang), ijtihad mutlak tak mandiri, ijtihad terikat,  ijtihad tarjih, dan ijtihad fatwa.6</w:t>
      </w:r>
    </w:p>
    <w:p>
      <w:r>
        <w:t xml:space="preserve">Dalam </w:t>
        <w:br/>
        <w:t xml:space="preserve">lingkungan </w:t>
        <w:br/>
        <w:t xml:space="preserve">Muhammadiyah </w:t>
        <w:br/>
        <w:t xml:space="preserve">pengertian </w:t>
        <w:br/>
        <w:t xml:space="preserve">tarjih </w:t>
        <w:br/>
        <w:t xml:space="preserve">telah </w:t>
        <w:br/>
        <w:t xml:space="preserve">mengalami </w:t>
        <w:br/>
        <w:t xml:space="preserve">perkembangan makna. Memang pada awalnya dalam organisasi ini tarjih difahami </w:t>
        <w:br/>
        <w:t xml:space="preserve">sebagaimana </w:t>
        <w:br/>
        <w:t xml:space="preserve">menurut </w:t>
        <w:br/>
        <w:t xml:space="preserve">pengertian </w:t>
        <w:br/>
        <w:t xml:space="preserve">aslinya </w:t>
        <w:br/>
        <w:t xml:space="preserve">dalam </w:t>
        <w:br/>
        <w:t xml:space="preserve">ilmu </w:t>
        <w:br/>
        <w:t xml:space="preserve">usul </w:t>
        <w:br/>
        <w:t xml:space="preserve">fikih, </w:t>
        <w:br/>
        <w:t xml:space="preserve">yaitu </w:t>
        <w:br/>
        <w:t xml:space="preserve">“memperbandingkan  ̶ dalam suatu permusyawaratan ̶  pendapat-pendapat dari ulama </w:t>
        <w:br/>
        <w:t xml:space="preserve">(baik dari dalam atau pun dari luar Muhammadiyah termasuk pendapat imam-imam) </w:t>
        <w:br/>
        <w:t xml:space="preserve">untuk kemudian mengambil mana yang dianggap mempunyai dasar dan alasan yang </w:t>
        <w:br/>
        <w:t xml:space="preserve">lebih kuat.”7 Lambat laun pengertian ini mengalami pergeseran karena perkembangan </w:t>
        <w:br/>
        <w:t xml:space="preserve">kegiatan ketarjihan di dalam Muhammadiyah. Tarjih tidak lagi hanya diartikan kegiatan </w:t>
        <w:br/>
        <w:t xml:space="preserve">sekedar kuat-menguatkan suatu dalil atau pilih-memilih di antara pendapat yang sudah </w:t>
        <w:br/>
        <w:t xml:space="preserve">ada, melainkan jauh lebih luas sehingga identik, atau paling tidak hampir identik, </w:t>
        <w:br/>
        <w:t xml:space="preserve">dengan ijtihad itu sendiri. Hal itu karena dalam Muhammadiyah, melalui Majelis Tarjih </w:t>
        <w:br/>
        <w:t xml:space="preserve">dan Tajdid, banyak dilakukan ijtihad atas masalah-masalah baru yang belum direspons </w:t>
        <w:br/>
        <w:t xml:space="preserve">oleh fukaha masa lalu dan belum ditemukan jawabannya dalam kitab-kitab fikih lama. </w:t>
        <w:br/>
        <w:t xml:space="preserve">Dalam Muhammadiyah tarjih tidak hanya dibatasi pada ijtihad untuk merespons </w:t>
        <w:br/>
        <w:t xml:space="preserve">permasalahan dari sudut pandang hukum syar’i, tetapi juga merespons permasalahan </w:t>
        <w:br/>
        <w:t xml:space="preserve">dari sudut pandang Islam secara lebih luas, meskipun harus diakui porsi ijtihad hukum </w:t>
        <w:br/>
        <w:t xml:space="preserve">syar‘i sangat jauh lebih besar. Oleh karena itu dalam lingkungan Muhammadiyah tarjih </w:t>
        <w:br/>
        <w:t xml:space="preserve">diartikan sebagai setiap aktifitas intelektual untuk merespons permasalahan sosial dan </w:t>
        <w:br/>
        <w:t xml:space="preserve">kemanusiaan dari sudut pandang agama Islam. Dari situ tampak bahwa bertarjih artinya </w:t>
        <w:br/>
        <w:t xml:space="preserve">sama atau hampir sama dengan melakukan ijtihad mengenai suatu permasalahan </w:t>
        <w:br/>
        <w:t>dilihat dari perspektif Islam.</w:t>
      </w:r>
    </w:p>
    <w:p>
      <w:r>
        <w:t xml:space="preserve">Adalah jelas bahwa tarjih itu tidak dilakukan secara serampangan, melainkan </w:t>
        <w:br/>
        <w:t xml:space="preserve">berdasarkan kepada asas-asas dan prinsip-prinsip tertentu. Kumpulan prinsip-prinsip </w:t>
        <w:br/>
        <w:t xml:space="preserve">dan metode-metode yang melandasi kegiatan tarjih itu dinamakan manhaj tarjih </w:t>
        <w:br/>
        <w:t xml:space="preserve">(metodologi tarjih). Manhaj tarjih dapat didefinisikan sebagai “suatu sistem yang memuat </w:t>
        <w:br/>
        <w:t>seperangkat wawasan (atau semangat/perspektif), sumber, pendekatan, dan prosedur-</w:t>
        <w:br/>
        <w:t xml:space="preserve">prosedur tehnis (metode) tertentu yang menjadi pegangan dalam kegiatan ketarjihan.” </w:t>
        <w:br/>
        <w:t xml:space="preserve">Kegiatan ketarjihan adalah aktifitas intelektual untuk merespons berbagai masalah </w:t>
        <w:br/>
        <w:t xml:space="preserve">sosial kemasyarakatan dan kemanusiaan dari sudut pandang agama Islam. Respons </w:t>
        <w:br/>
        <w:t xml:space="preserve">terhadap permasalahan sosial dan kemanusiaan tersebut dapat dilakukan dalam suatu </w:t>
        <w:br/>
        <w:t xml:space="preserve">kerangka yang bersifat evaluatif (melihat permasalahan dari sudut pandang das sollen) </w:t>
        <w:br/>
        <w:t xml:space="preserve">dengan mengembangkan sistem normatif yang responsif. Juga dapat dilakukan dalam </w:t>
        <w:br/>
        <w:t xml:space="preserve">suatu kerangka yang bersifat ekplanatif (melihat masalah dalam realitas empiris / dari </w:t>
        <w:br/>
        <w:t xml:space="preserve">perspektif das sein) yang tetap bertolak dari dasar-dasar ajaran agama, dan dilakukan </w:t>
        <w:br/>
        <w:t>dengan mengembangkan kerangka pemikiran keislaman yang kritis dan analitis.</w:t>
      </w:r>
    </w:p>
    <w:p>
      <w:r>
        <w:t xml:space="preserve">Harus diakui bahwa produk Tarjih lebih banyak tertuju kepada respons dalam </w:t>
        <w:br/>
        <w:t>kerangka das sollen yang memberikan arahan-arahan dan petunjuk normatif. Hanya</w:t>
      </w:r>
    </w:p>
    <w:p>
      <w:r>
        <w:t xml:space="preserve">6 Az-Zuḥailī, Uṣūl al-Fiqh al-Islāmī (Damaskus: Dār al-Fikr li aṭ-Ṭibā‘ah wa an-Nasyr wa at-Tauzī‘, </w:t>
        <w:br/>
        <w:t xml:space="preserve">1406/1986), II: 1079-1081. </w:t>
        <w:br/>
        <w:t xml:space="preserve">7 Manhaj Gerakan Muhammadiyah: Ideologi, Khittah dan Langkah (Jogjakarta: Suara </w:t>
        <w:br/>
        <w:t>Muhammadiyah dan Majelis Pendidikan Kader Muhammadiyah, 1433/2012), h. 20.</w:t>
      </w:r>
    </w:p>
    <w:p>
      <w:r>
        <w:t>4</w:t>
      </w:r>
    </w:p>
    <w:p>
      <w:r>
        <w:t xml:space="preserve">sedikit sekali produk Tarjih dalam bentuk pemikiran keislaman dalam suatu kerangka </w:t>
        <w:br/>
        <w:t xml:space="preserve">yang bersifat das sein. Itu pun hanya dalam bentuk wacana, bukan dalam bentuk </w:t>
        <w:br/>
        <w:t xml:space="preserve">putusan atau fatwa. Untuk ini barangkali dapat disebut sebagai contoh buku Agama dan </w:t>
        <w:br/>
        <w:t xml:space="preserve">Pluralitas Budaya Lokal dan Pengembangan Pemikiran Keislaman Muhammadiyah: </w:t>
        <w:br/>
        <w:t xml:space="preserve">Purifikasi dan Dinamisasi sebagai hasil kerjasama Majelis Tarjih dan pihak lain. Tetapi </w:t>
        <w:br/>
        <w:t xml:space="preserve">hal itu memang dapat dipahami karena mengingat fungsi dan tugas Majelis Tarjih </w:t>
        <w:br/>
        <w:t xml:space="preserve">sendiri adalah melakukan pengkajian ajaran agama untuk mendapatkan kemurniannya </w:t>
        <w:br/>
        <w:t xml:space="preserve">guna menjadi pedoman dan tuntunan bagi warga Persyarikatan secara khusus dan bagi </w:t>
        <w:br/>
        <w:t>warga masyarakat pada umumnya.</w:t>
      </w:r>
    </w:p>
    <w:p>
      <w:r>
        <w:t>C. Perspektif (Wawasan/Semangat) Tarjih</w:t>
      </w:r>
    </w:p>
    <w:p>
      <w:r>
        <w:t xml:space="preserve">Definisi manhaj tarjih di atas menggambarkan bahwa manhaj tersebut memuat </w:t>
        <w:br/>
        <w:t xml:space="preserve">unsur-unsur: (1) wawasan (atau semangat/perspektif), (2) sumber ajaran, (3) </w:t>
        <w:br/>
        <w:t xml:space="preserve">pendekatan, (4) metode (prosedur tehnis). Manhaj tarjih sebagai kegiatan intelektual </w:t>
        <w:br/>
        <w:t xml:space="preserve">untuk merespons berbagai persoalan dari sudut pandang agama Islam tidak sekedar </w:t>
        <w:br/>
        <w:t xml:space="preserve">bertumpu pada sejumlah prosedur tehnis an sich, melainkan juga dilandasi oleh </w:t>
        <w:br/>
        <w:t xml:space="preserve">wawasan/perspektif pemahaman agama yang menjadi karakteristik pemikiran Islam </w:t>
        <w:br/>
        <w:t xml:space="preserve">Muhammadiyah. Wawasan/perspektif tarjih itu meliputi : </w:t>
        <w:br/>
        <w:t xml:space="preserve">1) Wawasan paham agama, </w:t>
        <w:br/>
        <w:t xml:space="preserve">2) Wawasan tidak berafiliasi mazhab tertentu. </w:t>
        <w:br/>
        <w:t xml:space="preserve">3) Wawasan toleransi, </w:t>
        <w:br/>
        <w:t xml:space="preserve">4) Wawasan keterbukaan, </w:t>
        <w:br/>
        <w:t>5) Wawasan tajdid,</w:t>
      </w:r>
    </w:p>
    <w:p>
      <w:r>
        <w:t xml:space="preserve">Wawasan (semangat/perspektif) ini diharapkan dapat memberikan landasan pijak </w:t>
        <w:br/>
        <w:t xml:space="preserve">bagi </w:t>
        <w:br/>
        <w:t xml:space="preserve">pemikiran </w:t>
        <w:br/>
        <w:t xml:space="preserve">keislaman </w:t>
        <w:br/>
        <w:t xml:space="preserve">Muhammadiyah </w:t>
        <w:br/>
        <w:t xml:space="preserve">untuk </w:t>
        <w:br/>
        <w:t xml:space="preserve">dapat </w:t>
        <w:br/>
        <w:t xml:space="preserve">menyikapi </w:t>
        <w:br/>
        <w:t xml:space="preserve">berbagai </w:t>
        <w:br/>
        <w:t xml:space="preserve">perkembangan baru secara lebih kreatif dan inovatif. Namun penerapannya sangat </w:t>
        <w:br/>
        <w:t xml:space="preserve">ditentukan oleh sikap warga Muhammadiyah sendiri karena Muhammadiyah adalah </w:t>
        <w:br/>
        <w:t>gerakan rakyat, bukan gerakan segelintir elit, walaupun peran elit sangat penting.</w:t>
      </w:r>
    </w:p>
    <w:p>
      <w:r>
        <w:t>1) Wawasan paham agama</w:t>
      </w:r>
    </w:p>
    <w:p>
      <w:r>
        <w:t xml:space="preserve">Ada banyak pendekatan yang dilakukan dalam memahami agama. Ada beberapa </w:t>
        <w:br/>
        <w:t xml:space="preserve">ahli yang memahami agama dengan melihat fungsinya sebagaimana diikuti oleh </w:t>
        <w:br/>
        <w:t xml:space="preserve">beberapa antropolog, terutama yang beraliran fungsionalis. Ada pula yang melihat </w:t>
        <w:br/>
        <w:t xml:space="preserve">hakikat agama dalam pengalaman subyek yang menjalaninya seperti diikuti oleh </w:t>
        <w:br/>
        <w:t xml:space="preserve">beberapa ahli religionwissenschaf. Sementara itu pada ahli agama Islam lebih </w:t>
        <w:br/>
        <w:t xml:space="preserve">menekankan sudut pandang yang melihatnya sebagai suatu tatanan normatif. </w:t>
        <w:br/>
        <w:t xml:space="preserve">Umumnya para ulama Islam mendefinisikan agama sebagai, “Ketetapan Ilahi yang </w:t>
        <w:br/>
        <w:t xml:space="preserve">membimbing orang-orang yang berfikiran sehat ke arah kebaikan-kebaikan atas pilihan </w:t>
        <w:br/>
        <w:t xml:space="preserve">mereka sendiri baik secara batin maupun lahir.”8 Definisi ini melihat agama sebagai </w:t>
        <w:br/>
        <w:t xml:space="preserve">suatu kerangka atau tatanan normatif yang memberikan bimbingan dan pengarahan </w:t>
        <w:br/>
        <w:t>kepada manusia untuk mencapai kebajikan hidup.</w:t>
      </w:r>
    </w:p>
    <w:p>
      <w:r>
        <w:t xml:space="preserve">8 Ibn ‘Āsyūr, Tafsīr at-Taḥrīr wa at-Tanwīr (Tunis: ad-Dār at-Tūnīsiyyah li an-Nasyr, 1984), III: 189; </w:t>
        <w:br/>
        <w:t>lihat juga ar-Rāzī, Tafsīr al-Fakhr ar-Rāzī atau at-Tafsīr al-Kabīr (Beirut: Dār al-Fikr li aṭ-Ṭibā‘ah wa an-</w:t>
        <w:br/>
        <w:t>Nasyr wa at-Tauzī‘, 1981/1401), XXIX: 316.</w:t>
      </w:r>
    </w:p>
    <w:p>
      <w:r>
        <w:t>5</w:t>
      </w:r>
    </w:p>
    <w:p>
      <w:r>
        <w:t xml:space="preserve">Tidak jauh berbeda dengan definisi para ulama Islam ini adalah pengertian </w:t>
        <w:br/>
        <w:t xml:space="preserve">agama dalam putusan Tarjih yang menegaskan bahwa, </w:t>
        <w:br/>
        <w:t>.^د د`_^ھم وأ[راھمbcdح اfgd ^داتiرj واk`واھdر واlواmن اl op^_b`^ن أqd krs t osرi ^l د_ن ھوdا</w:t>
      </w:r>
    </w:p>
    <w:p>
      <w:r>
        <w:t xml:space="preserve">Artinya: Agama ialah apa yang disyariatkan Allah dengan perantara Nabi-Nabi-Nya, </w:t>
        <w:br/>
        <w:t xml:space="preserve">berupa perintah-perintah dan larangan-larangan serta petunjuk-petunjuk untuk </w:t>
        <w:br/>
        <w:t>kebaikan manusia di Dunia dan Akhirat.9</w:t>
      </w:r>
    </w:p>
    <w:p>
      <w:r>
        <w:t xml:space="preserve">Ini adalah pengertian agama secara umum, yaitu agama yang diturunkan kepada </w:t>
        <w:br/>
        <w:t xml:space="preserve">para nabi Allah yang pernah diutuskan ke umat manusia. Di samping itu putusan Tarjih </w:t>
        <w:br/>
        <w:t xml:space="preserve">mendefinisikan pula agama Islam yang dibawa oleh Nabi Muhammad saw, yaitu </w:t>
        <w:br/>
        <w:t xml:space="preserve"> د_نdا</w:t>
        <w:br/>
        <w:t>)ulfqjد_ن اdأى ا</w:t>
        <w:br/>
        <w:t xml:space="preserve">( </w:t>
        <w:br/>
        <w:t xml:space="preserve"> w`qd اob ^ءتy ^l{رآن وd اk| t od^ أ`زl م ھوrq وo_rs t krg دl~l ob ^ءy ذىdا</w:t>
        <w:br/>
        <w:t>^د د`_^ھم وأ[راھم.bcdح اfgd ^داتiرj واk`واھdر واlواmن اl w~_~gdا</w:t>
      </w:r>
    </w:p>
    <w:p>
      <w:r>
        <w:t xml:space="preserve">Artinya: Agama (yaitu agama Islam) yang dibawa oleh nabi Muhammad saw ialah </w:t>
        <w:br/>
        <w:t xml:space="preserve">apa yang diturunkan Allah di dalam Quran dan yang tersebut dalam sunnah yang </w:t>
        <w:br/>
        <w:t xml:space="preserve">sahih, berupa perintah-perintah dan larangan-larangan serta petunjuk-petunjuk </w:t>
        <w:br/>
        <w:t>untuk kebaikan manusia di Dunia dan Akhirat.10</w:t>
      </w:r>
    </w:p>
    <w:p>
      <w:r>
        <w:t xml:space="preserve">Seperti halnya definisi para ulama Islam, pengertian agama yang dirumuskan </w:t>
        <w:br/>
        <w:t xml:space="preserve">tarjih ini juga melihat agama sebagai suatu tatanan normatif yang menjadi kerangka </w:t>
        <w:br/>
        <w:t xml:space="preserve">rujukan dan sekaligus bimbingan bagi manusia dalam menjalani hidupnya untuk </w:t>
        <w:br/>
        <w:t xml:space="preserve">mencapai kebahagiaan baik di dunia maupun di akhirat. Definisi ini benar sepenuhnya, </w:t>
        <w:br/>
        <w:t xml:space="preserve">namun baru menggambarkan satu sisi dari agama. Untuk melengkapi konsep ini, kita </w:t>
        <w:br/>
        <w:t xml:space="preserve">dapat pula melihat agama dari segi hakikatnya sebagaimana yang diresapi dan </w:t>
        <w:br/>
        <w:t xml:space="preserve">dimanifetasikan oleh pelakunya. Dari sudut pandang ini kita dapat mendefinisikan </w:t>
        <w:br/>
        <w:t xml:space="preserve">agama sebagai “suatu pengalaman imani yang terekspresikan dalam wujud amal salih </w:t>
        <w:br/>
        <w:t>yang dijiwai oleh “islam”, ihsan dan syariah.11</w:t>
      </w:r>
    </w:p>
    <w:p>
      <w:r>
        <w:t xml:space="preserve">Dengan prengalaman imani dimaksudkan kesadaran atas keberadaan, kehadiran </w:t>
        <w:br/>
        <w:t xml:space="preserve">dan keberhadapan dengan Allah Yang Maha Melihat dan Mendengar lagi Maha </w:t>
        <w:br/>
        <w:t xml:space="preserve">Mengetahui. Kesadaran tersebut secara eksternal dimanifestasikan dalam wujud amal </w:t>
        <w:br/>
        <w:t xml:space="preserve">salih yang sebagian dipolakan secara ketat (yang disebut ibadat) dan sebagian lagi </w:t>
        <w:br/>
        <w:t xml:space="preserve">tidak dipolakan secara ketat (yang disebut muamalat duniawiah). Amal salih sebagai </w:t>
        <w:br/>
        <w:t xml:space="preserve">wujud manifestasi pengalaman imani itu mencakup bentuk tindak berfikir dan tindak </w:t>
        <w:br/>
        <w:t xml:space="preserve">berperilaku. Agar ekspresi (manifestasi) pengalaman imani dalam wujud amal ini </w:t>
        <w:br/>
        <w:t xml:space="preserve">terlambagakan secara benar diperlukan kerangka normatif atau norma-norma sebagai </w:t>
        <w:br/>
        <w:t xml:space="preserve">rujukan, yakni dalam Islam berupa syariah yang diwahyukan Allah melalui Nabi-Nya </w:t>
        <w:br/>
        <w:t>Muhammad saw. Norma-norma ini yang diwahyukan Allah dalam al-Quran dan as-</w:t>
      </w:r>
    </w:p>
    <w:p>
      <w:r>
        <w:t xml:space="preserve">9 Majelis Tarjih dan Tajdidi Pimpinan Pusat Muhammadiyah, Himpunan Putusan Tarjih </w:t>
        <w:br/>
        <w:t xml:space="preserve">(Jogjakarta: Suara Muhammadiyah, 1430/2009), h. 278. </w:t>
        <w:br/>
        <w:t xml:space="preserve">10 Ibid, h.  </w:t>
        <w:br/>
        <w:t xml:space="preserve">11 Syamsul Anwar, “Manhaj Ijtihad/Tajdid dalam Muhammadiyah,” dalam Mefidwel Jandra dan M. </w:t>
        <w:br/>
        <w:t xml:space="preserve">Safar Nasir, ed., Tajdid Muhammadiyah untuk Pencerahan Peradaban (Jogjakarta: Majelis Tarjih dan </w:t>
        <w:br/>
        <w:t>Pengembangan Pemikiran Islam bekerja sama dengan UAD Press, 1426/2005), h. 66-67.</w:t>
      </w:r>
    </w:p>
    <w:p>
      <w:r>
        <w:t>6</w:t>
      </w:r>
    </w:p>
    <w:p>
      <w:r>
        <w:t xml:space="preserve">Sunnah merupakan norma-norma pokok. Namun norma-norma ini sering harus </w:t>
        <w:br/>
        <w:t xml:space="preserve">diperluas dengan norma-norma tambahan melalui ijtihad dan interpretasi yang disebut </w:t>
        <w:br/>
        <w:t xml:space="preserve">fikih dalam salah satu artinya. Dengan demikian agama meliputi unsur-unsur (1) inti </w:t>
        <w:br/>
        <w:t xml:space="preserve">yang berupa pengalaman imani, (2) bentuk yang berupa norma-norma syariah sebagai </w:t>
        <w:br/>
        <w:t>kerangka rujukan, dan (3) manifestasi yang berupa amal.</w:t>
      </w:r>
    </w:p>
    <w:p>
      <w:r>
        <w:t xml:space="preserve">Ekspresi pengalaman imani melahirkan budaya dan tidak jarang pula terjadi </w:t>
        <w:br/>
        <w:t xml:space="preserve">peminjaman wadah budaya yang sudah ada dalam masyarakat untuk menampung </w:t>
        <w:br/>
        <w:t xml:space="preserve">skpresi tersebut. Dalam kasus terakhir ini manifestasi agama mengalir ke dalam wadah </w:t>
        <w:br/>
        <w:t xml:space="preserve">budaya yang sudah ada sehingga terjadi tarik-menarik dan pergumulan antara agama </w:t>
        <w:br/>
        <w:t xml:space="preserve">dan budaya bersangkutan. Tidak jarang terjadi bahwa kerangka rujukan normatif yang </w:t>
        <w:br/>
        <w:t xml:space="preserve">memberikan arahan bagi manifestasi pengalaman imani itu harus diperluas untuk dapat </w:t>
        <w:br/>
        <w:t xml:space="preserve">menampung wujud ekpresi yang terus berkembang, sehingga norma-norma yang ada </w:t>
        <w:br/>
        <w:t xml:space="preserve">harus diperluas atau diinterpretasi ulang guna memfasilitasi ekspresi budaya. Di sinilah </w:t>
        <w:br/>
        <w:t>wilayah tajdid dan ijtihad memainkan peran penting.12</w:t>
      </w:r>
    </w:p>
    <w:p>
      <w:r>
        <w:t>2) Wawasan Toleransi</w:t>
      </w:r>
    </w:p>
    <w:p>
      <w:r>
        <w:t xml:space="preserve">Toleransi artinya bahwa putusan Tarjih tidak menganggap dirinya saja yang </w:t>
        <w:br/>
        <w:t xml:space="preserve">benar, sementara yang lain tidak benar. Dalam “Penerangan tentang Hal Tardjih” yang </w:t>
        <w:br/>
        <w:t xml:space="preserve">dikeluarkan tahun 1936, dinyatakan, “Kepoetoesan tardjih moelai dari meroendingkan </w:t>
        <w:br/>
        <w:t xml:space="preserve">sampai kepada menetapkan tidak ada sifat perlawanan, jakni menentang ataoe </w:t>
        <w:br/>
        <w:t xml:space="preserve">menjatoehkan segala jang tidak dipilih oleh Tardjih itoe.”13 Pernyataan ini </w:t>
        <w:br/>
        <w:t xml:space="preserve">menggambarkan bahwa Tarjih Muhammadiyah tidak menegasikan pendapat lain </w:t>
        <w:br/>
        <w:t>apalagi menyatakannya tidak benar. Tarjih Muhammadiyah memandang keputusan-</w:t>
        <w:br/>
        <w:t xml:space="preserve">keputusan yang diambilnya adalah suatu capaian maksimal yang mampu diraih saat </w:t>
        <w:br/>
        <w:t xml:space="preserve">mengambil keputusan itu. Oleh karena itu Tarjih Muhammadiyah terbuka terhadap </w:t>
        <w:br/>
        <w:t xml:space="preserve">masukan baru dengan argumen yang lebih kuat. Keterbukaan terhadap penemuan baru </w:t>
        <w:br/>
        <w:t>adalah prinsip berikutnya dalam wawasan ketarjihan Muhammadiyah.</w:t>
      </w:r>
    </w:p>
    <w:p>
      <w:r>
        <w:t>3) Keterbukaan</w:t>
      </w:r>
    </w:p>
    <w:p>
      <w:r>
        <w:t xml:space="preserve">Keterbukaan artinya bahwa segala yang diputuskan oleh Tarjih dapat dikritik </w:t>
        <w:br/>
        <w:t xml:space="preserve">dalam rangka melakukan perbaikan, di mana apabila ditemukan dalil dan argumen lebih </w:t>
        <w:br/>
        <w:t xml:space="preserve">kuat, maka Majelis Tarjih akan membahasnya dan mengoreksi dalil dan argumen yang </w:t>
        <w:br/>
        <w:t xml:space="preserve">dinilai kurang kuat. Dalam “Penerangan tentang Hal Tardjih” ditegaskan, “Malah kami </w:t>
        <w:br/>
        <w:t xml:space="preserve">berseroe kepada sekalian oelama soepaya soeka membahas poela akan kebenaran </w:t>
        <w:br/>
        <w:t xml:space="preserve">poetoesan Madjelis Tardjih itoe di mana kalaoe terdapat kesalahan ataoe koerang tepat </w:t>
        <w:br/>
        <w:t xml:space="preserve">dalilnja diharap soepaya diajoekan, sjoekoer kalaoe dapat memberikan dalil jang lebih </w:t>
        <w:br/>
        <w:t xml:space="preserve">tepat dan terang, jang nanti akan dipertimbangkan poela, dioelang penjelidikannja, </w:t>
        <w:br/>
        <w:t xml:space="preserve">kemoedian </w:t>
        <w:br/>
        <w:t xml:space="preserve">kebenarannja </w:t>
        <w:br/>
        <w:t xml:space="preserve">akan </w:t>
        <w:br/>
        <w:t xml:space="preserve">ditetapkan </w:t>
        <w:br/>
        <w:t xml:space="preserve">dan </w:t>
        <w:br/>
        <w:t xml:space="preserve">digoenakan. </w:t>
        <w:br/>
        <w:t xml:space="preserve">Sebab </w:t>
        <w:br/>
        <w:t xml:space="preserve">waktoe </w:t>
        <w:br/>
        <w:t xml:space="preserve">mentardjihkan itoe ialah menoeroet sekedar pengertian dan kekoeatan kita pada waktoe </w:t>
        <w:br/>
        <w:t>itoe.”14</w:t>
      </w:r>
    </w:p>
    <w:p>
      <w:r>
        <w:t xml:space="preserve">12 Diringkas dari ibid., h. 68-70. </w:t>
        <w:br/>
        <w:t xml:space="preserve">13 Boeah Congres 26 (Jogjakarta: Hoefdcomite Congres Moehammadijah, t.t.), h.32. </w:t>
        <w:br/>
        <w:t>14 Ibid.</w:t>
      </w:r>
    </w:p>
    <w:p>
      <w:r>
        <w:t>7</w:t>
      </w:r>
    </w:p>
    <w:p>
      <w:r>
        <w:t>4) Tidak Berafiliasi Mazhab</w:t>
      </w:r>
    </w:p>
    <w:p>
      <w:r>
        <w:t>Memahami agama dalam perspektif tarjih dilakukan langsung dari sumber-</w:t>
        <w:br/>
        <w:t xml:space="preserve">sumber pokoknya, al-Quran dan Sunnah melaluin proses ijtihad dengan metode-metode </w:t>
        <w:br/>
        <w:t xml:space="preserve">ijtihad yang ada. Ini berarti Muhammadiyah tidak berafiliasi kepada mazhab tertentu. </w:t>
        <w:br/>
        <w:t>Namun ini tidak berarti menafikan berbagai pendapat fukaha yang ada. Pendapat-</w:t>
        <w:br/>
        <w:t xml:space="preserve">pendapat mereka itu sangat penting dan dijadikan bahan pertimbangan untuk </w:t>
        <w:br/>
        <w:t xml:space="preserve">menentukan diktum norma/ajaran yang lebih sesuai dengan semangat di mana kita </w:t>
        <w:br/>
        <w:t>hidup.</w:t>
      </w:r>
    </w:p>
    <w:p>
      <w:r>
        <w:t>5) wawasan Tajdid</w:t>
      </w:r>
    </w:p>
    <w:p>
      <w:r>
        <w:t xml:space="preserve">Tajdid sebagai karakteristik pemikiran Islam Muhammadiyah diingat dalam </w:t>
        <w:br/>
        <w:t xml:space="preserve">memori kolektif warga masyarakat Muslim Indonesia yang melabeli gerakan ini sebagai </w:t>
        <w:br/>
        <w:t xml:space="preserve">gerakan kaum modernis. Deliar Noer menegaskan bahwa Muhammadiyah adalah </w:t>
        <w:br/>
        <w:t>“sebuah gerakan kaum modernis yang melakukan pendekatan terhadap sumber-</w:t>
        <w:br/>
        <w:t xml:space="preserve">sumber ini [maksudnya al-Quran dan as-Sunnah, pen.] dengan cara melakukan ijtihad </w:t>
        <w:br/>
        <w:t xml:space="preserve">guna ... melakukan pembaruan sosial dan keagamaan di kalangan orang-orang Muslim </w:t>
        <w:br/>
        <w:t xml:space="preserve">Indonesia.15 Sejak tahun 2005 semangat tersebut oleh Muhammadiyah sendiri </w:t>
        <w:br/>
        <w:t xml:space="preserve">dipatrikan dalam dokumen resmi. Semangat (wawasan) tajdid ditegaskan sebagai </w:t>
        <w:br/>
        <w:t xml:space="preserve">identitas umum gerakan Muhammadiyah termasuk pemikirannya di bidang keagamaan. </w:t>
        <w:br/>
        <w:t xml:space="preserve">Ini ditegaskan dalam pasal 4 Anggaran Dasar Muhammadiyah yang telah dikutip pada </w:t>
        <w:br/>
        <w:t xml:space="preserve">awal tulisan ini.16 Dalam kaitan dengan manhaj tarjih, tajdid menggambarkan orientasi </w:t>
        <w:br/>
        <w:t>dari kegiatan tarjih dan corak produk ketarjihan.</w:t>
      </w:r>
    </w:p>
    <w:p>
      <w:r>
        <w:t xml:space="preserve">Tajdid mempunyai dua arti: </w:t>
        <w:br/>
        <w:t xml:space="preserve">a. Dalam bidang akidah dan ibadah, tajdid bermakna pemurnian dalam arti </w:t>
        <w:br/>
        <w:t xml:space="preserve">mengembalikan akidah dan ibadah kepada kemurniannya sesuai dengan Sunnah </w:t>
        <w:br/>
        <w:t xml:space="preserve">Nabi saw. </w:t>
        <w:br/>
        <w:t xml:space="preserve">b. Dalam bidang muamalat duniawiah, tajdid berarti mendinamisasikan kehidupan </w:t>
        <w:br/>
        <w:t>masyarakat dengan semangat kreatif dan inovatif sesuai tuntutan zaman.</w:t>
      </w:r>
    </w:p>
    <w:p>
      <w:r>
        <w:t xml:space="preserve">Pemurnian ibadah berarti menggali tuntunannya sedemikian rupa dari Sunnah </w:t>
        <w:br/>
        <w:t xml:space="preserve">Nabi saw untuk menemukan bentuk yang paling sesuai atau paling mendekati Sunnah </w:t>
        <w:br/>
        <w:t xml:space="preserve">beliau. Mencari bentuk paling sesuai dengan Sunnah Nabi saw tidak mengurangi arti </w:t>
        <w:br/>
        <w:t xml:space="preserve">adanya keragaman (tanawwu‘) dalam kaifiat ibadah itu sendiri, sepanjang kaifiat itu </w:t>
        <w:br/>
        <w:t xml:space="preserve">memang mempunyai landasannya dalam Sunnah Nabi saw. Contohnya adalah adanya </w:t>
        <w:br/>
        <w:t xml:space="preserve">variasi dalam bacaan doa iftitah dalam salat, yang menunjukkan bahwa Nabi saw </w:t>
        <w:br/>
        <w:t xml:space="preserve">sendiri melakukannya secara bervariasi. Varian ibadah yang tidak didukung oleh </w:t>
        <w:br/>
        <w:t xml:space="preserve">Sunnah menurut Tarjih Muhammadiyah tidak dapat dipandang praktik ibadah yang bisa </w:t>
        <w:br/>
        <w:t>diamalkan.</w:t>
      </w:r>
    </w:p>
    <w:p>
      <w:r>
        <w:t>Berkaitan dengan akidah, pemurnian berarti melakukan pengkajian untuk</w:t>
      </w:r>
    </w:p>
    <w:p>
      <w:r>
        <w:t xml:space="preserve">15 Noer, The Modernist Movements in Indonesia, 1900-1942 (London-New York: Oxford University </w:t>
        <w:br/>
        <w:t xml:space="preserve">Press, 1973), h. 73.  </w:t>
        <w:br/>
        <w:t>16 Lihat catatan kaki no. 1.</w:t>
      </w:r>
    </w:p>
    <w:p>
      <w:r>
        <w:t>8</w:t>
      </w:r>
    </w:p>
    <w:p>
      <w:r>
        <w:t xml:space="preserve">membebaskan akidah dari unsur-unsur khurafat dan tahayul. Diktum keimanan yang </w:t>
        <w:br/>
        <w:t xml:space="preserve">dapat dipegangi adalah apa yang ditegaskan dalam al-Quran dan as-Sunnah. </w:t>
        <w:br/>
        <w:t xml:space="preserve">Kepercayaan yang tidak bersumber kepada kedua sumber asasi tersebut tidak dapat </w:t>
        <w:br/>
        <w:t xml:space="preserve">dipegangi. Kepercayaan bahwa angka 13 adalah sial, misalnya, tidak ada dalilnya </w:t>
        <w:br/>
        <w:t xml:space="preserve">dalam </w:t>
        <w:br/>
        <w:t xml:space="preserve">al-Quran </w:t>
        <w:br/>
        <w:t xml:space="preserve">dan </w:t>
        <w:br/>
        <w:t xml:space="preserve">as-Sunnah. </w:t>
        <w:br/>
        <w:t xml:space="preserve">Dalam </w:t>
        <w:br/>
        <w:t xml:space="preserve">tradisi </w:t>
        <w:br/>
        <w:t xml:space="preserve">pemilihan </w:t>
        <w:br/>
        <w:t xml:space="preserve">pimpinan </w:t>
        <w:br/>
        <w:t xml:space="preserve">pusat </w:t>
        <w:br/>
        <w:t xml:space="preserve">Muhammadiyah melalui muktamar selalu dipilih 13 anggota pimpinan, walaupun </w:t>
        <w:br/>
        <w:t xml:space="preserve">bilamana diperlukan kemudian dapat ditambah. Pemilihan 13 anggota pimpinan ini </w:t>
        <w:br/>
        <w:t>adalah suatu bentuk perlawanan terhadap kepercayaan tentang kesialan angka 13.</w:t>
      </w:r>
    </w:p>
    <w:p>
      <w:r>
        <w:t xml:space="preserve">Tajdid di bidang muamalat duniawiyah (bukan akidah dan ibadah khusus), berarti </w:t>
        <w:br/>
        <w:t xml:space="preserve">mendinamisasikan kehidupan masyarakat sesuai dengan capaian kebudayaan yang </w:t>
        <w:br/>
        <w:t xml:space="preserve">dapat diwujudkan manusia di bawah semangat dan ruh al-Quran dan Sunnah Nabi saw. </w:t>
        <w:br/>
        <w:t xml:space="preserve">Bahkan dalam aspek ini beberapa norma di masa lalu dapat berubah bila ada keperluan </w:t>
        <w:br/>
        <w:t xml:space="preserve">dan tuntutan untuk berubah dan memenuhi syarat-syarat perubahan hukum syarak. </w:t>
        <w:br/>
        <w:t xml:space="preserve">Misalnya di zaman lampau untuk menentukan masuknya bulan kamariah baru, </w:t>
        <w:br/>
        <w:t>khususnya Ramadan, Syawal, dan Zulhijah, digunakan rukyat sesuai dengan hadis-</w:t>
        <w:br/>
        <w:t xml:space="preserve">hadis rukyat dalam mana Nabi saw memerintah melakukan pengintaian hilal. Namun </w:t>
        <w:br/>
        <w:t xml:space="preserve">pada zaman sekarang tidak lagi digunakan rukyat melainkan hisab, sebagaimana </w:t>
        <w:br/>
        <w:t xml:space="preserve">dipraktikkan dalam Muhammadiyah. Contoh lain, di masa lalu perempuan tidak </w:t>
        <w:br/>
        <w:t xml:space="preserve">dibolehkan menjadi pemimpin karena hadis Abu Bakrah yang melarangnya, maka di </w:t>
        <w:br/>
        <w:t xml:space="preserve">zaman sekarang terjadi perubahan ijtihad hukum di mana perempuan boleh menjadi </w:t>
        <w:br/>
        <w:t>pemimpin sebagaimana ditegaskan dalam Putusan Tarjih tentang Adabul Mar’ah fil-</w:t>
        <w:br/>
        <w:t xml:space="preserve">Islam, yang merupakan putusan Tarjih tahun 1976.17   </w:t>
        <w:br/>
        <w:t>(a) Beberapa contoh tajdid (pemurnian) di bidang ibadah:</w:t>
      </w:r>
    </w:p>
    <w:p>
      <w:r>
        <w:t>Contoh Pertama: Tarawih</w:t>
      </w:r>
    </w:p>
    <w:p>
      <w:r>
        <w:t xml:space="preserve">Tarjih memutuskan rakaat Tarawih hanya 11 rakaat termasuk witir.18 Ini sejalan </w:t>
        <w:br/>
        <w:t>dengan pendapat beberapa ulama terkemuka. Muḥammad Ibn ‘Abd ar-Rahmān al-</w:t>
        <w:br/>
        <w:t>Mubārakfūrī (w. 1353/1935), pensyarah Sunan at-Tirmiżī, menyatakan,</w:t>
      </w:r>
    </w:p>
    <w:p>
      <w:r>
        <w:t xml:space="preserve">Saya (al-Mubārakfūrī) menegaskan bahwa pendapat yang rajih, terpilih dan lebih </w:t>
        <w:br/>
        <w:t xml:space="preserve">kuat dari segi dalilnya adalah pendapat terakhir ini, yang dipilih oleh Mālik untuk </w:t>
        <w:br/>
        <w:t xml:space="preserve">dirinya sendiri, yakni pendapat yang mengatakan bahwa qiyam Ramadan itu sebelas </w:t>
        <w:br/>
        <w:t xml:space="preserve">rakaat. Inilah pendapat yang telah terbukti berasal dari Rasulullah saw berdasarkan </w:t>
        <w:br/>
        <w:t>sanad yang sahih. Ini pula yang diperintahkan ‘Umar Ibn al-Khaṭṭāb r.a. Adapun</w:t>
      </w:r>
    </w:p>
    <w:p>
      <w:r>
        <w:t xml:space="preserve">17 Hadis Nabi saw yang melarang mengangkat wanita sebagai pemimpin adalah sabdanya, “Tidak </w:t>
        <w:br/>
        <w:t>beruntung suatu kaum yang mengangkat wanita sebagai pemimpin mereka” (HR al-Bukhārī dan an-</w:t>
        <w:br/>
        <w:t>Nasā’ī). Lihat al-Bukhārī, Ṣaḥīḥ al-Bukhārī, disunting oleh Ṣidqī Jamīl al-‘Aṭṭār (Beirut: Dār al-Fikr li aṭ-</w:t>
        <w:br/>
        <w:t xml:space="preserve">Ṭibā‘ah wa an-Nasyr wa at-Tauzī, t.t.), h. 1082, hadis nomor 4425 dan h. 1783, hadis nomor 7089; dan </w:t>
        <w:br/>
        <w:t>an-Nasā‘ī, Sunan an-Nasā’ī, disunting oleh Ṣidqī Jamīl al-‘Aṭṭār (Beirut: Dār al-Fikr li aṭ-Ṭibā‘ah wa an-</w:t>
        <w:br/>
        <w:t xml:space="preserve">Nasyr wa at-Tauzī, 1426/2005), h. 1211, hadis nomor 5398. Mengenai keputusan Tarjih Muhammadiyah </w:t>
        <w:br/>
        <w:t xml:space="preserve">tentang masalah ini lihat Majelis Tarjih dan Tajdid Pimpinan Pusat Muhammadiyah, Adabul Mar’ah fil </w:t>
        <w:br/>
        <w:t xml:space="preserve">Islam (Yogyakarta: Penerbit Muhammadiyah, 2012), h. 74-77; lihat juga Tim PP Muhammadiyah Majelis </w:t>
        <w:br/>
        <w:t>Tarjih, Tanya Jawab Agama, cetakan ke-7 (Yogyakarta: Penerbit Suara Muhammadiyah, 2012), h. 240-</w:t>
        <w:br/>
        <w:t xml:space="preserve">244. </w:t>
        <w:br/>
        <w:t xml:space="preserve">18 Majelis Tarjih dan Pengembangan Pemikiran Islam, TuntunanRamadan dan Idul Fitri, cet. ke-1 </w:t>
        <w:br/>
        <w:t>(Yogyakarta: Suara Muhammadiyah, 2005), h. 69.</w:t>
      </w:r>
    </w:p>
    <w:p>
      <w:r>
        <w:t>9</w:t>
      </w:r>
    </w:p>
    <w:p>
      <w:r>
        <w:t xml:space="preserve">pendapat-pendapat lainnya tidak ada bukti berasal dari Rasulullah saw berdasarkan </w:t>
        <w:br/>
        <w:t xml:space="preserve">sanad yang sahih, dan tidak ada bukti pula diperintahkan oleh seorang pun dari </w:t>
        <w:br/>
        <w:t>Khulafa Rasyidin berdasarkan sanad yang sahih yang tidak diperdebatkan lagi.19</w:t>
      </w:r>
    </w:p>
    <w:p>
      <w:r>
        <w:t xml:space="preserve">Ibn al-‘Arabī (w. 543/1148), seorang fakih dan ulama Maliki, mengatakan, “Yang </w:t>
        <w:br/>
        <w:t xml:space="preserve">benar adalah bahwa salat tarawih itu dilakukan sebelas rakaat rakaat [yang merupakan] </w:t>
        <w:br/>
        <w:t xml:space="preserve">salat dan qiyam Nabi saw. Adapun bilangan rakaat lainnya tidak ada dasarnya … … … </w:t>
        <w:br/>
        <w:t xml:space="preserve">Salat tarawih itu adalah qiyamul-lail, oleh sebab itu wajib mencontoh Nabi saw dalam </w:t>
        <w:br/>
        <w:t>melaksanakannya.”20</w:t>
      </w:r>
    </w:p>
    <w:p>
      <w:r>
        <w:t xml:space="preserve">Abū al-Ḥasan al-Mubārakfūrī (w. 1414/1993) dalam syarahnya Mir‘āt al-Mafātīḥ </w:t>
        <w:br/>
        <w:t xml:space="preserve">menegaskan, “Alhasil yang terbukti sahih dari Rasulullah saw mengenai qiyam </w:t>
        <w:br/>
        <w:t xml:space="preserve">Ramadan berjamaah adalah sebelas rakaat termasuk witir, bukan lainnya; inilah yang </w:t>
        <w:br/>
        <w:t xml:space="preserve">merupakan sunnah, bukan yang dua puluh rakaat.”21 Ketika mensyarah hadis ‘Ā’isyah </w:t>
        <w:br/>
        <w:t xml:space="preserve">(Hadis 2), al-Kasymīrī dalam kitabnya al-‘Urf asy-Syażī menegaskan, “Riwayat ini </w:t>
        <w:br/>
        <w:t xml:space="preserve">adalah riwayat dalam dua kitab sahih. Menurut hadis-hadis sahih salat tarawih </w:t>
        <w:br/>
        <w:t xml:space="preserve">Rasulullah saw itu adalah delapan rakaat.”22 Artinya delapan rakaat tanpa menghitung </w:t>
        <w:br/>
        <w:t xml:space="preserve">witir. Apabila dihitung witirnya tiga rakaat seperti dalam hadis ‘Ā’isyah, maka jumlah </w:t>
        <w:br/>
        <w:t>seluruhnya adalah sebelas rakaat.</w:t>
      </w:r>
    </w:p>
    <w:p>
      <w:r>
        <w:t>As-Sayūṭī (w. 911/1505) menegaskan,</w:t>
      </w:r>
    </w:p>
    <w:p>
      <w:r>
        <w:t xml:space="preserve">Alhasil, salat tarawih dua puluh rakaat tidak terbukti dilakukan oleh Nabi saw. </w:t>
        <w:br/>
        <w:t xml:space="preserve">Hadis yang dinukil olehnya (Ibn Ḥajar) dari Ṣaḥīḥ Ibn Ḥibbān sejalan dengan </w:t>
        <w:br/>
        <w:t>pendapat yang kami pegangi berdasarkan hadis yang terdapat dalam Ṣaḥīḥ al-</w:t>
        <w:br/>
        <w:t xml:space="preserve">Bukhāri dari ‘Ā’isyah bahwa Nabi saw melakukan salat di bulan Ramadan –dan juga </w:t>
        <w:br/>
        <w:t xml:space="preserve">di bulan lainnya– tidak lebih dari sebelas rakaat. Hadis ‘Ā’isyah ini selaras dengan </w:t>
        <w:br/>
        <w:t xml:space="preserve">hadis Ibn Ḥibbān dalam hal bahwa beliau (Nabi saw) salat tarawih delapan rakaat </w:t>
        <w:br/>
        <w:t>dan melakukan witir tiga rakaat sehingga jumlahnya sebelas rakaat.23</w:t>
      </w:r>
    </w:p>
    <w:p>
      <w:r>
        <w:t xml:space="preserve">Hadis yang menunjukkan bahwa salat tarawih Nabi saw di bulan Ramadan 11 </w:t>
        <w:br/>
        <w:t>rakaat dengan witirnya adalah,</w:t>
      </w:r>
    </w:p>
    <w:p>
      <w:r>
        <w:t xml:space="preserve">٢- </w:t>
        <w:br/>
        <w:t xml:space="preserve"> ِﻪُ ﺳَﺄَلَ ﻋَﺎﺋِﺸَﺔَ رَﺿِﻰَ اﷲ ﻋَﻨْﻬﺎَ ﻛَﻴْﻒَ ﻛَﺎﻧَﺖْ ﺻَﻼَةُ رَﺳُﻮلﲪَْﻦِ أَﻧﻋَﻦْ أَﰉِ ﺳَﻠَﻤَﺔَ ﺑْﻦِ ﻋَﺒْﺪِ اﻟﺮ</w:t>
        <w:br/>
        <w:t>ﻢَ ﰱِ رَﻣَﻀَﺎنَ ﻓـَﻘَﺎﻟَﺖْ ﻣَﺎ ﻛَﺎنَ ﻳَﺰِﻳﺪُ ﰱِ رَﻣَﻀَﺎنَ وَﻻَ ﰱِ ﻏَﲑِْﻩِ ﻋَﻠَﻰ إِﺣْﺪَ ﻰ اﷲ ﻋَﻠَﻴْﻪِ وَﺳَﻠﻪِ ﺻَﻠاﻟﻠ</w:t>
        <w:br/>
        <w:t xml:space="preserve">ى </w:t>
        <w:br/>
        <w:t>ﻋَﺸْﺮَةَ</w:t>
      </w:r>
    </w:p>
    <w:p>
      <w:r>
        <w:t>ﻰ أَرْﺑـَﻌًﺎ ﻓَﻼَ ﺗَﺴَﻞْ ﻋَﻦْ  ﻳُﺼَﻠُ، ﰒ وَﻃُﻮﳍِِﻦﻰ أَرْﺑـَﻌًﺎ ﻓَﻼَ ﺗَﺴَﻞْ ﻋَﻦْ ﺣُﺴْﻨِﻬِﻦرَﻛْﻌَﺔً، ﻳُﺼَﻠ</w:t>
      </w:r>
    </w:p>
    <w:p>
      <w:r>
        <w:t xml:space="preserve">19 Mubārakfūrī, Tuḥfat al-Aḥważī, III: 523; lihat terjemahnya pada Bab VI. </w:t>
        <w:br/>
        <w:t xml:space="preserve">20 Ibn al-‘Arabī, ‘Āriḍat al-Aḥważī, IV: 19, “Bab Mā Jā’a fī Qiyām Ramaḍān” </w:t>
        <w:br/>
        <w:t xml:space="preserve">21 Mubārakfūrī, Mir‘āt al-Mafātīḥ, III: 323. Catatan: Al-Mubārakfūrī yang ini bukan al-Mubārafūrī </w:t>
        <w:br/>
        <w:t xml:space="preserve">pada catatan kaki no. 19 (penulis Bab VI). Al-Mubārakfūrī yang ini adalah Abū al-Ḥasan ‘Ubaidullāh Ibn </w:t>
        <w:br/>
        <w:t xml:space="preserve">Muḥammad al-Mubārakfūrī. </w:t>
        <w:br/>
        <w:t xml:space="preserve">22 Kasymīrī, al-‘Urf asy-Syażī, I: 413. </w:t>
        <w:br/>
        <w:t xml:space="preserve">23 Lihat Nas 16, 17, dan 18. Inilah inti sari utama pandangan as-Sayūṭī, yaitu tidak ada salat </w:t>
        <w:br/>
        <w:t xml:space="preserve">tarawih dua puluh rakaat di zaman Nabi saw. Beliau (Nabi saw) justru salat tarawih delapan rakaat dan </w:t>
        <w:br/>
        <w:t>witir tiga rakaat seperti dalam hadis Jābir riwayat Ibn Ḥibbān.</w:t>
      </w:r>
    </w:p>
    <w:p>
      <w:r>
        <w:t>10</w:t>
      </w:r>
    </w:p>
    <w:p>
      <w:r>
        <w:t>ﻪِ أَﺗـَﻨَﺎمُ ﻗـَﺒْﻞَ أَنْ ﺗُﻮﺗِﺮَ . َﻗَﺎلَ ﻳَﺎﻰ ﺛَﻼَﺛًﺎ ، ﻓـَﻘُﻠْﺖُ ﻳَﺎ رَﺳُﻮلَ اﻟﻠ ﻳُﺼَﻠُ ، ﰒ وَﻃُﻮﳍِِﻦﺣُﺴْﻨِﻬِﻦ</w:t>
        <w:br/>
        <w:t>ﻋَﺎﺋِﺸَﺔُ</w:t>
      </w:r>
    </w:p>
    <w:p>
      <w:r>
        <w:t xml:space="preserve">، إِ </w:t>
        <w:br/>
        <w:t xml:space="preserve"> ﺗـَﻨَﺎﻣَﺎنِ وَﻻَ ﻳـَﻨَﺎمُ ﻗـَﻠْﱮِ ]رواﻩ اﳉﻤﺎﻋﺔ إﻻ اﺑﻦ ﻣﺎﺟﻪ[َ ﻋَﻴـْﲎن</w:t>
      </w:r>
    </w:p>
    <w:p>
      <w:r>
        <w:t xml:space="preserve">2- Dari Abū Salamah Ibn ‘Abd ar-Raḥmān [diriwayatkan] bahwa dia bertanya </w:t>
        <w:br/>
        <w:t xml:space="preserve">kepada ‘Ā’isyah tentang bagaimana salat Rasulullah saw di [bulan] Ramadan. </w:t>
        <w:br/>
        <w:t xml:space="preserve">‘Ā’isyah menjawab: Beliau salat di bulan Ramadan –dan di bulan lainnya– tidak lebih </w:t>
        <w:br/>
        <w:t xml:space="preserve">dari sebelas rakaat. Beliau salat empat rakaat, maka jangan engkau tanya tentang </w:t>
        <w:br/>
        <w:t xml:space="preserve">baik dan lamanya. Kemudian beliau salat lagi empat rakaat, maka jangan engkau </w:t>
        <w:br/>
        <w:t xml:space="preserve">tanya baik dan lamanya. Kemudian beliau salat tiga rakaat. Lalu aku (‘Ā’isyah) </w:t>
        <w:br/>
        <w:t xml:space="preserve">bertanya: Wahai Rasulullah, apakah engkau tidur sebelum mengerjakan witir? Beliau </w:t>
        <w:br/>
        <w:t xml:space="preserve">menjawab: Wahai ‘Ā’isyah, kedua mataku memang tidur, tetapi hatiku tidak tidur [HR </w:t>
        <w:br/>
        <w:t xml:space="preserve">al-Bukhārī dan Muslim].   </w:t>
        <w:br/>
        <w:t xml:space="preserve">٣- </w:t>
        <w:br/>
        <w:t xml:space="preserve"> ، ُﻋَﻦْ ﺟَﺎﺑِﺮِ ﺑْﻦِ ﻋَﺒْﺪِ اﷲِ رَﺿِﻲَ اﷲُ ﻋَﻨْﻪ</w:t>
        <w:br/>
        <w:t>ﻢَ ﻰ اﷲُ ﻋَﻠَﻴْﻪِ وَﺳَﻠﻰ ﺑِﻨَﺎ رَﺳُﻮلُ اﷲِ ﺻَﻠﻗَﺎلَ : ﺻَﻠ</w:t>
        <w:br/>
        <w:t>ﺎ ﻛَﺎﻧَﺖِ اﻟْﻘَﺎﺑِﻠَﺔُ اﺟْﺘَﻤَﻌْﻨَﺎ ﰲِ اﻟْﻤَﺴْﺠِﺪِ وَرَﺟَﻮْﻧَﺎ أَ ﰲِ ﺷَﻬْﺮِ رَﻣَﻀَﺎنَ ﲦََﺎنَ رَﻛَﻌَﺎتٍ وَأَوْﺗـَﺮَ ، ﻓـَﻠَﻤ</w:t>
        <w:br/>
        <w:t xml:space="preserve">نْ </w:t>
        <w:br/>
        <w:t xml:space="preserve"> دَﺧَ ُ أَﺻْﺒَﺤْﻨَﺎ ، ﰒﳜَْﺮُجَ ، ﻓـَﻠَﻢْ ﻧـَﺰَلْ ﻓِﻴﻪِ ﺣَﱴ</w:t>
        <w:br/>
        <w:t xml:space="preserve">ﻠْﻨَﺎ ، ﻓـَﻘُﻠْﻨَﺎ : ﻳَﺎ رَﺳُﻮلَ اﷲِ ، اﺟْﺘَﻤَﻌْﻨَﺎ اﻟْﺒَﺎرِﺣَﺔَ ﰲِ </w:t>
        <w:br/>
        <w:t xml:space="preserve"> ﺧَﺸِﻴﺖُ أَنْ ﻳُﻜْﺘَﺐَ ﻋَﻠَﻴْﻜُﻢْ . ﻻَ ﻲَ ﺑِﻨَﺎ ، ﻓـَﻘَﺎلَ : إِﱐاﻟْﻤَﺴْﺠِﺪِ ، وَرَﺟَﻮْﻧَﺎ أَنْ ﺗُﺼَﻠ</w:t>
        <w:br/>
        <w:t xml:space="preserve">ﻳـُ  </w:t>
        <w:br/>
        <w:t xml:space="preserve">ﺮْوَىْ ﻋَﻦْ </w:t>
        <w:br/>
        <w:t>دَ ﺑِﻪِ ﻳـَ َِﺬاَ اﻹﺳْﻨﺎَدِ ﺗـَﻔَﺮ ﺟﺎَﺑِﺮِ ﺑْﻦِ ﻋَﺒْﺪِ اﷲ إﻻ</w:t>
        <w:br/>
        <w:t xml:space="preserve">ﻌْﻘُﻮْبُ ، وَﻫُﻮَ ﺛِﻘَﺔٌ ]رواﻩ اﻟﻄﱪاﱐ )وﻫﺬا ﻟﻔﻈﻪ ﰲ </w:t>
        <w:br/>
        <w:t>اﻟﺼﻐﲑ( وأﺑﻮ ﻳﻌﻠﻰ، واﺑﻦ اﳌﻨﺬر، واﺑﻦ ﺧﺰﳝﺔ، واﺑﻦ ﺣﺒﺎن، واﳌﺮوزي[.</w:t>
      </w:r>
    </w:p>
    <w:p>
      <w:r>
        <w:t xml:space="preserve">3. Dari Jābir Ibn ‘Abdillāh r.a., ia berkata, “Rasulullah saw salat bersama kami di </w:t>
        <w:br/>
        <w:t xml:space="preserve">bulan Ramadan delapan rakaat dan melakukan witir. Lalu pada malam berikutnya </w:t>
        <w:br/>
        <w:t xml:space="preserve">kami berkumpul di masjid dan mengharapkan beliau keluar [tetapi beliau tidak </w:t>
        <w:br/>
        <w:t xml:space="preserve">keluar]. Kami tetap menunggu di masjid hingga tiba waktu subuh. Kemudian kami </w:t>
        <w:br/>
        <w:t xml:space="preserve">masuk [menemui Rasulullah saw] dan mengatakan, ‘Wahai Rasulullah, tadi malam </w:t>
        <w:br/>
        <w:t xml:space="preserve">kami berkumpul di masjid dan berharap engkau salat mengimami kami.’ Lalu beliau </w:t>
        <w:br/>
        <w:t xml:space="preserve">menjawab, ‘Saya khawatir kalau-kalau hal itu menjadi wajib atasmu.’’’ [Aṭ-Ṭabarānī </w:t>
        <w:br/>
        <w:t xml:space="preserve">berkata]: Hadis ini diriwayatkan dari Jābir hanya dengan sanad ini, di mana Ya‘qūb </w:t>
        <w:br/>
        <w:t xml:space="preserve">menyendiri meriwayatkannya. Namun dia adalah seorang terpercaya [HR aṭ-Ṭabarānī </w:t>
        <w:br/>
        <w:t xml:space="preserve">(ini adalah lafalnya dalam al-Mu‘jam aṣ-Ṣagīr), Abū Ya‘lā, Ibn al-Munżir, Ibn </w:t>
        <w:br/>
        <w:t xml:space="preserve">Khuzaimah, Ibn Ḥibbān dan al-Marważī]. Hadis ini hasan menurut Ibn Ḥajar dan </w:t>
        <w:br/>
        <w:t xml:space="preserve">pertengahan menurut aż-Żahabī. An-Nīmawī menyatakannya sedikit daif. Tetapi </w:t>
        <w:br/>
        <w:t xml:space="preserve">pendaifan oleh an-Nīmawī ini dibantah oleh al-Mubārakfūrī yang memandangnya </w:t>
        <w:br/>
        <w:t>hasan.24</w:t>
      </w:r>
    </w:p>
    <w:p>
      <w:r>
        <w:t xml:space="preserve">٤- </w:t>
        <w:br/>
        <w:t xml:space="preserve"> َﻋَﻦْ ﺟَﺎﺑِﺮِ ﺑْﻦِ ﻋ</w:t>
        <w:br/>
        <w:t>ﻢَ ، ﻰ اﷲُ ﻋَﻠَﻴْﻪِ وَﺳَﻠﻪِ ﺻَﻠ ﺑْﻦُ ﻛَﻌْﺐٍ إِﱃَ رَﺳُﻮلِ اﻟﻠَﻪِ ، ﻗَﺎلَ ﺟَﺎءَ أُﰊﺒْﺪِ اﻟﻠ</w:t>
        <w:br/>
        <w:t xml:space="preserve"> َﻴـْﻠَﺔَ ﺷَﻲْءٌ ﻳـَﻌْﲏِ ﰲِ رَﻣَﻀَﺎنَ ، ﻗَﺎلَ : وَﻣَﺎ ذَاكَ ﻳَﺎ أُﰊ اﻟﻠﻪِ ، إِنْ ﻛَﺎنَ ﻣِﲏﻓـَﻘَﺎلَ : ﻳَﺎ رَﺳُﻮلَ اﻟﻠ</w:t>
        <w:br/>
        <w:t>؟</w:t>
      </w:r>
    </w:p>
    <w:p>
      <w:r>
        <w:t xml:space="preserve">24 Mubārakfūrī, Tuḥfat al-Aḥważī, III: 525, lihat juga Salat Tarawih: Tinjauan Usul Fikih, Sejarah </w:t>
        <w:br/>
        <w:t>dan Fikih (Yogyakarta: Suara Muhammadiyah, 2013), h. 263-269, Nas 17.</w:t>
      </w:r>
    </w:p>
    <w:p>
      <w:r>
        <w:t>11</w:t>
      </w:r>
    </w:p>
    <w:p>
      <w:r>
        <w:t>ِﻗَﺎلَ : ﻧِﺴْﻮَةٌ ﰲِ دَار</w:t>
        <w:br/>
        <w:t xml:space="preserve"> ﲦََﺎنَ ِِﻦ ُﻴْﺖﻲ ﺑِﺼَﻼﺗِﻚَ ، ﻗَﺎلَ : ﻓَﺼَﻠﺎ ﻻ ﻧـَﻘْﺮَأُ اﻟْﻘُﺮْآنَ ﻓـَﻨُﺼَﻠي ، ﻗـُﻠْﻦَ : إِﻧ</w:t>
        <w:br/>
        <w:t>ﺿَﺎ وَﱂَْ ﻳـَﻘُﻞْ ﺷَﻴْﺌًﺎ ]رواﻩ أﺑﻮ ﻳﻌﻠﻰ، واﻟﻠﻔﻆ ﻟﻪ،  أَوْﺗـَﺮْتُ ، ﻗَﺎلَ : ﻓَﻜَﺎنَ ﺷِﺒْﻪُ اﻟﺮُرَﻛَﻌَﺎتٍ ، ﰒ</w:t>
        <w:br/>
        <w:t>واﻟﻄﱪاﱐ واﺑﻦ ﺣﺒﺎن واﳌﺮوزي[</w:t>
      </w:r>
    </w:p>
    <w:p>
      <w:r>
        <w:t xml:space="preserve">4: Dari Jābir Ibn ‘Abdillāh, ia berkata: Ubayy Ibn Ka‘b datang kepada Rasulullah </w:t>
        <w:br/>
        <w:t xml:space="preserve">saw. Lalu ia berkata: Wahai Rasulullah, telah terjadi sesuatu dengan saya tadi </w:t>
        <w:br/>
        <w:t xml:space="preserve">malam –maksudnya di bulan Ramadan. Rasulullah saw bertanya: Apa itu, Jābir? </w:t>
        <w:br/>
        <w:t xml:space="preserve">Beliau menjawab: Beberapa perempuan di rumah saya mengatakan: Kami tidak </w:t>
        <w:br/>
        <w:t xml:space="preserve">bisa membaca al-Quran, oleh karena itu kami akan salat [qiyam Ramadan] </w:t>
        <w:br/>
        <w:t xml:space="preserve">mengikuti salatmu. Jābir melanjutkan: Lalu aku salat mengimami mereka delapan </w:t>
        <w:br/>
        <w:t xml:space="preserve">rakaat. Kemudian aku melakukan witir. Jābir melanjutkan lagi: Rasulullah saw tidak </w:t>
        <w:br/>
        <w:t xml:space="preserve">mengatakan sesuatu, tampaknya beliau rida [HR Abū Ya‘lā (ini lafalnya), Ibn </w:t>
        <w:br/>
        <w:t xml:space="preserve">Ḥibbān, aṭ-Ṭabarānī, dan al- Marwazī]. Hadis ini hasan menurut al-Haiṡamī dalam </w:t>
        <w:br/>
        <w:t>Majma‘ az-Zawā’id.25</w:t>
      </w:r>
    </w:p>
    <w:p>
      <w:r>
        <w:t xml:space="preserve">٥- </w:t>
        <w:br/>
        <w:t xml:space="preserve"> ِﺎﺋِﺐﺪِ ﺑْﻦِ ﻳُﻮﺳُﻒَ ﻋَﻦِ اﻟﺴﻋَﻦْ ﻣَﺎﻟِﻚٍ ﻋَﻦْ ﳏَُﻤ</w:t>
      </w:r>
    </w:p>
    <w:p>
      <w:r>
        <w:t>ﺎبِ ﻪُ ﻗَﺎلَ أَﻣَﺮَ ﻋُﻤَﺮُ ﺑْﻦُ اﳋَْﻄﺑْﻦِ ﻳَﺰِﻳﺪَ أَﻧ</w:t>
        <w:br/>
        <w:t>ﺎسِ ﺑِﺈِﺣْﺪَى ﻋَﺸْﺮَةَ رَﻛْﻌَﺔً ... ... ... ]رواﻩ ﻣﺎﻟﻚ،  أَنْ ﻳـَﻘُﻮﻣَﺎ ﻟِﻠﻨارِى ﺑْﻦَ ﻛَﻌْﺐٍ وَﲤَِﻴﻤًﺎ اﻟﺪَأُﰉ</w:t>
        <w:br/>
        <w:t>واﻟﻠﻔﻆ ﻟﻪ، واﻟﺒﻴﻬﻘﻲ، واﻟﻄﺤﺎوي، واﻟﻔﺮﻳﺎﰊ، وﲨﻴﻊ ﻫﺆﻻء ﻋﻦ ﻃﺮﻳﻖ ﻣﺎﻟﻚ، ورواﻩ أﻳﻀ</w:t>
        <w:br/>
        <w:t xml:space="preserve">ﺎ </w:t>
        <w:br/>
        <w:t>اﳌﺮوزي[.</w:t>
      </w:r>
    </w:p>
    <w:p>
      <w:r>
        <w:t xml:space="preserve">5: Dari Mālik, dari Muḥammad Ibn Yūsuf, dari as-Sā’ib Ibn Yazīd bahwa ia </w:t>
        <w:br/>
        <w:t xml:space="preserve">berkata: Umar Ibn al-Khaṭṭāb memerintahkan Ubayy Ibn Ka‘b dan Tamīm ad-Dārī </w:t>
        <w:br/>
        <w:t xml:space="preserve">agar mengimami orang banyak melakukan qiyam Ramadan sebelas rakaat ... ... ... </w:t>
        <w:br/>
        <w:t xml:space="preserve">[HR Mālik (ini adalah lafalnya), al-Baihaqī, aṭ-Ṭaḥāwī, al-Firyābī (semua mereka ini </w:t>
        <w:br/>
        <w:t>melalui Mālik), dan al-Marwazī].</w:t>
      </w:r>
    </w:p>
    <w:p>
      <w:r>
        <w:t xml:space="preserve">Terdapat hadis dari Ibn ‘Abbās yang menyatakan Nabi saw salat tarawih 20 </w:t>
        <w:br/>
        <w:t xml:space="preserve">rakaat, </w:t>
        <w:br/>
        <w:t>٧- ﺎسٍ ﻗَﺎﻋَﻦِ اﺑْﻦِ ﻋَﺒ</w:t>
        <w:br/>
        <w:t>ﻰ ﰱِ ﺷَﻬْﺮِ رَﻣَﻀَﺎنَ ﰱِ ﻏَﲑِْ ﻢَ ﻳُﺼَﻠﻰ اﷲُ ﻋَﻠَﻴْﻪِ وَﺳَﻠ ﺻَﻠِﱮلَ : ﻛَﺎنَ اﻟﻨ</w:t>
        <w:br/>
        <w:t xml:space="preserve"> ِ اﻟْﻜُﻮﰱدَ ﺑِﻪِ أَﺑُﻮ ﺷَﻴْﺒَﺔَ إِﺑـْﺮَاﻫِﻴﻢُ ﺑْﻦُ ﻋُﺜْﻤَﺎنَ اﻟْﻌَﺒْﺴِﻰﲨََﺎﻋَﺔٍ ﺑِﻌِﺸْﺮِﻳﻦَ رَﻛْﻌَﺔً وَاﻟْﻮِﺗـْﺮَ. ﺗـَﻔَﺮ</w:t>
        <w:br/>
        <w:t xml:space="preserve">. وَﻫُﻮَ </w:t>
        <w:br/>
        <w:t>ﺿَﻌِﻴﻒٌ.</w:t>
      </w:r>
    </w:p>
    <w:p>
      <w:r>
        <w:t>]رواﻩ اﻟﺒﻴﻬﻘﻲ[</w:t>
      </w:r>
    </w:p>
    <w:p>
      <w:r>
        <w:t xml:space="preserve">7: Dari Ibn ‘Abbās, ia berkata: Adalah Rasulullah saw salat di bulan Ramadan </w:t>
        <w:br/>
        <w:t xml:space="preserve">tanpa berjamaah dua puluh rakaat dan mengerjakan witir. Abū Syaibah Ibrāhīm Ibn </w:t>
        <w:br/>
        <w:t xml:space="preserve">‘Usmān al-‘Absī al-Kūfī menyendiri dalam meriwayatkan hadis ini. Ia adalah seorang </w:t>
        <w:br/>
        <w:t>rawi daif. [HR al-Baihaqī].</w:t>
      </w:r>
    </w:p>
    <w:p>
      <w:r>
        <w:t xml:space="preserve">25 Haiṡamī, Majma‘ az-Zawā’id, II: 179, hadis no. 2378, “Kitāb aṣ-Ṣalāh”, “Bāb fī ar-Rajul </w:t>
        <w:br/>
        <w:t>Ya’ummu an-Nisā”.</w:t>
      </w:r>
    </w:p>
    <w:p>
      <w:r>
        <w:t>12</w:t>
      </w:r>
    </w:p>
    <w:p>
      <w:r>
        <w:t xml:space="preserve">Hadis ini sering dikutip secara tidak kritis. Bahkan secara keliru oleh beberapa </w:t>
        <w:br/>
        <w:t xml:space="preserve">fukaha dalam kitab-kitab fikih dijadikan landasan salat tarawih dua puluh rakaat, bahkan </w:t>
        <w:br/>
        <w:t xml:space="preserve">lagi dicampuradukkan dengan hadis lain yang sahih. Ar-Rāfi‘ī (w. 623/1226), misalnya, </w:t>
        <w:br/>
        <w:t xml:space="preserve">mengatakan, “Salat tarawih itu dua puluh rakaat dengan sepuluh salam … … … </w:t>
        <w:br/>
        <w:t xml:space="preserve">berdasarkan hadis bahwa ‘Nabi saw salat mengimami jamaah dua puluh rakaat pada </w:t>
        <w:br/>
        <w:t xml:space="preserve">dua malam pertama, dan pada malam ketiga jamaah telah berkumpul, namun beliau </w:t>
        <w:br/>
        <w:t>tidak muncul [untuk salat] bersama mereka … … …’”26</w:t>
      </w:r>
    </w:p>
    <w:p>
      <w:r>
        <w:t xml:space="preserve">Ini jelas pencampuran hadis Ibn ‘Abbās yang daif (hadis 7) bahwa Nabi saw salat </w:t>
        <w:br/>
        <w:t xml:space="preserve">tarawih dua puluh rakaat dengan hadis sahih dari ‘Ā’isyah riwayat al-Bukhāri dan </w:t>
        <w:br/>
        <w:t xml:space="preserve">Muslim  bahwa Nabi saw tidak keluar pada malam ketiga atau keempat.27 Editornya </w:t>
        <w:br/>
        <w:t xml:space="preserve">juga alpa di mana tidak mencermati dan tidak membandingkan matan yang dikutip oleh </w:t>
        <w:br/>
        <w:t xml:space="preserve">ar-Rāfi‘ī dan matan asli dari al-Bukhāri sendiri. Editor dengan enteng mengatakan, </w:t>
        <w:br/>
        <w:t xml:space="preserve">“Diriwayatkan oleh al-Bukhārī,” padahal dalam al-Bukhārī tidak ada salat tarawih dua </w:t>
        <w:br/>
        <w:t>puluh rakaat. Hal yang persis sama juga terjadi dengan al-‘Imrānī dalam kitabnya al-</w:t>
        <w:br/>
        <w:t>Bayān.28</w:t>
      </w:r>
    </w:p>
    <w:p>
      <w:r>
        <w:t xml:space="preserve">Terhadap ar-Rafi‘ī, Ibn Ḥajar menanggapi dengan mengatakan bahwa </w:t>
        <w:br/>
        <w:t xml:space="preserve">hadis‘Ā’isyah (Nas 7) itu disepakati kesahihannya, tetapi tidak menyebutkan jumlah </w:t>
        <w:br/>
        <w:t xml:space="preserve">rakaat salat tarawih. Bilangan rakaat itu terdapat dalam hadis riwayat Ibn Ḥibbān dari </w:t>
        <w:br/>
        <w:t xml:space="preserve">Jābir (maksudnya Hadis 3) yang menyatakan bahwa Nabi saw salat delapan rakaat dan </w:t>
        <w:br/>
        <w:t xml:space="preserve">melakukan witir. Hadis ini menyangkal hadis yang disebutkan oleh pengarang (ar-Rāfi‘ī) </w:t>
        <w:br/>
        <w:t xml:space="preserve">bahwa salat tarawih itu adalah dua puluh. Hadis salat tarawih dua puluh rakaat itu </w:t>
        <w:br/>
        <w:t>diriwayatkan oleh al-Baihaqī dan al-Baihaqī menyatakannya daif.29</w:t>
      </w:r>
    </w:p>
    <w:p>
      <w:r>
        <w:t xml:space="preserve">Hadis salat tarawih dua puluh riwayat Ibn ‘Abbās (hadis 7) yang dikutip di atas </w:t>
        <w:br/>
        <w:t xml:space="preserve">memang sangat daif. Al-Baihaqī sebagai salah seorang rawinya mengatakan, “Abū </w:t>
        <w:br/>
        <w:t>Syaibah Ibrāhīm Ibn ‘Usmān al-‘Absī al-Kūfī [salah seorang rawi dalam sanad hadis ini]</w:t>
      </w:r>
    </w:p>
    <w:p>
      <w:r>
        <w:t xml:space="preserve">26 Rafi‘ī, al-‘Azīz, II: 133.  </w:t>
        <w:br/>
        <w:t xml:space="preserve">27 Hadis dimaksud adqalah, </w:t>
        <w:br/>
        <w:t xml:space="preserve"> َ اﻟْﻤُﺆْﻣِﻨِﲔَ رﻋَﻦْ ﻋَﺎﺋِﺸَﺔَ أُم</w:t>
        <w:br/>
        <w:t xml:space="preserve"> ِﺿ َﻰ </w:t>
        <w:br/>
        <w:t xml:space="preserve">اﷲ ﻋَ </w:t>
        <w:br/>
        <w:t xml:space="preserve"> ﻬﺎَ ﻨْ </w:t>
        <w:br/>
        <w:t>ﻪِ ﺻَ  رَﺳُﻮلَ اﻟﻠأَن</w:t>
        <w:br/>
        <w:t xml:space="preserve"> ﻠ</w:t>
        <w:br/>
        <w:t xml:space="preserve">ﻰ اﷲ ﻋَ </w:t>
        <w:br/>
        <w:t xml:space="preserve"> َﻠ ْﻴ ِﻪ  َو َﺳ ﻠ َﻢ </w:t>
        <w:br/>
        <w:t>ﻰ ﻰ ذَاتَ ﻟَﻴـْﻠَﺔٍ ﰱِ اﻟْﻤَﺴْﺠِﺪِ ﻓَﺼَﻠﺻَﻠ</w:t>
        <w:br/>
        <w:t>ﺎﻟِﺜَﺔِ أَوِ اﻴـْﻠَﺔِ اﻟﺜ اﺟْﺘَﻤَﻌُﻮا ﻣِﻦَ اﻟﻠُﺎسُ ، ﰒﻰ ﻣِﻦَ اﻟْﻘَﺎﺑِﻠَﺔِ ﻓَﻜَﺜـُﺮَ اﻟﻨ ﺻَﻠُﺑِﺼَﻼَﺗِﻪِ ﻧَﺎسٌ ، ﰒ</w:t>
        <w:br/>
        <w:t>اﺑِﻌَﺔِ ، ﻓـَﻠَﻢْ ﳜَْﺮُجْ إِﻟَﻴْﻬِﻢْ رَﺳُﻮلُ ﻟﺮ</w:t>
        <w:br/>
        <w:t>ﻪِ ﺻَ اﻟﻠ</w:t>
        <w:br/>
        <w:t xml:space="preserve"> ﻠ</w:t>
        <w:br/>
        <w:t xml:space="preserve">ﻰ اﷲ </w:t>
        <w:br/>
        <w:t xml:space="preserve"> َﻋ َﻠ ْﻴ ِﻪ  َو َﺳ ﻠ َﻢ </w:t>
        <w:br/>
        <w:t xml:space="preserve"> ﺧَﺸِﻴﺖُ  أَﱏﺬِى ﺻَﻨـَﻌْﺘُﻢْ وَﱂَْ ﳝَْﻨـَﻌْﲎِ ﻣِﻦَ اﳋُْﺮُوجِ إِﻟَﻴْﻜُﻢْ إِﻻﺎ أَﺻْﺒَﺢَ ﻗَﺎلَ ﻗَﺪْ رَأَﻳْﺖُ اﻟ، ﻓـَﻠَﻤ</w:t>
        <w:br/>
        <w:t xml:space="preserve"> أَنْ </w:t>
        <w:br/>
        <w:t xml:space="preserve">ﺗـُﻔْﺮَضَ ﻋَﻠَﻴْﻜُﻢْ ، وَذَﻟِﻚَ ﰱِ رَﻣَﻀَﺎنَ  </w:t>
        <w:br/>
        <w:t>]رواﻩ اﻟﺒﺨﺎري، واﻟﻠﻔﻆ ﻟﻪ، وﻣﺴﻠﻢ، واﻟﻨﺴﺎﺋﻲ، وأﲪﺪ، واﺑﻦ ﺧﺰﳝ</w:t>
        <w:br/>
        <w:t xml:space="preserve">ﺔ، واﺑﻦ </w:t>
        <w:br/>
        <w:t>ﺣﺒﺎن[.</w:t>
      </w:r>
    </w:p>
    <w:p>
      <w:r>
        <w:t xml:space="preserve">Dari ‘Ā’isyah Ummul-Mu’minīn r.a. [diriwayatkan] bahwa Rasulullah saw salat pada suatu </w:t>
        <w:br/>
        <w:t xml:space="preserve">malam di masjid, lalu beberapa orang lelaki ikut salat bersama beliau. Kemudian beliau salat [lagi] </w:t>
        <w:br/>
        <w:t xml:space="preserve">pada malam berikutnya dan orang bertambah banyak. Kemudian mereka berkumpul pada malam </w:t>
        <w:br/>
        <w:t xml:space="preserve">ketiga atau keempat, namun Rasulullah saw tidak keluar kepada mereka. Ketika tiba waktu subuh, </w:t>
        <w:br/>
        <w:t xml:space="preserve">beliau berkata, “Saya melihat apa yang kamu lakukan. Aku tidak keluar menemui kalian bukan karena </w:t>
        <w:br/>
        <w:t xml:space="preserve">apa-apa, melainkan aku khawatir kalau-kalau hal itu menjadi wajib atas kamu.” Ini terjadi di [bulan] </w:t>
        <w:br/>
        <w:t xml:space="preserve">Ramadan [HR al-Bukhārī (ini adalah lafalnya), Muslim, Abū Dāwūd, an-Nasā’ī, Aḥmad, Ibn </w:t>
        <w:br/>
        <w:t xml:space="preserve">Khuzaimah, dan Ibn Ḥibbān]. </w:t>
        <w:br/>
        <w:t xml:space="preserve">28 ‘Imrānī, al-Bayān, II: 275.   </w:t>
        <w:br/>
        <w:t>29 Ibn Ḥajar, Talkhīṣ al-Ḥabīr, II: 45-46.</w:t>
      </w:r>
    </w:p>
    <w:p>
      <w:r>
        <w:t>13</w:t>
      </w:r>
    </w:p>
    <w:p>
      <w:r>
        <w:t xml:space="preserve">menyendiri dalam meriwayatkan hadis ini. Ia adalah seorang rawi daif.”30 Hadis ini tidak </w:t>
        <w:br/>
        <w:t xml:space="preserve">dapat dijadikan hujah untuk mendukung bahwa salat tarawih dua puluh rakaat karena </w:t>
        <w:br/>
        <w:t xml:space="preserve">hadis ini disepakati oleh semua ahli hadis tanpa kecuali sebagai hadis daif. Bahkan </w:t>
        <w:br/>
        <w:t xml:space="preserve">beberapa menyatakannya sebagai hadis mungkar karena ia adalah hadis daif yang </w:t>
        <w:br/>
        <w:t>bertentangan dengan hadis-hadis lain yang sahih.</w:t>
      </w:r>
    </w:p>
    <w:p>
      <w:r>
        <w:t xml:space="preserve">Az-Zaila‘ī (w. 762/1360) mengemukakan hasil penyelidikannya mengenai hadis </w:t>
        <w:br/>
        <w:t>ini dengan mengatakan,</w:t>
      </w:r>
    </w:p>
    <w:p>
      <w:r>
        <w:t xml:space="preserve">Hadis ini adalah maklul karena Abū Syaibah Ibrāhīm Ibn ‘Uṡmān –kakek dari </w:t>
        <w:br/>
        <w:t xml:space="preserve">Imam Abū Bakr Ibn Abī Syaibah– disepakati kedaifannya. Ibn ‘Adī dalam al-Kāmil </w:t>
        <w:br/>
        <w:t xml:space="preserve">menyatakannya lemah. Kemudian hadis ini bertentangan dengan hadis sahih dari </w:t>
        <w:br/>
        <w:t xml:space="preserve">Abū Salamah Ibn ‘Abd ar-Raḥmān yang bertanya kepada ‘Ā’isyah tentang </w:t>
        <w:br/>
        <w:t xml:space="preserve">bagaimana salat Rasulullah saw di [bulan] Ramadan. ‘Ā’isyah menjawab: Beliau </w:t>
        <w:br/>
        <w:t xml:space="preserve">salat di bulan Ramadan –dan di bulan lainnya– tidak lebih dari sebelas rakaat … … </w:t>
        <w:br/>
        <w:t>…31</w:t>
      </w:r>
    </w:p>
    <w:p>
      <w:r>
        <w:t xml:space="preserve">As-Sayūṭī (w. 911/1505), seorang ulama Syafii terkemuka, menegaskan, “Tidak </w:t>
        <w:br/>
        <w:t xml:space="preserve">ada bukti bahwa Nabi saw salat [tarawih] dua puluh rakaat … … … Orang-orang yang </w:t>
        <w:br/>
        <w:t xml:space="preserve">beranggapan bahwa salat tarawih itu adalah dua puluh rakaat berpegang kepada </w:t>
        <w:br/>
        <w:t xml:space="preserve">sebuah hadis yang sebenarnya tidak dapat dijadikan hujah.” Hadis yang beliau maksud </w:t>
        <w:br/>
        <w:t xml:space="preserve">adalah hadis Ibn ‘Abbās di atas. Terhadap hadis itu ia menyatakan, “Saya menegaskan </w:t>
        <w:br/>
        <w:t>bahwa hadis ini sangat daif, tidak bisa dijadikan hujah.”32</w:t>
      </w:r>
    </w:p>
    <w:p>
      <w:r>
        <w:t xml:space="preserve">Al-Mubārakfūrī, pensyarah Sunan at-Tirmiżī, menyatakan, “Hadis ini sangat </w:t>
        <w:br/>
        <w:t xml:space="preserve">lemah, tidak dapat dijadikan dalil. Oleh karena itu argumentasi mereka dengan hadis ini </w:t>
        <w:br/>
        <w:t xml:space="preserve">tidaklah tepat.”33 Kemudian ia mengutip beberapa ulama antara lain an-Nīmawī yang </w:t>
        <w:br/>
        <w:t>menegaskan,</w:t>
      </w:r>
    </w:p>
    <w:p>
      <w:r>
        <w:t xml:space="preserve">Hadis ini (hadis Ibn ‘Abbās bahwa Nabi saw salat tarawih dua puluh rakaat) </w:t>
        <w:br/>
        <w:t xml:space="preserve">diriwayatkan oleh ‘Abd Ibn Ḥumaid al-Kusysyī dalam Musnad-nya, al-Bagawī dalam </w:t>
        <w:br/>
        <w:t xml:space="preserve">Mu‘jam-nya, aṭ-Ṭabarānī dalam al-Mu‘jam al-Kabīr, dan al-Baihaqī dalam Sunan-nya, </w:t>
        <w:br/>
        <w:t xml:space="preserve">seluruh mereka melalui jalur Abū Syaibah Ibrāhīm Ibn ‘Uṡmān –kakek Imam Abū </w:t>
        <w:br/>
        <w:t xml:space="preserve">Bakr Ibn Abī Syaibah– yang merupakan seorang rawi daif. Setelah meriwayatkan </w:t>
        <w:br/>
        <w:t xml:space="preserve">hadis ini al-Baihaqī mengatakan, “Abū Syaibah Ibrāhīm Ibn ‘Uṡmān al-‘Absī al-Kūfī </w:t>
        <w:br/>
        <w:t xml:space="preserve">menyendiri dalam meriwayatkan hadis ini, dan dia adalah rawi daif.” Al-Mizzī </w:t>
        <w:br/>
        <w:t xml:space="preserve">menegaskan dalam Tahżīb al-Kamāl bahwa Aḥmad, Yaḥyā, dan Abū Dāwūd </w:t>
        <w:br/>
        <w:t xml:space="preserve">menyatakan bahwa ia (Ibrāhīm Ibn ‘Uṡmān) adalah daif. Yaḥya juga mengatakan ia </w:t>
        <w:br/>
        <w:t xml:space="preserve">tidak terpercaya. An-Nasā’ī dan ad-Dūlābī mengatakan hadisnya matruk. Abū Ḥātim </w:t>
        <w:br/>
        <w:t xml:space="preserve">mengatakan hadisnya daif dan para ahli hadis tidak menanggapinya (sakatū ‘anhu). </w:t>
        <w:br/>
        <w:t xml:space="preserve">Ṣāliḥ [Ibn Muḥammad al-Bagdādī] mengatakannya seorang daif, dan tidak ditulis </w:t>
        <w:br/>
        <w:t xml:space="preserve">hadisnya. Al-Mizzī mengatakan lagi, “Di antara hadis-hadis mungkar yang </w:t>
        <w:br/>
        <w:t xml:space="preserve">diriwayatkannya adalah hadis bahwa Nabi saw salat di bulan Ramadan dua puluh </w:t>
        <w:br/>
        <w:t>rakaat.” Hal yang sama dikemukakan pula dalam Mīzān al-I‘tidāl. Dalam Taqrīb at-</w:t>
        <w:br/>
        <w:t>Tahżīb al-Ḥafiẓ [Ibn Ḥajar] mengatakan hadisnya matruk.34</w:t>
      </w:r>
    </w:p>
    <w:p>
      <w:r>
        <w:t xml:space="preserve">30 Baihaqī, as-Sunan al-Kubrā, II: 698, hadis no. 4615, “Bāb Ma Ruwiya fī ‘Adad Raka‘āt al-Qiyām </w:t>
        <w:br/>
        <w:t xml:space="preserve">fī Syahr Ramaḍān”. Lihat analisis kritis mengenai hadis ini pada Bab VI buku ini, Nas 38-43.  </w:t>
        <w:br/>
        <w:t xml:space="preserve">31 Zaila‘ī, Naṣb ar-Rāyah, II: 154. </w:t>
        <w:br/>
        <w:t xml:space="preserve">32 Lihat awal Bab IV buku ini. </w:t>
        <w:br/>
        <w:t xml:space="preserve">33 Mubārakfūrī, Tuḥfat al-Aḥważī, III: 529. </w:t>
        <w:br/>
        <w:t>34 Ibid.</w:t>
      </w:r>
    </w:p>
    <w:p>
      <w:r>
        <w:t>14</w:t>
      </w:r>
    </w:p>
    <w:p>
      <w:r>
        <w:t>As-Subkī (w. 756/1355) mengutip al-Jūrī sebagai berikut,</w:t>
      </w:r>
    </w:p>
    <w:p>
      <w:r>
        <w:t xml:space="preserve">Al-Jūrī, salah seorang ulama mazhab kami [mazhab Syafii],35 meriwayatkan dari </w:t>
        <w:br/>
        <w:t xml:space="preserve">Mālik bahwa ia berkata, “Salat yang jamaahnya disatukan oleh ‘Umar Ibn al-Khaṭṭāb </w:t>
        <w:br/>
        <w:t xml:space="preserve">[di bawah satu imam] lebih saya sukai, yaitu sebelas rakaat, dan itulah salat </w:t>
        <w:br/>
        <w:t xml:space="preserve">Rasulullah saw.” Ditanyakan kepada beliau, “Sebelas rakaat dengan witir maksud </w:t>
        <w:br/>
        <w:t xml:space="preserve">anda?” Mālik menjawab, “Ya, dan tiga belas rakaat berdekatan dengan itu.” Mālik </w:t>
        <w:br/>
        <w:t>berkata lagi, “Saya tidak tahu siapa yang mengadakan rakaat yang banyak ini?”36</w:t>
      </w:r>
    </w:p>
    <w:p>
      <w:r>
        <w:t>Ibn Ḥajar al-Haitamī (974/1567) menegaskan,</w:t>
      </w:r>
    </w:p>
    <w:p>
      <w:r>
        <w:t xml:space="preserve">Adapun hadis yang diriwayatkan melalui beberapa jalur bahwa Nabi saw salat di </w:t>
        <w:br/>
        <w:t xml:space="preserve">bulan Ramadan dua puluh rakaat dan melakukan witir, dan dalam suatu riwayat ada </w:t>
        <w:br/>
        <w:t xml:space="preserve">tambahan ‘tanpa berjamaah’, sangat lemah. Kritik para imam ahli hadis mengenai </w:t>
        <w:br/>
        <w:t xml:space="preserve">salah seorang rawi dalam sanadnya [yaitu Abu Syaibah, pen.] sangat keras. Di </w:t>
        <w:br/>
        <w:t xml:space="preserve">antaranya adalah kecaman bahwa ia meriwayatkan hadis-hadis palsu, seperti hadis </w:t>
        <w:br/>
        <w:t xml:space="preserve">“Tiada binasa suatu umat melainkan di bulan Maret” dan hadis “Tidak akan terjadi </w:t>
        <w:br/>
        <w:t xml:space="preserve">kiamat kecuali di bulan Maret,” dan bahwa hadis yang diriwayatkannya tentang </w:t>
        <w:br/>
        <w:t>tarawih ini termasuk di antara hadis-hadis mungkarnya.37</w:t>
      </w:r>
    </w:p>
    <w:p>
      <w:r>
        <w:t xml:space="preserve">Ibn Ḥajar al-‘Asqallānī (w. 852/1449) dalam Fatḥ al-Bārī menyatakan, “Adapun </w:t>
        <w:br/>
        <w:t xml:space="preserve">hadis Ibn ‘Abbās yang diriwayatkan olen Ibn Abī Syaibah bahwa Rasulullah saw salat di </w:t>
        <w:br/>
        <w:t xml:space="preserve">bulan Ramadan dua puluh rakaat dan [kemudian] witir adalah daif sanadnya dan </w:t>
        <w:br/>
        <w:t xml:space="preserve">bertentangan dengan hadis ‘Ā’isyah [Hadis 2] yang diriwayatkan dalam dua kitab sahih </w:t>
        <w:br/>
        <w:t xml:space="preserve">dan ‘Ā’isyah lebih mengetahui keadaan Nabi saw di waktu malam dibandingkan orang </w:t>
        <w:br/>
        <w:t>lain.”38</w:t>
      </w:r>
    </w:p>
    <w:p>
      <w:r>
        <w:t xml:space="preserve">Oleh karena itu hadis Ibn ‘Abbās tentang salat tarawih dua puluh rakaat tidak </w:t>
        <w:br/>
        <w:t xml:space="preserve">dapat dijadikan dasar bahwa salat tarawih adalah dua puluh rakaat, karena hadis </w:t>
        <w:br/>
        <w:t>tersebut adalah sangat daif. Bahkan beberapa ulama menyatakannya mungkar.</w:t>
      </w:r>
    </w:p>
    <w:p>
      <w:r>
        <w:t xml:space="preserve">35 Nama lengkap al-Jūrī adalah al-Qāḍī Abū al-Ḥasan ‘Alī Ibn al-Ḥusain al-Jūrī, seorang ulama </w:t>
        <w:br/>
        <w:t xml:space="preserve">Syafiiah yang banyak melakukan tarjih di antara berbagai pendapat mengenai suatu masalah. Tājuddīn </w:t>
        <w:br/>
        <w:t xml:space="preserve">as-Subkī mengatakan, “Di antara karyanya adalah Kitāb al-Mursyid fī Syarḥ Mukhtaṣar al-Muzanī yang </w:t>
        <w:br/>
        <w:t xml:space="preserve">banyak dikutip oleh Ibn ar-Rif‘ah dan oleh ayahku, tetapi tidak dibaca oleh ar-Rāfi‘ī dan an-Nawawī” (Lihat </w:t>
        <w:br/>
        <w:t xml:space="preserve">Subkī, aṭ-Ṭabaqāt, III: 457, nama no. 226). Beliau wafat tahun 238/852. </w:t>
        <w:br/>
        <w:t xml:space="preserve">36 Subkī, al-Ibtihāj, h. 696; lihat juga Sayūṭī, al-Ḥāwī li al-Fatāwā, I: 350; dan Bab IV, h. 150??? </w:t>
        <w:br/>
        <w:t xml:space="preserve">37 Haitamī, al-Fatāwā, I: 194-195; dan dikutip juga oleh al-Albāni, Ṣalāt at-Tarāwīḥ, h. 20. </w:t>
        <w:br/>
        <w:t>38 Ibn Ḥajar, Fatḥ al-Bārī, IV: 299, hadis no. 2013.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