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Memahami Paham Agama Muhammadiyah</w:t>
      </w:r>
    </w:p>
    <w:p>
      <w:r>
        <w:t>1</w:t>
      </w:r>
    </w:p>
    <w:p>
      <w:r>
        <w:t>1</w:t>
      </w:r>
    </w:p>
    <w:p>
      <w:r>
        <w:t xml:space="preserve">MEMAHAMI PAHAM AGAMA MUHAMMADIYAH  </w:t>
        <w:br/>
        <w:t xml:space="preserve">DARI MANHAJ TARJIH MUHAMMADIYAH1 </w:t>
        <w:br/>
        <w:t xml:space="preserve">Oleh; </w:t>
        <w:br/>
        <w:t>Wawan Gunawan Abdul Wahid2</w:t>
      </w:r>
    </w:p>
    <w:p>
      <w:r>
        <w:t xml:space="preserve">Mukadimah </w:t>
        <w:br/>
        <w:t>Mendidikan paham agama Muhammadiyah kepada warga, khususnya kader-</w:t>
        <w:br/>
        <w:t xml:space="preserve">kader militant Muhammadiyah adalah hal yang niscaya. Itu selain dimaksudkan untuk </w:t>
        <w:br/>
        <w:t xml:space="preserve">menjadi kekhasan warga Muhammadiyah dari saudara-saudara seagamanya, lebih dari itu </w:t>
        <w:br/>
        <w:t xml:space="preserve">untuk membekali diri merespons berbagai suliweran penilaian warga kaum Muslimin </w:t>
        <w:br/>
        <w:t xml:space="preserve">kepada Muhammadiyah. Misalnya, satu kelompok Islam disini dalam berbagai kesempatan </w:t>
        <w:br/>
        <w:t xml:space="preserve">menyatakan bahwa Muhammadiyah itu Gerakan anti bid’ah tapi melakukan bid’ah.. Ada </w:t>
        <w:br/>
        <w:t xml:space="preserve">pula pihak lainnya yang selalu melabeli Muhammadiyah dengan sebutan Wahabi tertentu </w:t>
        <w:br/>
        <w:t xml:space="preserve">sehingga dinilai sama dengan entitas lain yang ada di luar sana. Dan yang termutakhir ada </w:t>
        <w:br/>
        <w:t xml:space="preserve">yang berani dengan gagah mengatakan bahwa Muhammadiyah itu mesti sama dengan </w:t>
        <w:br/>
        <w:t xml:space="preserve">mereka karena pendiri Muhammadiyah itu satu nasab dan satu seperguruan dengan pendiri </w:t>
        <w:br/>
        <w:t xml:space="preserve">organisasinya. Ketika tiga entitas ini menegaskan kalimatnya sebegitu rupa warga </w:t>
        <w:br/>
        <w:t xml:space="preserve">Muhammadiyah harus menyikapinya dengan seksama dan proporsional. Sikap seksama </w:t>
        <w:br/>
        <w:t xml:space="preserve">diperlukan karena jika dibiarkan bisa menjadi bola liar yang menggangu soliditas warga </w:t>
        <w:br/>
        <w:t xml:space="preserve">Persyarikatan. Sebagaimana tidak dibenarkan klaim dan pelabelan diatas dibiarkan apa </w:t>
        <w:br/>
        <w:t xml:space="preserve">adanya.  Salah satu sikap proporsional itu adalah membaca terus-menerus paham agama </w:t>
        <w:br/>
        <w:t xml:space="preserve">Muhammadiyah secara seksama. Makalah sederhana ini dituliskan sebagai urun rembug </w:t>
        <w:br/>
        <w:t xml:space="preserve">penulis untuk mengisi sedikit dari sikap seksama itu. </w:t>
        <w:br/>
        <w:t xml:space="preserve">Jargon dan Praktek Ibadah Muhammadiyah Disalahpahami  </w:t>
        <w:br/>
        <w:t xml:space="preserve">Pertama, adalah Kelompok Salafi yang sering menuduh Muhamamdiyah </w:t>
        <w:br/>
        <w:t xml:space="preserve">melakukan bid’ah ketika melakukan penentuan awal bulan dengan hisab dengan alas an </w:t>
        <w:br/>
        <w:t xml:space="preserve">Rasulullagsaw tidak pernah melakukannya.  Muhammadiyah pun dituduh Salafi melalukan </w:t>
        <w:br/>
        <w:t xml:space="preserve">bid’ah kerana membiarkan para perempuannya tunaikan shalat berjama’ah di masjid. </w:t>
        <w:br/>
        <w:t xml:space="preserve">Sementara Rasululllah saw tegaskan bahwa tempat terbaik shalat perempuan itu di rumah. </w:t>
        <w:br/>
        <w:t>Tuduhan sedemikian bukan saja terlalu simplikasi lebih dari itu menyesatkan. Saudara-</w:t>
        <w:br/>
        <w:t xml:space="preserve">saudara kita Salafi ini belum paham benar model ijtihad yang dilakukan Muhammadiyah. </w:t>
        <w:br/>
        <w:t xml:space="preserve">Kembali kepada al-Quran dan as-Sunah tidaklah halangi Muhammadiyah untuk posisikan </w:t>
        <w:br/>
        <w:t xml:space="preserve">keduanya sebagai basis sumber hukum dengan pengembangan pemaknaan lebih sekedar </w:t>
        <w:br/>
        <w:t>dari bunyi tekstualnya. Dalam hal ini kekhasan Salafi yang tekstualis tidak sama dengan</w:t>
      </w:r>
    </w:p>
    <w:p>
      <w:r>
        <w:t xml:space="preserve">1Makalah disampaikan dalam Pengajian Pimpinan Daerah Muhammadiyah Kota Bandung, Ahad Tanggal 17 </w:t>
        <w:br/>
        <w:t>Nopember 2019/20 Rabiul awal 1441 H, di Gedung Dakwah PDM Kota Bandung.</w:t>
      </w:r>
    </w:p>
    <w:p>
      <w:r>
        <w:t xml:space="preserve">2 Alumni Angkatan Pertama Ponpes Darul Arqam Muhammadiyah Garut Jabar (1978-1984). Menjadi </w:t>
        <w:br/>
        <w:t xml:space="preserve">Anggota Muhammadiyah dengan Nomor Kartu 763623. Sejak tahun 2000 hingga saat ini  Anggota Majelis </w:t>
        <w:br/>
        <w:t xml:space="preserve">Tarjih dan Tajdid Pimpinan Pusat Muhammadiyah. Sehari-hari mengajar di Fakultas Syariah dan Hukum </w:t>
        <w:br/>
        <w:t>UIN Sunan Kalijaga Yogyakarta dengan jabatan akademik Associate Profesor dalam Matakuliah Usul Fikih.</w:t>
      </w:r>
    </w:p>
    <w:p>
      <w:r>
        <w:t>2</w:t>
      </w:r>
    </w:p>
    <w:p>
      <w:r>
        <w:t>2</w:t>
      </w:r>
    </w:p>
    <w:p>
      <w:r>
        <w:t xml:space="preserve">Muhammadiyah yang menganut perluasan makna teks melalui beberapa pendekatan (usul </w:t>
        <w:br/>
        <w:t xml:space="preserve">fikih).  </w:t>
        <w:br/>
        <w:t xml:space="preserve">Kedua, adalah pelabelan oknum elit ormas Islam tertentu kepada Muhammadiyah </w:t>
        <w:br/>
        <w:t xml:space="preserve">sebagai analog dengan Wahabi. Dalam keyakinan penulis yang terjadi sesungguhnya </w:t>
        <w:br/>
        <w:t xml:space="preserve">adalah apa yang dipraktekkan Wahabi itu menjadi praktek dan keyakinan kalangan </w:t>
        <w:br/>
        <w:t xml:space="preserve">“saudara-saudara muda itu”. Ini dpaat dilihat dari beberapa fakta sebagai berikut. (1) </w:t>
        <w:br/>
        <w:t xml:space="preserve">Wahabi itu mewajibkan penggunaan rukyat dan mengharamkan penggunaan hisab untuk </w:t>
        <w:br/>
        <w:t xml:space="preserve">penentuan awal bulan. Disini ormas tersebut mensunnahkan  peggunaan rukyat sementara </w:t>
        <w:br/>
        <w:t xml:space="preserve">hisab dipakai hanya sebagai konfirmasi. (2) Wahabi menghukumi praktek nikah misyar </w:t>
        <w:br/>
        <w:t xml:space="preserve">boleh dilakukan oleh penduduk Kerajaan Saudi Arabia. Nikah misyar adalah istilah </w:t>
        <w:br/>
        <w:t xml:space="preserve">pernikahan yang di Indonesia lebih dikenal dengan nama nikah sirri. Secara teknis bahasa </w:t>
        <w:br/>
        <w:t xml:space="preserve">hukum sebutlah itu dengan nama pernikahan yang tidak dicatatkan. Para tokoh elit ormas </w:t>
        <w:br/>
        <w:t xml:space="preserve">Islam ini membolehkan dan mempraktekkan nikah sirri karena menurut mereka itu sudah </w:t>
        <w:br/>
        <w:t xml:space="preserve">sesuai dengan ketentuan syara’. Muhammadiyah tidak sepandangan dengan itu.  Wahabi </w:t>
        <w:br/>
        <w:t xml:space="preserve">sejak kelahirannya hingga saat ini dekat dengan praktek politik bahkan turut menentukan </w:t>
        <w:br/>
        <w:t xml:space="preserve">paham agama negara. Muhammadiyah menjaga jarak dengan kekuasaan bahkan bersikap </w:t>
        <w:br/>
        <w:t xml:space="preserve">kritis terhadap kekuasaan. Demikian jelas apa yang menjadi paham dan praktek wahabi </w:t>
        <w:br/>
        <w:t xml:space="preserve">justru menjadi praktek saudara-saudara muda yang menuduh Muhammadiyah sebagai </w:t>
        <w:br/>
        <w:t xml:space="preserve">Wahabi.  </w:t>
        <w:br/>
        <w:t xml:space="preserve">Ketiga, saat ini berkembang dan terus dikembangkan secara terbuka di tengah </w:t>
        <w:br/>
        <w:t xml:space="preserve">ummat bahwa Muhamamdiyah telah menyimpang dari ajaran pendirinya. KH. Ahmad </w:t>
        <w:br/>
        <w:t xml:space="preserve">Dahlan dulu lakukan qunut shubuh, tunaikan shalat tarawih 20 rakaat, ajarkan adzan dua </w:t>
        <w:br/>
        <w:t xml:space="preserve">kali, doa ifttahnya pun sama dengan yang dilakukan NU, lakukan talafuzh niat dengan </w:t>
        <w:br/>
        <w:t xml:space="preserve">ucapkan ushalli sebelum takbiratul ihram dan seterusnya.3 Penulis buku Muhamamdiyah </w:t>
        <w:br/>
        <w:t xml:space="preserve">itu NU menuliskan beberapa praktek ibadah Muhammadiyah yang menurut keyakinannya </w:t>
        <w:br/>
        <w:t xml:space="preserve">dilakukan oleh Kyai Dahlan tetapi tidak lagi dipraktekan warga Muhamamdiyah. </w:t>
        <w:br/>
        <w:t xml:space="preserve">Diantaranya: membaca al-Quran tanpa wudlu (99); niat gunakan ushalli (114), (205), </w:t>
        <w:br/>
        <w:t xml:space="preserve">ta’awwudz dan basmalah (116), bacaan i’tidal dengan tambahan hamdan katsiran </w:t>
        <w:br/>
        <w:t xml:space="preserve">thayyiban mubarakan fih (118), bacaan do’a qunut (118), doa duduk diantara dua sujud </w:t>
        <w:br/>
        <w:t xml:space="preserve">(130); bacaan salam tanpa wabarakatuh (134); mengacungkan jari saat tasyahud (137), </w:t>
        <w:br/>
        <w:t xml:space="preserve">menambah dan mengurangi shalat sunah (141); tarawih, witir dan tahajud (142); shalat </w:t>
        <w:br/>
        <w:t xml:space="preserve">hajat dan tasbih (149 dan 151); azan jumat satu kali (156); shalat id di lapangan (157); </w:t>
        <w:br/>
        <w:t xml:space="preserve">pengurangan khuthbah id jadi satu kali (162);  takbir tiga kali saat ini takbir dua kali unuk </w:t>
        <w:br/>
        <w:t>bacaan takbiran hari raya (162); jenazah tanpa ratus/ wewangian (164).</w:t>
      </w:r>
    </w:p>
    <w:p>
      <w:r>
        <w:t xml:space="preserve">Tajdid sebagai Buhul Paham Agama Muhammadiyah </w:t>
        <w:br/>
        <w:t xml:space="preserve">Kata tajdid yang berasal dari gerund atau ism al-mashdar kata kerja (fi’l; verb) </w:t>
        <w:br/>
        <w:t xml:space="preserve">jaddada-yujaddidu secara leksikal bermakna memperbaharui. Sudah sering diuraikan </w:t>
        <w:br/>
        <w:t xml:space="preserve">bahwa kata tajdid bagi Muhammadiyah merujuk pada dua makna sekaligus. Pertama tajdid </w:t>
        <w:br/>
        <w:t>bermakna dinamisasi. Kedua, tajdid berarti purifikasi, pemurnian (tashfiyah). Tajdid dalam</w:t>
      </w:r>
    </w:p>
    <w:p>
      <w:r>
        <w:t xml:space="preserve">3 Lihat Mucamad Ali Shodiqin, Muhamamdiyah itu NU, Dokumen Fikih Yang Terlupakan, (Jakarta: Noura </w:t>
        <w:br/>
        <w:t>Books, 2014).</w:t>
      </w:r>
    </w:p>
    <w:p>
      <w:r>
        <w:t>3</w:t>
      </w:r>
    </w:p>
    <w:p>
      <w:r>
        <w:t>3</w:t>
      </w:r>
    </w:p>
    <w:p>
      <w:r>
        <w:t xml:space="preserve">bidang ibadah dan akidah dilakukan dengan cara pemurnian atau purifikasi. Itu bermakna </w:t>
        <w:br/>
        <w:t xml:space="preserve">bahwa Muhammadiyah memastikan tatacara ibadah dengan dirujukan sedekat dengan apa </w:t>
        <w:br/>
        <w:t>yang dilakukan, disabdakan dan ditetapkan Nabi saw dalam sinaran al-Quran dan as-</w:t>
        <w:br/>
        <w:t xml:space="preserve">Sunah. Sementara akidah dimurnikan dari berbagai praktek syirik, takhayul dan khurafat </w:t>
        <w:br/>
        <w:t xml:space="preserve">yang merusak tauhid murni dengan bingkai al-Quran dan as-sunah. Misal tajdid </w:t>
        <w:br/>
        <w:t xml:space="preserve">Muhammadiyah dalam ibadah adalah tuntunan amalan bulan ramadhan yang mencakup </w:t>
        <w:br/>
        <w:t xml:space="preserve">cara berpuasa, cara tunaikan shalat malam 11 rakaat, shalat hari raya di lapangan, berhaji </w:t>
        <w:br/>
        <w:t xml:space="preserve">sesuai tuntunan Rasulullah saw, tuntunan menyembelih hewan kurban dan lain sebagainya. </w:t>
        <w:br/>
        <w:t xml:space="preserve">Sedangkan tajdid dalam bidang mu’amalah dilakukan prinsip dinamisasi. ini </w:t>
        <w:br/>
        <w:t xml:space="preserve">bermakna “mendinamisasikan kehidupan masyarakat sesuai dengan capaian kebudayaan </w:t>
        <w:br/>
        <w:t xml:space="preserve">yang diwujudkan manusia di bawah semangat dan ruh al-Quran dan Sunah Nabi </w:t>
        <w:br/>
        <w:t xml:space="preserve">saw”.(Syamsul Anwar, 2016). Dalam bidang mu’alamat ini, beberapa norma yang menjadi </w:t>
        <w:br/>
        <w:t xml:space="preserve">kesepakatan para ahli dapat berubah bila ada tuntutan yang menghajatkannya untuk </w:t>
        <w:br/>
        <w:t xml:space="preserve">berubah dengan tetap memperhatikan ketentuan-ketentuan syari’ah. Misalnya ketentuan </w:t>
        <w:br/>
        <w:t xml:space="preserve">penggunaan rukyat untuk memastikan terjadinya kelahiran hilal dengan cara rukyat pada </w:t>
        <w:br/>
        <w:t xml:space="preserve">awal bulan ramadhan, syawal dan dzul hijah dengan merujuk pada hadis-hadis tentang </w:t>
        <w:br/>
        <w:t xml:space="preserve">rukyat. Cara rukyat yang mendunia itu di Muhammaiyah dilakukan dengan cara hisab.  </w:t>
        <w:br/>
        <w:t xml:space="preserve">Masuk juga dalam kategori ini persoalan kepemimpinan perempuan.  </w:t>
        <w:br/>
        <w:t xml:space="preserve">Demikianlah, ketika Kyai Dahlan mengoreksi arah kiblat Masjid Gedhe di </w:t>
        <w:br/>
        <w:t xml:space="preserve">Yogyakarta Kyai sedang lakukan tajdid dalam dua pengertiannya sekaligus. Al-Qur’an dan </w:t>
        <w:br/>
        <w:t xml:space="preserve">Hadis  mengajarkan bahwa arah wadag shalat kaum Muslimin mesti menuju ke kiblat </w:t>
        <w:br/>
        <w:t xml:space="preserve">Baitullah. Untuk aplikasikan ajaran Islam itu Kyai gunakan pengetahuan “baru’ yang </w:t>
        <w:br/>
        <w:t xml:space="preserve">masih sangat jarang digunakan oleh ummat Islam saat itu.  Selanjutnya, Kyai Dahlan </w:t>
        <w:br/>
        <w:t xml:space="preserve">memproduksi temuan-temuan tajdid lainnya. Didirikannya organisasi Perempuan bernama </w:t>
        <w:br/>
        <w:t xml:space="preserve">Aisyiyah, Hizbul Wathan, Majelis Penolong Kesengsaraan Oemoem. Dalam satu tarikan </w:t>
        <w:br/>
        <w:t xml:space="preserve">nafas dengan itu Kyai Dahlan pun lakukan purifikasi praktek ummat Islam kala itu. </w:t>
        <w:br/>
        <w:t xml:space="preserve">Sebagaimana diceritakan salah satu muridnya bernama KRH. Hadjid (2008) bahwa Kyai </w:t>
        <w:br/>
        <w:t xml:space="preserve">berhasil hilangkan praktek-praktek umat yang tidak diajarkan al-Quran as-Sunah. Kyai  </w:t>
        <w:br/>
        <w:t xml:space="preserve">berantas selamatan waktu seorang ibu mengandung tujuh bulan, bacaan mauludan dengan </w:t>
        <w:br/>
        <w:t xml:space="preserve">memukul rebana ketika membaca “asyaraqal badru”, shadaqah bernama surtanah saat </w:t>
        <w:br/>
        <w:t xml:space="preserve">orang meninggal, selamatan tiga hari, baca tahlil tiap malam ketika orang meninggal </w:t>
        <w:br/>
        <w:t xml:space="preserve">sampai 7 hari, selamatan 40 hari, 100 hari, setahun, seribu hari (nyewu), serta bacaan tahlil </w:t>
        <w:br/>
        <w:t xml:space="preserve">70.000 untuk menebus dosa, haul (ulang tahun kematian) dengan membaca tahlil, perayaan </w:t>
        <w:br/>
        <w:t xml:space="preserve">10 asyura dan mengadakan padusan (mandi) serta pergi ke kuburan untuk kirim doa, </w:t>
        <w:br/>
        <w:t xml:space="preserve">upacara nishfu sya’ban dengan bacaan-bacaan yang tidak diajarkan as-Sunah, taqlid </w:t>
        <w:br/>
        <w:t xml:space="preserve">kepada ulama tanpa tahu dalil-dalilnya, bacaan-bacaan tahlil Qur’an untuk dihadiahkan </w:t>
        <w:br/>
        <w:t xml:space="preserve">kepada ahli kubur, mengadakan ziarah kubur pada bulan sya’ban, membaca shalawat </w:t>
        <w:br/>
        <w:t>khusus tiap malam jum’at dengan gunakan rebana, jimat yang dipakaikan kepada anak-</w:t>
        <w:br/>
        <w:t xml:space="preserve">anak, minta keselamatan kepada kuburan dan tawassul kepada Nabi saw. Disamping </w:t>
        <w:br/>
        <w:t xml:space="preserve">praktek-praktek tersebut diatas, KHR Hadjid pun menyebutkan bahwa Kyai Dahlan </w:t>
        <w:br/>
        <w:t xml:space="preserve">mengoreksi praktek ummat kala itu yang terbiasa tunaikan shalat qabliyah dua raka’at </w:t>
        <w:br/>
        <w:t xml:space="preserve">sebelum shalat jum’at serta adzan dua kali sebelum shalat jum’at (Hadjid, 2008:101).  </w:t>
        <w:br/>
        <w:t>Majelis Tarjih Muhammadiyah Ambil-alih Peran Tajdid</w:t>
      </w:r>
    </w:p>
    <w:p>
      <w:r>
        <w:t>4</w:t>
      </w:r>
    </w:p>
    <w:p>
      <w:r>
        <w:t>4</w:t>
      </w:r>
    </w:p>
    <w:p>
      <w:r>
        <w:t xml:space="preserve">Adanya fakta yang sebutkan Kyai Dahlan masih tunaikan sahalat tarawih 23 </w:t>
        <w:br/>
        <w:t xml:space="preserve">rakaat serta tunaikan qunut dalam shalat shubuh sama sekali tidak mengurangi virus tajdid </w:t>
        <w:br/>
        <w:t xml:space="preserve">yang ditebarnya. Boleh jadi saat itu Kyai belum melihat alasan-alasan yang dipandangnya </w:t>
        <w:br/>
        <w:t xml:space="preserve">lebih kuat sebagaimana koreksinya untuk shalat dua rakaat sebelum shalat jum’at dan </w:t>
        <w:br/>
        <w:t xml:space="preserve">adzan jumat dua kali. Sepeninggal Kyai Dahlan Muhammadiyah terus berkembang ke </w:t>
        <w:br/>
        <w:t xml:space="preserve">berbagai daerah dengan penambahan anggota-anggotanya. Bersamaan dengan itu timbul </w:t>
        <w:br/>
        <w:t xml:space="preserve">pedebatan di kalangan warga Persyarikatan mana diantara praktek ibadah yang dilakukan </w:t>
        <w:br/>
        <w:t xml:space="preserve">ummat yang lebih mendekati kebenaran, disertai adanya beberapa faham gerakan yang </w:t>
        <w:br/>
        <w:t xml:space="preserve">menyusupi Muhammadiyah. Dalam konteks historis seperti itulah Majelis Tarjih </w:t>
        <w:br/>
        <w:t xml:space="preserve">Muhammadiyah didirikan pada tahun 1927. Sejak persidangan pertamanya pada tahun </w:t>
        <w:br/>
        <w:t xml:space="preserve">1928 hingga saat ini Majelis Tarjih dan Tajdid telah hasilkan sekian produk hukum yang </w:t>
        <w:br/>
        <w:t xml:space="preserve">yang menjadi pegangan dan tuntunan warga dan simpatisan Muhammadiyah sampai </w:t>
        <w:br/>
        <w:t xml:space="preserve">sekarang. Dari sekian putusan itu ada yang terhimpun dalam sebuh kitab yang lebih dikenal </w:t>
        <w:br/>
        <w:t xml:space="preserve">dengan Himpunan Putusan Tarjih yang telah mencapai jilid tiga. Lebih banyak lagi yang </w:t>
        <w:br/>
        <w:t>berupa tuntunan yang bersifat tematis yang ditulis dalam satu buku tersendiri seperti al-</w:t>
        <w:br/>
        <w:t xml:space="preserve">Amwal fil Islam, Tuntunan Keluarga Sakinah,  Tuntunan Adabul Mar’ah fil Islam, Bayi </w:t>
        <w:br/>
        <w:t xml:space="preserve">Tabung dan Transplantasi, Nikah antar Agama, Hukum Aborsi, Koperasi Simpan Pinjam, </w:t>
        <w:br/>
        <w:t xml:space="preserve">Hukum Zakat Profesi dan lain sebaganya. Dalam Munas Tarjih ke 27 yang dilaksanakan </w:t>
        <w:br/>
        <w:t xml:space="preserve">di Malang tahun 2010 dihasilkan sekian draf putusan dianatarnya adalah Tuntunan Fiqih </w:t>
        <w:br/>
        <w:t xml:space="preserve">al-Ma’un dan Tuntunan Fiqih Perempuan. Sementara  dalam Munas Tarjih ke 28 di </w:t>
        <w:br/>
        <w:t xml:space="preserve">Palembang tahun 2014 selain beberapa persoalan manasik dan shalat iftitah khafifatain </w:t>
        <w:br/>
        <w:t xml:space="preserve">dimusyawarahkan pula tentang tatakelola air yang dirangkum dalam putusan Fikih Air. </w:t>
        <w:br/>
        <w:t xml:space="preserve">Demikian dalam Munas Tarjih  ke 29 di Yogyakarta tahun 2015 yang terpenting dibahas </w:t>
        <w:br/>
        <w:t xml:space="preserve">masalah fikih kebencanaan. Di Munas Tarjih ke-30 di Makassar tahun 2018 dihasilkan draf </w:t>
        <w:br/>
        <w:t xml:space="preserve">putusan tentang Fikih Perlindungan Anak dan Fikih Informasi disamping membaca ulang </w:t>
        <w:br/>
        <w:t xml:space="preserve">beberapa putusan lama. Saat ini Majelis Tarjih dan Tajdid sedang siapkan draf Munas </w:t>
        <w:br/>
        <w:t xml:space="preserve">Tarjih ke-31 yang utamanya akan membahas Tuntunan Zakat Kontemporer dan Fikih </w:t>
        <w:br/>
        <w:t>Difabel dan fikih Agraria.</w:t>
      </w:r>
    </w:p>
    <w:p>
      <w:r>
        <w:t xml:space="preserve">Tentang Manhaj Tarjih Muhammadiyah </w:t>
        <w:br/>
        <w:t xml:space="preserve">Tidak sedikit yang salah paham tentang kata tarjih yang digunakan oleh Majelis </w:t>
        <w:br/>
        <w:t xml:space="preserve">Tarjih. Dalam Muhammadiyah, kata tarjih tidak hanya dipahami sekedar kegiatan memilih </w:t>
        <w:br/>
        <w:t xml:space="preserve">suatu pendapat yang dipandang lebih kuat. Tarjih dalam Muhammadiyah mempunyai </w:t>
        <w:br/>
        <w:t xml:space="preserve">makna yang lebih luas. Sehingga kata tarjih dalam Muhammadiyah tarjih diartikan sebagai: </w:t>
        <w:br/>
        <w:t xml:space="preserve">“setiap aktifitas intelektual untuk merespons realitas sosial dan kemanusiaan dari sudut </w:t>
        <w:br/>
        <w:t xml:space="preserve">pandang agama Islam, khususnya dari sudut pandang norma-norma syariah.”  Oleh karena </w:t>
        <w:br/>
        <w:t xml:space="preserve">itu bertarjih artinya sama atau hampir sama dengan melakukan ijtihad mengenai suatu </w:t>
        <w:br/>
        <w:t xml:space="preserve">masalah dilihat dari perspektif agama Islam (Syamsul Anwar, 2010). Dalam kegiatan </w:t>
        <w:br/>
        <w:t xml:space="preserve">bertarjih itu para ulama Tarjih gunakan prosedur dan tahap fikir yang disebut sebagai </w:t>
        <w:br/>
        <w:t xml:space="preserve">Manhaj Tarjih Muhammadiyah. Prosedur ini menghimpun komponen yang meliputi </w:t>
        <w:br/>
        <w:t xml:space="preserve">wawasan, semangat, sumber, pendekatan, dan prosedur-prosedur teknis (metode). </w:t>
        <w:br/>
        <w:t xml:space="preserve">Dimaksud dengan wawasan dalam manhaj tarjih adalah spirit yang menyertai para ulama </w:t>
        <w:br/>
        <w:t xml:space="preserve">Majelis Tarjih dalam menyelesaikan berbagai kasus yang ditanyakan. Spirit dimaksud </w:t>
        <w:br/>
        <w:t xml:space="preserve">adalah: spirit pahama agama, tajdid, tidak bermazhab, toleran dan terbuka (syamsul Anwar, </w:t>
        <w:br/>
        <w:t>2016).</w:t>
      </w:r>
    </w:p>
    <w:p>
      <w:r>
        <w:t>5</w:t>
      </w:r>
    </w:p>
    <w:p>
      <w:r>
        <w:t>5</w:t>
      </w:r>
    </w:p>
    <w:p>
      <w:r>
        <w:t xml:space="preserve">Manhaj Tarjih dari waktu ke waktu mengalami perkembangan. Pada masa-masa </w:t>
        <w:br/>
        <w:t xml:space="preserve">awal,  Majelis Tajih menghasilkan proruk hukumnya lebih banyak memanfaatkan </w:t>
        <w:br/>
        <w:t xml:space="preserve">pendekatan tarjih. Ia itu mencari dalil yang lebih kuat diantara dalil-dalil yang ada. Dalam </w:t>
        <w:br/>
        <w:t xml:space="preserve">perkembangan lebih lanjut Majelis Tarjih gunakan berbagai pendekatan yang kemudian </w:t>
        <w:br/>
        <w:t xml:space="preserve">diklasifikasikan sebagai model ijtihad bayani, qiyasi serta istishlahi. Model ini pun </w:t>
        <w:br/>
        <w:t>kemudian diperkaya lagi dengan ijtihad bayani, burhani serta ‘irfani. Aplikasi model-</w:t>
        <w:br/>
        <w:t xml:space="preserve">model ijtihad ini dapat diperkaya dengan berbagai temuan keilmuan sains modern, </w:t>
        <w:br/>
        <w:t xml:space="preserve">sosiologi, antropologi dan lain sebagainya yang sejalan dengan nafas Islam yang </w:t>
        <w:br/>
        <w:t xml:space="preserve">berkemajuan. Berikut ini, anatara lain, beberapa poin manhaj tarjih: </w:t>
        <w:br/>
        <w:t xml:space="preserve">1. Tidak mengikatkan diri pada suatu mazhab tetapi pendapat-pendapat imam mazhab </w:t>
        <w:br/>
        <w:t xml:space="preserve">dapat menjadi bahan pertimbangan dalam menetapkan hukum sepanjang sesuai </w:t>
        <w:br/>
        <w:t xml:space="preserve">dengan jiwa al-Quran dan as-Sunnah atau dasar-dasar lain yang dipandang kuat; </w:t>
        <w:br/>
        <w:t xml:space="preserve">2. Penggunaan dalil untuk menetapkan sesuatu hukum, dilakukan dengan cara </w:t>
        <w:br/>
        <w:t xml:space="preserve">komprehensif, utuh dan bulat tidak terpisah; </w:t>
        <w:br/>
        <w:t xml:space="preserve">3. Majelis Tarjih menggunakan ta’lilul ahkam guna memahami kandungan dalil-dalil </w:t>
        <w:br/>
        <w:t>al-Quran dan as-Sunnah sepanjang sesuai dengan kandungan syari’ah. Kaidah “al-</w:t>
        <w:br/>
        <w:t xml:space="preserve">hukmu yaduru ma’a ‘illatihi wujudan wa’adaman” dalam hal-hal tertentu dapat </w:t>
        <w:br/>
        <w:t>berlaku.</w:t>
      </w:r>
    </w:p>
    <w:p>
      <w:r>
        <w:t xml:space="preserve">Ad.1. Tidak berafliasi ke mazhab tertentu  </w:t>
        <w:br/>
        <w:t xml:space="preserve">          Wawasan ini merujuk, pertama, pada Surah an-Nisa (3) ayat 59 yang menegaskan </w:t>
        <w:br/>
        <w:t xml:space="preserve">bahwa ciri keimanan seorang Muslim itu adalah menjadikan Allah dan Rasulullah saw </w:t>
        <w:br/>
        <w:t xml:space="preserve">sebagai rujukan utama dalam berbagai persoalan kehidupan termasuk saat mengalami </w:t>
        <w:br/>
        <w:t xml:space="preserve">perselsisihan paham.  Kedua, taushiyah yang disampaikan oleh para ulama mazhab mulai </w:t>
        <w:br/>
        <w:t xml:space="preserve">Abu Hanifah, Malik bin Anas, Muhammad bin Idris dan Ahmad bin Hanbal. Abu Hanifah, </w:t>
        <w:br/>
        <w:t xml:space="preserve">antara lain, dikenali pernah menyatakan bahwa manakala diantara pendapatnya ada yang </w:t>
        <w:br/>
        <w:t xml:space="preserve">berselisih dengan al-Quran dan Hadis maka pendapatnya itu tidak perlu dirujuk. Malik bin </w:t>
        <w:br/>
        <w:t xml:space="preserve">Anas menegaskan bahwa dirinya manusia biasa yang bisa benar bisa keliru dalam </w:t>
        <w:br/>
        <w:t xml:space="preserve">mengelurkan putusan hukum tertentu. Kerana itu pencermatan pada seluruh pendapatnya </w:t>
        <w:br/>
        <w:t xml:space="preserve">harus dilakukan, kata Malik. Pendapatnya yang sesuai dengan al-Quran dan as-Sunah </w:t>
        <w:br/>
        <w:t xml:space="preserve">silahkan dirujuk. Sedangkan pendapatnya yang menyalahi al-Quran dan Hadis wajib </w:t>
        <w:br/>
        <w:t xml:space="preserve">ditinggalkan. Sementara Muhammad bin Idris, antara lain, mengatakan sumber rujukan </w:t>
        <w:br/>
        <w:t xml:space="preserve">utama untuk menemukan hukum itu adalah al-Quran dan Sunah. Saat lain, Ia katakan, </w:t>
        <w:br/>
        <w:t xml:space="preserve">“ketika telah dipastikan suatu hadis itu berkualitas sahih maka itu menjadi anutan saya”. </w:t>
        <w:br/>
        <w:t xml:space="preserve">Sementara Ahmad bin Hanbal menegaskan, “Jangan ikuti pendapat-pendapatku secara </w:t>
        <w:br/>
        <w:t xml:space="preserve">membabibuta (taqlid), jangan juga itu dilakukan kepada Malik bin Anas dan Malik, Tsauri, </w:t>
        <w:br/>
        <w:t xml:space="preserve">al-Auzai. Ambillah hukum dari sumber yang mereka rujuk” (Muhammad Abu Zahrah, </w:t>
        <w:br/>
        <w:t xml:space="preserve">1968). </w:t>
        <w:br/>
        <w:t xml:space="preserve">Ada yang mengatakan Majelis Tarjih tidak ikatkan diri pada suatu mazhab tetapi dalam </w:t>
        <w:br/>
        <w:t xml:space="preserve">prakteknya menggunakan salah satu cara pandang (usul fikih) mazhab tertentu. Jawaban </w:t>
        <w:br/>
        <w:t xml:space="preserve">terhadap pertanyaan ini dikembalikan pada kriteria al-Quran dan Sunah sebagaimana </w:t>
        <w:br/>
        <w:t>ditegaskan diatas. Misalnya, Majelis Tarjih tetapkan hukum tunaikan badal haji dan hukum</w:t>
      </w:r>
    </w:p>
    <w:p>
      <w:r>
        <w:t>6</w:t>
      </w:r>
    </w:p>
    <w:p>
      <w:r>
        <w:t>6</w:t>
      </w:r>
    </w:p>
    <w:p>
      <w:r>
        <w:t xml:space="preserve">mengganti hutang puasa orang yang meninggal, dengan argumentasi usul fikih yang sama </w:t>
        <w:br/>
        <w:t xml:space="preserve">dengan anutan Mazhab Syafi’i atau Imam Muhammad bin Idris asy-Syafi’i. Ia itu terkait </w:t>
        <w:br/>
        <w:t xml:space="preserve">relasi al-Quran dan as-Sunah sebagai sumber hukum utama. Dalam hal ini asy-Syafi’I </w:t>
        <w:br/>
        <w:t xml:space="preserve">tegaskan bahw nash al-Quran yang qath’i dapat ditakshshish oleh nash hadis yang zhani.  </w:t>
        <w:br/>
        <w:t xml:space="preserve">Ini berbeda dengan anutan Abu Hanifah yang tegaskan bahwa nash al-Quran yang qath’ie </w:t>
        <w:br/>
        <w:t>tidak dapat ditakhshis nash hadis yang zhani karena level antara keduanya tidak sama (az-</w:t>
        <w:br/>
        <w:t xml:space="preserve">Zuhayli, 1985). Muhammadiyah gunakan cara pikir asy-Syafi’ie karena dinilai lebih </w:t>
        <w:br/>
        <w:t xml:space="preserve">mendekati spirit al-Quran dan Sunah.   </w:t>
        <w:br/>
        <w:t xml:space="preserve">Ad.2. Menetapkan Hukum dengan Pendalilan Komprehensif </w:t>
        <w:br/>
        <w:t xml:space="preserve">          Salah satu penyebab lahirnya simpulan hukum yang berbeda adalah adanya </w:t>
        <w:br/>
        <w:t xml:space="preserve">keragaman cara memanfaatkan al-Quran dan Sunah sebagai sumber hukum. Dengan hadis </w:t>
        <w:br/>
        <w:t xml:space="preserve">Nabi saw yang termasyhur “ballighuu ‘anni walau aayah”, seorang Muslim acapkali terlalu </w:t>
        <w:br/>
        <w:t xml:space="preserve">bersemangat ambil simpulkan hukum dari satu ayat atau satu sehingga melahirkan natijah </w:t>
        <w:br/>
        <w:t>yang masih memunculkan pertanyaan (tidak jami’ dan mani’). Itu terjadi kerana hadis-</w:t>
        <w:br/>
        <w:t xml:space="preserve">hadis atau ayat-ayat yang masih dalam satu jalinan tema sama sekali tidak dilibatkan dalam </w:t>
        <w:br/>
        <w:t xml:space="preserve">agregasi simpulan. Untuk tiba pada simpulan yang utuh ada baiknya perhatikan beberapa </w:t>
        <w:br/>
        <w:t xml:space="preserve">poin langkah sebagai berikut: </w:t>
        <w:br/>
        <w:t xml:space="preserve">(2.1.) Mengkonfirmasi hadis kepada al-Qur’an;  (2.2) Mengumpulkan hadis dalam </w:t>
        <w:br/>
        <w:t xml:space="preserve">satu subyek tertentu secara komprehensif; (2.3) Membandingkan hadis-hadis yang ada,  </w:t>
        <w:br/>
        <w:t xml:space="preserve">mengkompromi-kannya atau merankingnya sesuai tingkat otentisitasnya; (2.4); </w:t>
        <w:br/>
        <w:t xml:space="preserve">Mempelajari latar belakang saat hadis muncul;  (2.5) Memisahkan elemen-elemen hadis </w:t>
        <w:br/>
        <w:t xml:space="preserve">yang berubah (mutaghayirat) dari tujuan-tujuan yang permanen (tsawabit); (2.6) </w:t>
        <w:br/>
        <w:t xml:space="preserve">Membedakan makna majazi dan makna hakiki; (2.7) Memahami secara utuh satu </w:t>
        <w:br/>
        <w:t xml:space="preserve">terminologi (al-Qaradlawi, 1995). </w:t>
        <w:br/>
        <w:t xml:space="preserve">Penulis memahami poin-poin diatas tidak sebagai tahapan yang agregatif. Berikut </w:t>
        <w:br/>
        <w:t xml:space="preserve">misal salah satu putusan Majelis Tarjih dan Tajdid tentang puasa isteri tanpa izin suami </w:t>
        <w:br/>
        <w:t xml:space="preserve">yang pada putusan lama masuk kategori puasa tathawu’ (sunah) yang diharamkan (1989). </w:t>
        <w:br/>
        <w:t xml:space="preserve">Sementara putusan terbaru tidak menempatkannya puasa yang dilarang atau diharamkan </w:t>
        <w:br/>
        <w:t xml:space="preserve">(2018). Pada putusan terbaru hadis yang dipahami sebagai larangan puasa sunah isteri </w:t>
        <w:br/>
        <w:t>tanpa izin suami4 dibaca bersama sababul wurudnya.5 Lebih dari itu hadis tersebut</w:t>
      </w:r>
    </w:p>
    <w:p>
      <w:r>
        <w:t xml:space="preserve">4 Hadis dimaksud adalah: </w:t>
        <w:br/>
        <w:t>( صحيح البخاري7</w:t>
        <w:br/>
        <w:t xml:space="preserve"> /</w:t>
        <w:br/>
        <w:t>30</w:t>
        <w:br/>
        <w:t xml:space="preserve"> َّ) عَنْ أَبِي هُرَيْرَةَ، عَنِ النَّبِي ِ صَلَّى هللاُ عَلَيْهِ وَسَلَّمَ: «الَ تَصُومُ المَرْأَةُ وَبَعْلُهَا شَاهِدٌ إِال ، »ِبِإِذْنِه المستدرك على</w:t>
        <w:br/>
        <w:t>( الصحيحين للحاكم4</w:t>
        <w:br/>
        <w:t xml:space="preserve"> /</w:t>
        <w:br/>
        <w:t>191</w:t>
        <w:br/>
        <w:t xml:space="preserve"> َُّ)  عَنْ أَبِي هُرَيْرَةَ رَضِيَ ّللا ٌ عَنْهُ، قَالَ: قَالَ رَسُولُ ّللاَِّ صَلَّى هللاُ عَلَيْهِ وَسَلَّمَ: «الَ تَصُومُ الْمَرْأَةُ وَزَوْجُهَا شَاهِد</w:t>
        <w:br/>
        <w:t>( إِالَّ بِإِذْنِهِ» ، صحيح ابن خزيمة3</w:t>
        <w:br/>
        <w:t xml:space="preserve"> /</w:t>
        <w:br/>
        <w:t>319</w:t>
        <w:br/>
        <w:t xml:space="preserve"> َ) عَنْ أَبِي هُرَيْرَةَ، بَلَغَ بِهِ: «الَ تَصُومُ الْمَرْأَةُ يَوْمًا مِنْ غَيْرِ شَهْرِ رَمَض »ِانَ وَزَوْجُهَا شَاهِدٌ إِالَّ بِإِذْنِه </w:t>
        <w:br/>
        <w:t xml:space="preserve">55 Berikut hadisnya: </w:t>
        <w:br/>
        <w:t>( سنن أبي داود ت األرنؤوط4</w:t>
        <w:br/>
        <w:t xml:space="preserve"> /</w:t>
        <w:br/>
        <w:t>119</w:t>
        <w:br/>
        <w:t xml:space="preserve"> َّ) عن أبي سعيدٍ، قال: جاءتِ امرأةٌ إلى النبي-صلَّى هللا عليه وسلم- </w:t>
        <w:br/>
        <w:t xml:space="preserve"> ،ِونحن عنده فقالت: يا رسولَ هللا</w:t>
        <w:br/>
        <w:t xml:space="preserve"> إن زوجي صفوانَ بنَ المُعطَّل يضرِبُني إذا صليتُ ويُفط ِرني ،إذا صُمْتُ، وال يُصَلي صالةَ الفجر حتى تطلعَ الشمسُ، قال: وصفوانُ عندَه</w:t>
        <w:br/>
        <w:t xml:space="preserve"> قال: فسأله عما قالت، فقال: يا رسولَ هللا، أما قولُها يَضْرِبُني إذا صليتُ، فإنها تقرأ بسُورتَيَّ وقد نهيتُها، قال: فقال: "لو ًكانت سورةً واحِدة</w:t>
        <w:br/>
        <w:t xml:space="preserve"> لكَفَتِ الناس" وأما قولُها يفط ِرني، فإ نها تنطلق فتصومُ وأنا رَجُل شابٌّ فال أصبِرُ، فقال رسولُ هللا-صلَّى هللا عليه وسلم- </w:t>
        <w:br/>
        <w:t xml:space="preserve"> ُيومئذ: "ال تَصُوم</w:t>
        <w:br/>
        <w:t xml:space="preserve"> ِامرأةٌ إال بإذن زوْجِهَا"، وأما قولها إن ِي ال أُصل ِي حتى تطلُعَ الشمسُ، فإنا أهْلَ بَيْت قد عُرِفَ لنا ذاك، ال نكادُ نستيق :ظُ حتى تطلعَ الشمسُ، قال</w:t>
        <w:br/>
        <w:t xml:space="preserve"> "</w:t>
        <w:br/>
        <w:t>"فإذا استيقظتَ فَصَل</w:t>
      </w:r>
    </w:p>
    <w:p>
      <w:r>
        <w:t>7</w:t>
      </w:r>
    </w:p>
    <w:p>
      <w:r>
        <w:t>7</w:t>
      </w:r>
    </w:p>
    <w:p>
      <w:r>
        <w:t xml:space="preserve">dikonfirmasikan pada al-Quran Surah asy-Syura (42):386; an-Nisa (4):1247 dan an-Nahl </w:t>
        <w:br/>
        <w:t xml:space="preserve">(16):978 yang dipandang sebagai landasan dalil yang memayungi dalil di bawahnya.  </w:t>
        <w:br/>
        <w:t xml:space="preserve">Dengan menyertakan hadis lain yang berkaitan akan semakin terbaca bahwa hadis puasa </w:t>
        <w:br/>
        <w:t xml:space="preserve">sunah tanpa izin suami itu hadis yang masuk kategori al-‘ibratu bi khushis-sabab bukan </w:t>
        <w:br/>
        <w:t xml:space="preserve">kategori al-‘ibratu bi ‘umumil lafzh.9 </w:t>
        <w:br/>
        <w:t xml:space="preserve">Penulis berpandangan bahwa seringkali nash al-Quran pun perlu konfirmasi </w:t>
        <w:br/>
        <w:t>(bayan) Sunah untuk hasilkan simpulan hukum yang lebih legitimate. Misalnya Surah an-</w:t>
        <w:br/>
        <w:t xml:space="preserve">Nisa 4):610 yang dijadikan landasan dalil untuk tunaikan wudu, antara lain, dipahami </w:t>
        <w:br/>
        <w:t xml:space="preserve">Mazhab Hanafi sebagai tidak adanya ketentuan tertib dalam lakukan thaharah wudlu. </w:t>
        <w:br/>
        <w:t xml:space="preserve">Alasan yang dikedepankan Mazhab Hanafi ayat tuntunan wudu itu difirmankan Allah </w:t>
        <w:br/>
        <w:t xml:space="preserve">dengan gunakan huruf ‘athaf wawu yang isyaratkan tidak adanya keharusan urutan dalam </w:t>
        <w:br/>
        <w:t xml:space="preserve">berwudlu. Nash ayat diaats dikonfirmasi hadis Nabi saw yang tegaskan bahwa wawu ‘athaf </w:t>
        <w:br/>
        <w:t xml:space="preserve">pada ayat tersebut ditafsirkan Nabi saw sebagai wawu bimakna tsumma. Sehingga tertulis </w:t>
        <w:br/>
        <w:t xml:space="preserve">pada ayat dengan wawu tetapi kandungan maknanya adalah tsumma. 11  </w:t>
        <w:br/>
        <w:t>Ad. 3. Menetapkan Hukum dengan Pertimbangan Ta’lilul-ahkam</w:t>
      </w:r>
    </w:p>
    <w:p>
      <w:r>
        <w:t xml:space="preserve">Ta’ill ahkam pada intinya menyatakan bahwa hukum ditetapkan dengan sebab yang </w:t>
        <w:br/>
        <w:t xml:space="preserve">menyertainya. Jika sebab yang menyertai hukum itu ada maka ketentuan dalam hukum itu </w:t>
        <w:br/>
        <w:t xml:space="preserve">dipraktekan. Jika sebab yang menyertai adanya hukum itu tidak ada maka ketentuannya </w:t>
        <w:br/>
        <w:t xml:space="preserve">tidak diterapkan.  </w:t>
        <w:br/>
        <w:t xml:space="preserve">Dua misal produk hukum Tarjih dapat dikemukakan disini. Pertama putusan Tarjih tentang </w:t>
        <w:br/>
        <w:t xml:space="preserve">penggunaan hisab. Kedua, fatwa Tarjih berkenaan dengan hukum rukhshah shalat jumat </w:t>
        <w:br/>
        <w:t xml:space="preserve">yang bertepatan dengan hari raya. Yang pertama Tarjih berpandangan bahwa </w:t>
        <w:br/>
        <w:t xml:space="preserve">digunakannya rukyat pada zaman Nabi saw sebagai cara yang smentara kerana situasi </w:t>
        <w:br/>
        <w:t xml:space="preserve">ummat dakwah Nabi saw belum punya tradisi menulis dan berhitung. Pada saat itu </w:t>
        <w:br/>
        <w:t>mengamati dan memastikan fenomena alam secara langsung dipandang sebagai cara yang</w:t>
      </w:r>
    </w:p>
    <w:p>
      <w:r>
        <w:t xml:space="preserve">6 Ayatnya berbunyi: </w:t>
        <w:br/>
        <w:t xml:space="preserve"> َ{وَالَّذِينَ اسْتَجَابُوا لِرَب ِهِمْ وَأَقَامُوا الصََّلَةَ وَأَمْرُهُمْ شُورَى بَيْنَهُمْ وَمِمَّا رَزَقْنَاهُمْ يُنْفِقُون( </w:t>
        <w:br/>
        <w:t>38</w:t>
        <w:br/>
        <w:t xml:space="preserve"> :)} [الشورى38</w:t>
        <w:br/>
        <w:t xml:space="preserve"> ]</w:t>
      </w:r>
    </w:p>
    <w:p>
      <w:r>
        <w:t xml:space="preserve">7 Ayatnya berbunyi: </w:t>
        <w:br/>
        <w:t xml:space="preserve"> َ{وَمَنْ يَعْمَلْ مِنَ الصَّالِحَاتِ مِنْ ذَكَرٍ أ( وْ أُنْثَى وَهُوَ مُؤْمِنٌ فَأُولَئِكَ يَدْخُلُونَ الْجَنَّةَ وََلَ يُظْلَمُونَ نَقِيرًا124</w:t>
        <w:br/>
        <w:t xml:space="preserve"> :)} [النساء124</w:t>
        <w:br/>
        <w:t>]</w:t>
      </w:r>
    </w:p>
    <w:p>
      <w:r>
        <w:t xml:space="preserve">8 Ayatnya berbunyi: </w:t>
        <w:br/>
        <w:t xml:space="preserve"> ً{مَنْ عَمِلَ صَالِحًا مِنْ ذَكَرٍ أَوْ أُنْثَى وَهُوَ مُؤْمِنٌ فَلَنُحْيِيَنَّهُ حَيَاةً طَي ِبَة( َوَلَنَجْزِيَنَّهُمْ أَجْرَهُمْ بِأَحْسَنِ مَا كَانُوا يَعْمَلُون97</w:t>
        <w:br/>
        <w:t xml:space="preserve"> :)} [النحل97</w:t>
        <w:br/>
        <w:t>]</w:t>
      </w:r>
    </w:p>
    <w:p>
      <w:r>
        <w:t xml:space="preserve">9 Dalil dimaksud, antara lain, hadis berikut ini: </w:t>
        <w:br/>
        <w:t xml:space="preserve"> صحيح ابن حبان- </w:t>
        <w:br/>
        <w:t>( مخرجا6</w:t>
        <w:br/>
        <w:t xml:space="preserve"> /</w:t>
        <w:br/>
        <w:t>307</w:t>
        <w:br/>
        <w:t xml:space="preserve"> َ) عَنْ أَبِي هُرَيْرَةَ قَالَ: قَالَ رَسُولُ َّللاَِّ صَلَّى َّللاَُّ عَلَيْهِ وَسَلَّمَ:  «ر َحِمَ َّللاَُّ رَجَُلً قَامَ مِنَ اللَّيْلِ يُصَل ِي، وَأَيْقَظ</w:t>
        <w:br/>
        <w:t xml:space="preserve"> ْامْرَأَتَهُ، فَإِنْ أَبَتْ نَضَحَ فِي وَجْهِهَا الْمَاءَ، وَرَحِمَ َّللاَُّ امْرَأَةً قَامَتْ مِنَ اللَّيْلِ، وَأَيْقَظَتْ زَو»َجَهَا، فَإِنْ أَبَى نَضَحَتْ فِي وَجْهِهِ الْمَاء </w:t>
        <w:br/>
        <w:t>10 Ayatnya berbunyi:</w:t>
      </w:r>
    </w:p>
    <w:p>
      <w:r>
        <w:t>{يَا أَيُّهَا الَّذِينَ آمَنُوا إِذَا قُمْتُمْ إِلَى الصََّلَةِ فَاغْسِلُوا وُجُوهَكُمْ وَأَيْدِيَكُمْ إِلَى الْمَرَافِقِ وَا :مْسَحُوا بِرُءُوسِكُمْ وَأَرْجُلَكُمْ إِلَى الْكَعْبَيْنِ} [المائدة6</w:t>
        <w:br/>
        <w:t>]</w:t>
      </w:r>
    </w:p>
    <w:p>
      <w:r>
        <w:t xml:space="preserve">11 Berikut konfirmasi hadisnya: </w:t>
        <w:br/>
        <w:t>( صحيح البخاري3</w:t>
        <w:br/>
        <w:t xml:space="preserve"> /</w:t>
        <w:br/>
        <w:t>31</w:t>
        <w:br/>
        <w:t xml:space="preserve"> َ) عَنْ حُمْرَانَ، رَأَيْتُ عُثْمَانَ رَضِيَ َّللاَُّ عَنْهُ، تَوَضَّأَ فَأَفْرَغَ عَلَى يَدَيْهِ ثََلَثًا، ثُمَّ تَمَضْمَضَ و ،اسْتَنْثَرَ، ثُمَّ غَسَلَ وَجْهَهُ ثََلَثًا</w:t>
        <w:br/>
        <w:t xml:space="preserve"> َثُمَّ غَسَلَ يَدَهُ اليُمْنَى إِلَى المَرْفِقِ ثََلَثًا، ثُمَّ غَسَلَ يَدَهُ اليُسْر ُى إِلَى المَرْفِقِ ثََلَثًا، ثُمَّ مَسَحَ بِرَأْسِهِ، ثُمَّ غَسَلَ رِجْلَهُ اليُمْنَى ثََلَثًا، ثُمَّ اليُسْرَى ثََلَثًا، ث َّم</w:t>
        <w:br/>
        <w:t xml:space="preserve"> َقَالَ: رَأَيْتُ رَسُولَ َّللاَِّ صَلَّى هللاُ عَلَيْهِ وَسَلَّمَ تَوَضَّأَ نَحْوَ وَضُوئِي هَذَا ثُمَّ قَالَ: «مَنْ تَوَضَّأ ُو ضُوئِي هَذَا، ثُمَّ يُصَل ِي رَكْعَتَيْنِ َلَ يُحَد ِثُ نَفْسَهُ فِيهِمَا</w:t>
        <w:br/>
        <w:t xml:space="preserve"> »ِبِشَيْءٍ، إَِلَّ غُفِرَ لَهُ مَا تَقَدَّمَ مِنْ ذَنْبِه</w:t>
      </w:r>
    </w:p>
    <w:p>
      <w:r>
        <w:t>8</w:t>
      </w:r>
    </w:p>
    <w:p>
      <w:r>
        <w:t>8</w:t>
      </w:r>
    </w:p>
    <w:p>
      <w:r>
        <w:t xml:space="preserve">paling simple dan dapat dilakukan oleh banyak orang. Ayng kedua, Hadis-hadis terkait </w:t>
        <w:br/>
        <w:t xml:space="preserve">rukhshah tidak tunaikan shalat jumat dan diganti dengan shalat zhuhur manakala idul fithri </w:t>
        <w:br/>
        <w:t xml:space="preserve">atau idul adlha bertepatan dengan hari jumat dibaca secara seksama mengacu pada sebab </w:t>
        <w:br/>
        <w:t xml:space="preserve">jarak yang jauh antara rumah para shahabat dengan masjid Nabi saw dan lapangan yang </w:t>
        <w:br/>
        <w:t xml:space="preserve">dijadikan tempat shalat hari raya. Saat shalat shalat hari raya telah ditunaikan, Rasulullah </w:t>
        <w:br/>
        <w:t xml:space="preserve">sarankan kepada mereka yang rumahnya berjarak jauh dari masjid dan lapangan shalat id, </w:t>
        <w:br/>
        <w:t xml:space="preserve">untuk sementara tidak langsung pulang ke rumahnya. Mereka disarankan untuk tidak </w:t>
        <w:br/>
        <w:t xml:space="preserve">pulang tetapi menunggu waktu shalat jumat. Sementara kepada mereka yang tetap memilih </w:t>
        <w:br/>
        <w:t>pulang Rasulullah saw. berikan izin untuk tidak tunaikan shalat jum’at.</w:t>
      </w:r>
    </w:p>
    <w:p>
      <w:r>
        <w:t>Wallahu A’lam bish-Shawab.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