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bidi w:val="0"/>
        <w:spacing w:before="200" w:after="120"/>
        <w:jc w:val="start"/>
        <w:rPr/>
      </w:pPr>
      <w:r>
        <w:rPr>
          <w:rStyle w:val="StrongEmphasis"/>
          <w:b/>
        </w:rPr>
        <w:t>HW5</w:t>
      </w:r>
    </w:p>
    <w:p>
      <w:pPr>
        <w:pStyle w:val="Heading2"/>
        <w:bidi w:val="0"/>
        <w:jc w:val="start"/>
        <w:rPr/>
      </w:pPr>
      <w:bookmarkStart w:id="0" w:name="z_e"/>
      <w:bookmarkEnd w:id="0"/>
      <w:r>
        <w:rPr>
          <w:rStyle w:val="StrongEmphasis"/>
          <w:b/>
        </w:rPr>
        <w:t>Question 1</w:t>
      </w:r>
      <w:r>
        <w:rPr/>
        <w:t> (1 point)</w:t>
      </w:r>
    </w:p>
    <w:p>
      <w:pPr>
        <w:pStyle w:val="TextBody"/>
        <w:bidi w:val="0"/>
        <w:spacing w:before="0" w:after="0"/>
        <w:jc w:val="start"/>
        <w:rPr/>
      </w:pPr>
      <w:r>
        <w:rPr/>
        <w:t> </w:t>
      </w:r>
    </w:p>
    <w:p>
      <w:pPr>
        <w:sectPr>
          <w:type w:val="nextPage"/>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difference between Hazard and Poisson rate models?</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Underlying data undergoes censoring in hazard models, where some observations are dropped due to event occurence, while other observations fail to undergo the event prior to end of dataset; this does not occur in poisson rate models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Dependent variable is a level in hazard models versus a rate of change in poisson models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Underlying data undergoes censoring in poisson models, where some observations are dropped due to event occurence, while other observations fail to undergo the event prior to end of dataset; this does not occur in hazard models</w:t>
            </w:r>
          </w:p>
          <w:p/>
        </w:tc>
      </w:tr>
    </w:tbl>
    <w:p>
      <w:pPr>
        <w:pStyle w:val="Heading2"/>
        <w:bidi w:val="0"/>
        <w:jc w:val="start"/>
        <w:rPr/>
      </w:pPr>
      <w:bookmarkStart w:id="1" w:name="q2204174"/>
      <w:bookmarkStart w:id="2" w:name="z_m"/>
      <w:bookmarkEnd w:id="1"/>
      <w:bookmarkEnd w:id="2"/>
      <w:r>
        <w:rPr>
          <w:rStyle w:val="StrongEmphasis"/>
          <w:b/>
        </w:rPr>
        <w:t>Question 2</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disadvantage with event study reactions that predictive rate models try to solve?</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2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 large part of economically meaningful asset price reaction to event announcement occurs in a short period of time; being able to predict event incidence will aid in trading this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 large part of economically meaningful asset price reaction to event announcement occurs over the long run; we can just wait for actual event announcement to trade this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Predictive rate models attempt to solve the unobserved market model problem with event studies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bl>
    <w:p>
      <w:pPr>
        <w:pStyle w:val="Heading2"/>
        <w:bidi w:val="0"/>
        <w:jc w:val="start"/>
        <w:rPr/>
      </w:pPr>
      <w:bookmarkStart w:id="3" w:name="q2204175"/>
      <w:bookmarkStart w:id="4" w:name="z_u"/>
      <w:bookmarkEnd w:id="3"/>
      <w:bookmarkEnd w:id="4"/>
      <w:r>
        <w:rPr>
          <w:rStyle w:val="StrongEmphasis"/>
          <w:b/>
        </w:rPr>
        <w:t>Question 3</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does the hazard function measure?</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3 options:</w:t>
      </w:r>
    </w:p>
    <w:tbl>
      <w:tblPr>
        <w:tblW w:w="6710" w:type="dxa"/>
        <w:jc w:val="start"/>
        <w:tblInd w:w="28" w:type="dxa"/>
        <w:tblCellMar>
          <w:top w:w="28" w:type="dxa"/>
          <w:start w:w="28" w:type="dxa"/>
          <w:bottom w:w="28" w:type="dxa"/>
          <w:end w:w="28" w:type="dxa"/>
        </w:tblCellMar>
      </w:tblPr>
      <w:tblGrid>
        <w:gridCol w:w="124"/>
        <w:gridCol w:w="6586"/>
      </w:tblGrid>
      <w:tr>
        <w:trPr/>
        <w:tc>
          <w:tcPr>
            <w:tcW w:w="124" w:type="dxa"/>
            <w:tcBorders/>
            <w:vAlign w:val="center"/>
          </w:tcPr>
          <w:p>
            <w:pPr>
              <w:pStyle w:val="TableContents"/>
              <w:bidi w:val="0"/>
              <w:jc w:val="start"/>
              <w:rPr>
                <w:sz w:val="4"/>
                <w:szCs w:val="4"/>
              </w:rPr>
            </w:pPr>
            <w:r>
              <w:rPr>
                <w:sz w:val="4"/>
                <w:szCs w:val="4"/>
              </w:rPr>
            </w:r>
          </w:p>
        </w:tc>
        <w:tc>
          <w:tcPr>
            <w:tcW w:w="658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Average failure rate in dataset</w:t>
            </w:r>
          </w:p>
          <w:p/>
        </w:tc>
      </w:tr>
      <w:tr>
        <w:trPr/>
        <w:tc>
          <w:tcPr>
            <w:tcW w:w="124" w:type="dxa"/>
            <w:tcBorders/>
            <w:vAlign w:val="center"/>
          </w:tcPr>
          <w:p>
            <w:pPr>
              <w:pStyle w:val="TableContents"/>
              <w:bidi w:val="0"/>
              <w:jc w:val="start"/>
              <w:rPr>
                <w:sz w:val="4"/>
                <w:szCs w:val="4"/>
              </w:rPr>
            </w:pPr>
            <w:r>
              <w:rPr>
                <w:sz w:val="4"/>
                <w:szCs w:val="4"/>
              </w:rPr>
            </w:r>
          </w:p>
        </w:tc>
        <w:tc>
          <w:tcPr>
            <w:tcW w:w="658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Expected rate of failure, conditional on having survived until time t</w:t>
            </w:r>
          </w:p>
          <w:p/>
        </w:tc>
      </w:tr>
      <w:tr>
        <w:trPr/>
        <w:tc>
          <w:tcPr>
            <w:tcW w:w="124" w:type="dxa"/>
            <w:tcBorders/>
            <w:vAlign w:val="center"/>
          </w:tcPr>
          <w:p>
            <w:pPr>
              <w:pStyle w:val="TableContents"/>
              <w:bidi w:val="0"/>
              <w:jc w:val="start"/>
              <w:rPr>
                <w:sz w:val="4"/>
                <w:szCs w:val="4"/>
              </w:rPr>
            </w:pPr>
            <w:r>
              <w:rPr>
                <w:sz w:val="4"/>
                <w:szCs w:val="4"/>
              </w:rPr>
            </w:r>
          </w:p>
        </w:tc>
        <w:tc>
          <w:tcPr>
            <w:tcW w:w="658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Unconditional expected rate of failure</w:t>
            </w:r>
          </w:p>
          <w:p/>
        </w:tc>
      </w:tr>
      <w:tr>
        <w:trPr/>
        <w:tc>
          <w:tcPr>
            <w:tcW w:w="124" w:type="dxa"/>
            <w:tcBorders/>
            <w:vAlign w:val="center"/>
          </w:tcPr>
          <w:p>
            <w:pPr>
              <w:pStyle w:val="TableContents"/>
              <w:bidi w:val="0"/>
              <w:jc w:val="start"/>
              <w:rPr>
                <w:sz w:val="4"/>
                <w:szCs w:val="4"/>
              </w:rPr>
            </w:pPr>
            <w:r>
              <w:rPr>
                <w:sz w:val="4"/>
                <w:szCs w:val="4"/>
              </w:rPr>
            </w:r>
          </w:p>
        </w:tc>
        <w:tc>
          <w:tcPr>
            <w:tcW w:w="6586"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Expected rate of failure for observations that failed before time t</w:t>
            </w:r>
          </w:p>
          <w:p/>
        </w:tc>
      </w:tr>
    </w:tbl>
    <w:p>
      <w:pPr>
        <w:pStyle w:val="Heading2"/>
        <w:bidi w:val="0"/>
        <w:jc w:val="start"/>
        <w:rPr/>
      </w:pPr>
      <w:bookmarkStart w:id="5" w:name="q2204176"/>
      <w:bookmarkStart w:id="6" w:name="z_bc"/>
      <w:bookmarkEnd w:id="5"/>
      <w:bookmarkEnd w:id="6"/>
      <w:r>
        <w:rPr>
          <w:rStyle w:val="StrongEmphasis"/>
          <w:b/>
        </w:rPr>
        <w:t>Question 4</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In a dataset which measures M&amp;A incidence for targets, once a firm has been an M&amp;A target, it is removed from dataset.  Each row in dataset is a firm-year observation.  Variable X is coded 1 if a firm is M&amp;A target in a particular year, 0 otherwise.  What is the right censorship problem?</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4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Firms which have never been M&amp;A target prior to end of dataset are overweighted in the analysis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Firms which have never been M&amp;A target prior to end of dataset are dropped from analysis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Firms which have never been M&amp;A target prior to end of dataset are treated as if they will be M&amp;A target 1 period after the end of dataset</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Firms which have never been M&amp;A target prior to end of dataset are treated as if they will never ever be M&amp;A target</w:t>
            </w:r>
          </w:p>
          <w:p/>
        </w:tc>
      </w:tr>
    </w:tbl>
    <w:p>
      <w:pPr>
        <w:pStyle w:val="Heading2"/>
        <w:bidi w:val="0"/>
        <w:jc w:val="start"/>
        <w:rPr/>
      </w:pPr>
      <w:bookmarkStart w:id="7" w:name="q2204177"/>
      <w:bookmarkStart w:id="8" w:name="z_bk"/>
      <w:bookmarkEnd w:id="7"/>
      <w:bookmarkEnd w:id="8"/>
      <w:r>
        <w:rPr>
          <w:rStyle w:val="StrongEmphasis"/>
          <w:b/>
        </w:rPr>
        <w:t>Question 5</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best choice for a dependent variable in a Poisson rate model?</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5 options:</w:t>
      </w:r>
    </w:p>
    <w:tbl>
      <w:tblPr>
        <w:tblW w:w="3967" w:type="dxa"/>
        <w:jc w:val="start"/>
        <w:tblInd w:w="28" w:type="dxa"/>
        <w:tblCellMar>
          <w:top w:w="28" w:type="dxa"/>
          <w:start w:w="28" w:type="dxa"/>
          <w:bottom w:w="28" w:type="dxa"/>
          <w:end w:w="28" w:type="dxa"/>
        </w:tblCellMar>
      </w:tblPr>
      <w:tblGrid>
        <w:gridCol w:w="124"/>
        <w:gridCol w:w="3843"/>
      </w:tblGrid>
      <w:tr>
        <w:trPr/>
        <w:tc>
          <w:tcPr>
            <w:tcW w:w="124" w:type="dxa"/>
            <w:tcBorders/>
            <w:vAlign w:val="center"/>
          </w:tcPr>
          <w:p>
            <w:pPr>
              <w:pStyle w:val="TableContents"/>
              <w:bidi w:val="0"/>
              <w:jc w:val="start"/>
              <w:rPr>
                <w:sz w:val="4"/>
                <w:szCs w:val="4"/>
              </w:rPr>
            </w:pPr>
            <w:r>
              <w:rPr>
                <w:sz w:val="4"/>
                <w:szCs w:val="4"/>
              </w:rPr>
            </w:r>
          </w:p>
        </w:tc>
        <w:tc>
          <w:tcPr>
            <w:tcW w:w="384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 measure of probability or likelihood</w:t>
            </w:r>
          </w:p>
          <w:p/>
        </w:tc>
      </w:tr>
      <w:tr>
        <w:trPr/>
        <w:tc>
          <w:tcPr>
            <w:tcW w:w="124" w:type="dxa"/>
            <w:tcBorders/>
            <w:vAlign w:val="center"/>
          </w:tcPr>
          <w:p>
            <w:pPr>
              <w:pStyle w:val="TableContents"/>
              <w:bidi w:val="0"/>
              <w:jc w:val="start"/>
              <w:rPr>
                <w:sz w:val="4"/>
                <w:szCs w:val="4"/>
              </w:rPr>
            </w:pPr>
            <w:r>
              <w:rPr>
                <w:sz w:val="4"/>
                <w:szCs w:val="4"/>
              </w:rPr>
            </w:r>
          </w:p>
        </w:tc>
        <w:tc>
          <w:tcPr>
            <w:tcW w:w="384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Any discrete variable</w:t>
            </w:r>
          </w:p>
          <w:p/>
        </w:tc>
      </w:tr>
      <w:tr>
        <w:trPr/>
        <w:tc>
          <w:tcPr>
            <w:tcW w:w="124" w:type="dxa"/>
            <w:tcBorders/>
            <w:vAlign w:val="center"/>
          </w:tcPr>
          <w:p>
            <w:pPr>
              <w:pStyle w:val="TableContents"/>
              <w:bidi w:val="0"/>
              <w:jc w:val="start"/>
              <w:rPr>
                <w:sz w:val="4"/>
                <w:szCs w:val="4"/>
              </w:rPr>
            </w:pPr>
            <w:r>
              <w:rPr>
                <w:sz w:val="4"/>
                <w:szCs w:val="4"/>
              </w:rPr>
            </w:r>
          </w:p>
        </w:tc>
        <w:tc>
          <w:tcPr>
            <w:tcW w:w="384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Outcome variable / unit time</w:t>
            </w:r>
          </w:p>
          <w:p/>
        </w:tc>
      </w:tr>
      <w:tr>
        <w:trPr/>
        <w:tc>
          <w:tcPr>
            <w:tcW w:w="124" w:type="dxa"/>
            <w:tcBorders/>
            <w:vAlign w:val="center"/>
          </w:tcPr>
          <w:p>
            <w:pPr>
              <w:pStyle w:val="TableContents"/>
              <w:bidi w:val="0"/>
              <w:jc w:val="start"/>
              <w:rPr>
                <w:sz w:val="4"/>
                <w:szCs w:val="4"/>
              </w:rPr>
            </w:pPr>
            <w:r>
              <w:rPr>
                <w:sz w:val="4"/>
                <w:szCs w:val="4"/>
              </w:rPr>
            </w:r>
          </w:p>
        </w:tc>
        <w:tc>
          <w:tcPr>
            <w:tcW w:w="3843"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bl>
    <w:p>
      <w:pPr>
        <w:pStyle w:val="Heading2"/>
        <w:bidi w:val="0"/>
        <w:jc w:val="start"/>
        <w:rPr/>
      </w:pPr>
      <w:bookmarkStart w:id="9" w:name="q2204178"/>
      <w:bookmarkStart w:id="10" w:name="z_bs"/>
      <w:bookmarkEnd w:id="9"/>
      <w:bookmarkEnd w:id="10"/>
      <w:r>
        <w:rPr>
          <w:rStyle w:val="StrongEmphasis"/>
          <w:b/>
        </w:rPr>
        <w:t>Question 6</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How does the hazard model account for censoring?</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6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Hazard models do not account for censoring, while poisson models do.</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Hazard models account for censoring via the parallel trends assumption</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Hazard models are estimated via maximum likehood, which tries to solve for numerical values of parameters that maximize the probatility of observing the dataset.  Here, probability of observing dataset is compound probability of observing insample failures in dataset and probability of observing survival of certain subjects up to a certain time given parameters.  Hence, 'survival / censoring' is already measured in likelihood function</w:t>
            </w:r>
          </w:p>
          <w:p/>
        </w:tc>
      </w:tr>
    </w:tbl>
    <w:p>
      <w:pPr>
        <w:pStyle w:val="Heading2"/>
        <w:bidi w:val="0"/>
        <w:jc w:val="start"/>
        <w:rPr/>
      </w:pPr>
      <w:bookmarkStart w:id="11" w:name="q2204179"/>
      <w:bookmarkStart w:id="12" w:name="z_ca"/>
      <w:bookmarkEnd w:id="11"/>
      <w:bookmarkEnd w:id="12"/>
      <w:r>
        <w:rPr>
          <w:rStyle w:val="StrongEmphasis"/>
          <w:b/>
        </w:rPr>
        <w:t>Question 7</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the implicit assumption that results in bias for right censored data?</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7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test subjects will eventually encounter failure; hence treating subjects that have not failed prior to end of observational period as if they will never fail causes bias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test subjects will eventually encounter failure; hence we should only restrict our estimation sample to test subjects that have not failed prior to end of the observation period for best results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All test subjects will eventually encounter failure; hence we should only restrict our estimation sample to test subjects that failed prior to the end of observation period for best results</w:t>
            </w:r>
          </w:p>
          <w:p/>
        </w:tc>
      </w:tr>
    </w:tbl>
    <w:p>
      <w:pPr>
        <w:pStyle w:val="Heading2"/>
        <w:bidi w:val="0"/>
        <w:jc w:val="start"/>
        <w:rPr/>
      </w:pPr>
      <w:bookmarkStart w:id="13" w:name="q2204180"/>
      <w:bookmarkStart w:id="14" w:name="z_ci"/>
      <w:bookmarkEnd w:id="13"/>
      <w:bookmarkEnd w:id="14"/>
      <w:r>
        <w:rPr>
          <w:rStyle w:val="StrongEmphasis"/>
          <w:b/>
        </w:rPr>
        <w:t>Question 8</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What is 'value add' of Cox proportional hazards model over a hazard model?</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8 options:</w:t>
      </w:r>
    </w:p>
    <w:tbl>
      <w:tblPr>
        <w:tblW w:w="9972" w:type="dxa"/>
        <w:jc w:val="start"/>
        <w:tblInd w:w="28" w:type="dxa"/>
        <w:tblCellMar>
          <w:top w:w="28" w:type="dxa"/>
          <w:start w:w="28" w:type="dxa"/>
          <w:bottom w:w="28" w:type="dxa"/>
          <w:end w:w="28" w:type="dxa"/>
        </w:tblCellMar>
      </w:tblPr>
      <w:tblGrid>
        <w:gridCol w:w="124"/>
        <w:gridCol w:w="9848"/>
      </w:tblGrid>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None of the options</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Ability to add and estimate effect of covariates, subject to assumption that covariates result in discontinuous shift in baseline hazard rate at a specific timestamp</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Ability to add and estimate effect of covariates, subject to assumption that covariates result in parallel shift in baseline hazard rate</w:t>
            </w:r>
          </w:p>
          <w:p/>
        </w:tc>
      </w:tr>
      <w:tr>
        <w:trPr/>
        <w:tc>
          <w:tcPr>
            <w:tcW w:w="124" w:type="dxa"/>
            <w:tcBorders/>
            <w:vAlign w:val="center"/>
          </w:tcPr>
          <w:p>
            <w:pPr>
              <w:pStyle w:val="TableContents"/>
              <w:bidi w:val="0"/>
              <w:jc w:val="start"/>
              <w:rPr>
                <w:sz w:val="4"/>
                <w:szCs w:val="4"/>
              </w:rPr>
            </w:pPr>
            <w:r>
              <w:rPr>
                <w:sz w:val="4"/>
                <w:szCs w:val="4"/>
              </w:rPr>
            </w:r>
          </w:p>
        </w:tc>
        <w:tc>
          <w:tcPr>
            <w:tcW w:w="9848"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Ability to add and estimate effect of covariates, subject to assumption that covariates result in fixed change to gradient of the baseline hazard rate across all timestamps</w:t>
            </w:r>
          </w:p>
          <w:p/>
        </w:tc>
      </w:tr>
    </w:tbl>
    <w:p>
      <w:pPr>
        <w:pStyle w:val="Heading2"/>
        <w:bidi w:val="0"/>
        <w:jc w:val="start"/>
        <w:rPr/>
      </w:pPr>
      <w:bookmarkStart w:id="15" w:name="q2204181"/>
      <w:bookmarkStart w:id="16" w:name="z_cq"/>
      <w:bookmarkEnd w:id="15"/>
      <w:bookmarkEnd w:id="16"/>
      <w:r>
        <w:rPr>
          <w:rStyle w:val="StrongEmphasis"/>
          <w:b/>
        </w:rPr>
        <w:t>Question 9</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Which of following is best suited for estimation with a hazard model?</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9 options:</w:t>
      </w:r>
    </w:p>
    <w:tbl>
      <w:tblPr>
        <w:tblW w:w="5309" w:type="dxa"/>
        <w:jc w:val="start"/>
        <w:tblInd w:w="28" w:type="dxa"/>
        <w:tblCellMar>
          <w:top w:w="28" w:type="dxa"/>
          <w:start w:w="28" w:type="dxa"/>
          <w:bottom w:w="28" w:type="dxa"/>
          <w:end w:w="28" w:type="dxa"/>
        </w:tblCellMar>
      </w:tblPr>
      <w:tblGrid>
        <w:gridCol w:w="124"/>
        <w:gridCol w:w="5185"/>
      </w:tblGrid>
      <w:tr>
        <w:trPr/>
        <w:tc>
          <w:tcPr>
            <w:tcW w:w="124" w:type="dxa"/>
            <w:tcBorders/>
            <w:vAlign w:val="center"/>
          </w:tcPr>
          <w:p>
            <w:pPr>
              <w:pStyle w:val="TableContents"/>
              <w:bidi w:val="0"/>
              <w:jc w:val="start"/>
              <w:rPr>
                <w:sz w:val="4"/>
                <w:szCs w:val="4"/>
              </w:rPr>
            </w:pPr>
            <w:r>
              <w:rPr>
                <w:sz w:val="4"/>
                <w:szCs w:val="4"/>
              </w:rPr>
            </w:r>
          </w:p>
        </w:tc>
        <w:tc>
          <w:tcPr>
            <w:tcW w:w="518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Likelihood of firm bankruptcy / exit</w:t>
            </w:r>
          </w:p>
          <w:p/>
        </w:tc>
      </w:tr>
      <w:tr>
        <w:trPr/>
        <w:tc>
          <w:tcPr>
            <w:tcW w:w="124" w:type="dxa"/>
            <w:tcBorders/>
            <w:vAlign w:val="center"/>
          </w:tcPr>
          <w:p>
            <w:pPr>
              <w:pStyle w:val="TableContents"/>
              <w:bidi w:val="0"/>
              <w:jc w:val="start"/>
              <w:rPr>
                <w:sz w:val="4"/>
                <w:szCs w:val="4"/>
              </w:rPr>
            </w:pPr>
            <w:r>
              <w:rPr>
                <w:sz w:val="4"/>
                <w:szCs w:val="4"/>
              </w:rPr>
            </w:r>
          </w:p>
        </w:tc>
        <w:tc>
          <w:tcPr>
            <w:tcW w:w="518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M&amp;A as acquirer</w:t>
            </w:r>
          </w:p>
          <w:p/>
        </w:tc>
      </w:tr>
      <w:tr>
        <w:trPr/>
        <w:tc>
          <w:tcPr>
            <w:tcW w:w="124" w:type="dxa"/>
            <w:tcBorders/>
            <w:vAlign w:val="center"/>
          </w:tcPr>
          <w:p>
            <w:pPr>
              <w:pStyle w:val="TableContents"/>
              <w:bidi w:val="0"/>
              <w:jc w:val="start"/>
              <w:rPr>
                <w:sz w:val="4"/>
                <w:szCs w:val="4"/>
              </w:rPr>
            </w:pPr>
            <w:r>
              <w:rPr>
                <w:sz w:val="4"/>
                <w:szCs w:val="4"/>
              </w:rPr>
            </w:r>
          </w:p>
        </w:tc>
        <w:tc>
          <w:tcPr>
            <w:tcW w:w="518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rare natural disasters such as hurricanes</w:t>
            </w:r>
          </w:p>
          <w:p/>
        </w:tc>
      </w:tr>
      <w:tr>
        <w:trPr/>
        <w:tc>
          <w:tcPr>
            <w:tcW w:w="124" w:type="dxa"/>
            <w:tcBorders/>
            <w:vAlign w:val="center"/>
          </w:tcPr>
          <w:p>
            <w:pPr>
              <w:pStyle w:val="TableContents"/>
              <w:bidi w:val="0"/>
              <w:jc w:val="start"/>
              <w:rPr>
                <w:sz w:val="4"/>
                <w:szCs w:val="4"/>
              </w:rPr>
            </w:pPr>
            <w:r>
              <w:rPr>
                <w:sz w:val="4"/>
                <w:szCs w:val="4"/>
              </w:rPr>
            </w:r>
          </w:p>
        </w:tc>
        <w:tc>
          <w:tcPr>
            <w:tcW w:w="5185"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Probability of bond rating upgrade / downgrade</w:t>
            </w:r>
          </w:p>
          <w:p/>
        </w:tc>
      </w:tr>
    </w:tbl>
    <w:p>
      <w:pPr>
        <w:pStyle w:val="Heading2"/>
        <w:bidi w:val="0"/>
        <w:jc w:val="start"/>
        <w:rPr/>
      </w:pPr>
      <w:bookmarkStart w:id="17" w:name="q2204182"/>
      <w:bookmarkStart w:id="18" w:name="z_cy"/>
      <w:bookmarkEnd w:id="17"/>
      <w:bookmarkEnd w:id="18"/>
      <w:r>
        <w:rPr>
          <w:rStyle w:val="StrongEmphasis"/>
          <w:b/>
        </w:rPr>
        <w:t>Question 10</w:t>
      </w:r>
      <w:r>
        <w:rPr/>
        <w:t> (1 point)</w:t>
      </w:r>
    </w:p>
    <w:p>
      <w:pPr>
        <w:pStyle w:val="TextBody"/>
        <w:bidi w:val="0"/>
        <w:spacing w:before="0" w:after="0"/>
        <w:jc w:val="start"/>
        <w:rPr/>
      </w:pPr>
      <w:r>
        <w:rPr/>
        <w:t> </w:t>
      </w:r>
    </w:p>
    <w:p>
      <w:pPr>
        <w:sectPr>
          <w:type w:val="continuous"/>
          <w:pgSz w:w="12240" w:h="15840"/>
          <w:pgMar w:left="1134" w:right="1134" w:header="0" w:top="1134" w:footer="0" w:bottom="1134" w:gutter="0"/>
          <w:pgNumType w:fmt="decimal"/>
          <w:formProt w:val="false"/>
          <w:textDirection w:val="lrTb"/>
        </w:sectPr>
      </w:pPr>
    </w:p>
    <w:p>
      <w:pPr>
        <w:pStyle w:val="TextBody"/>
        <w:bidi w:val="0"/>
        <w:spacing w:lineRule="auto" w:line="352" w:before="0" w:after="0"/>
        <w:ind w:start="0" w:end="0" w:hanging="0"/>
        <w:jc w:val="start"/>
        <w:rPr/>
      </w:pPr>
      <w:r>
        <w:rPr/>
        <w:t>Which of following is best estimated with a probit rate model</w:t>
      </w:r>
    </w:p>
    <w:p>
      <w:pPr>
        <w:sectPr>
          <w:type w:val="continuous"/>
          <w:pgSz w:w="12240" w:h="15840"/>
          <w:pgMar w:left="1134" w:right="1134" w:header="0" w:top="1134" w:footer="0" w:bottom="1134" w:gutter="0"/>
          <w:formProt w:val="false"/>
          <w:textDirection w:val="lrTb"/>
        </w:sectPr>
      </w:pPr>
    </w:p>
    <w:p>
      <w:pPr>
        <w:pStyle w:val="TextBody"/>
        <w:bidi w:val="0"/>
        <w:spacing w:before="0" w:after="0"/>
        <w:jc w:val="start"/>
        <w:rPr/>
      </w:pPr>
      <w:r>
        <w:rPr/>
        <w:t>Question 10 options:</w:t>
      </w:r>
    </w:p>
    <w:tbl>
      <w:tblPr>
        <w:tblW w:w="4006" w:type="dxa"/>
        <w:jc w:val="start"/>
        <w:tblInd w:w="28" w:type="dxa"/>
        <w:tblCellMar>
          <w:top w:w="28" w:type="dxa"/>
          <w:start w:w="28" w:type="dxa"/>
          <w:bottom w:w="28" w:type="dxa"/>
          <w:end w:w="28" w:type="dxa"/>
        </w:tblCellMar>
      </w:tblPr>
      <w:tblGrid>
        <w:gridCol w:w="124"/>
        <w:gridCol w:w="3882"/>
      </w:tblGrid>
      <w:tr>
        <w:trPr/>
        <w:tc>
          <w:tcPr>
            <w:tcW w:w="124" w:type="dxa"/>
            <w:tcBorders/>
            <w:vAlign w:val="center"/>
          </w:tcPr>
          <w:p>
            <w:pPr>
              <w:pStyle w:val="TableContents"/>
              <w:bidi w:val="0"/>
              <w:jc w:val="start"/>
              <w:rPr>
                <w:sz w:val="4"/>
                <w:szCs w:val="4"/>
              </w:rPr>
            </w:pPr>
            <w:r>
              <w:rPr>
                <w:sz w:val="4"/>
                <w:szCs w:val="4"/>
              </w:rPr>
            </w:r>
          </w:p>
        </w:tc>
        <w:tc>
          <w:tcPr>
            <w:tcW w:w="3882"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M&amp;A as acquirer</w:t>
            </w:r>
          </w:p>
          <w:p/>
        </w:tc>
      </w:tr>
      <w:tr>
        <w:trPr/>
        <w:tc>
          <w:tcPr>
            <w:tcW w:w="124" w:type="dxa"/>
            <w:tcBorders/>
            <w:vAlign w:val="center"/>
          </w:tcPr>
          <w:p>
            <w:pPr>
              <w:pStyle w:val="TableContents"/>
              <w:bidi w:val="0"/>
              <w:jc w:val="start"/>
              <w:rPr>
                <w:sz w:val="4"/>
                <w:szCs w:val="4"/>
              </w:rPr>
            </w:pPr>
            <w:r>
              <w:rPr>
                <w:sz w:val="4"/>
                <w:szCs w:val="4"/>
              </w:rPr>
            </w:r>
          </w:p>
        </w:tc>
        <w:tc>
          <w:tcPr>
            <w:tcW w:w="3882"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M&amp;A as target</w:t>
            </w:r>
          </w:p>
          <w:p/>
        </w:tc>
      </w:tr>
      <w:tr>
        <w:trPr/>
        <w:tc>
          <w:tcPr>
            <w:tcW w:w="124" w:type="dxa"/>
            <w:tcBorders/>
            <w:vAlign w:val="center"/>
          </w:tcPr>
          <w:p>
            <w:pPr>
              <w:pStyle w:val="TableContents"/>
              <w:bidi w:val="0"/>
              <w:jc w:val="start"/>
              <w:rPr>
                <w:sz w:val="4"/>
                <w:szCs w:val="4"/>
              </w:rPr>
            </w:pPr>
            <w:r>
              <w:rPr>
                <w:sz w:val="4"/>
                <w:szCs w:val="4"/>
              </w:rPr>
            </w:r>
          </w:p>
        </w:tc>
        <w:tc>
          <w:tcPr>
            <w:tcW w:w="3882"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firm bankruptcy</w:t>
            </w:r>
          </w:p>
          <w:p/>
        </w:tc>
      </w:tr>
      <w:tr>
        <w:trPr/>
        <w:tc>
          <w:tcPr>
            <w:tcW w:w="124" w:type="dxa"/>
            <w:tcBorders/>
            <w:vAlign w:val="center"/>
          </w:tcPr>
          <w:p>
            <w:pPr>
              <w:pStyle w:val="TableContents"/>
              <w:bidi w:val="0"/>
              <w:jc w:val="start"/>
              <w:rPr>
                <w:sz w:val="4"/>
                <w:szCs w:val="4"/>
              </w:rPr>
            </w:pPr>
            <w:r>
              <w:rPr>
                <w:sz w:val="4"/>
                <w:szCs w:val="4"/>
              </w:rPr>
            </w:r>
          </w:p>
        </w:tc>
        <w:tc>
          <w:tcPr>
            <w:tcW w:w="3882" w:type="dxa"/>
            <w:tcBorders/>
            <w:vAlign w:val="center"/>
          </w:tcPr>
          <w:p>
            <w:pPr>
              <w:pStyle w:val="TableContents"/>
              <w:suppressLineNumbers/>
              <w:bidi w:val="0"/>
              <w:jc w:val="start"/>
              <w:rPr/>
            </w:pPr>
            <w:r>
              <w:rPr/>
            </w:r>
          </w:p>
          <w:p>
            <w:pPr>
              <w:pStyle w:val="TableContents"/>
              <w:bidi w:val="0"/>
              <w:spacing w:lineRule="auto" w:line="352" w:before="0" w:after="0"/>
              <w:ind w:start="0" w:end="0" w:hanging="0"/>
              <w:jc w:val="start"/>
              <w:rPr/>
            </w:pPr>
            <w:r>
              <w:rPr/>
              <w:t>Incidence of firm voluntary liquidation</w:t>
            </w:r>
          </w:p>
          <w:p/>
        </w:tc>
      </w:tr>
    </w:tbl>
    <w:p>
      <w:pPr>
        <w:pStyle w:val="TextBody"/>
        <w:bidi w:val="0"/>
        <w:spacing w:before="0" w:after="0"/>
        <w:jc w:val="start"/>
        <w:rPr/>
      </w:pPr>
      <w:r>
        <w:rPr/>
      </w:r>
    </w:p>
    <w:p>
      <w:pPr>
        <w:pStyle w:val="HorizontalLine"/>
        <w:suppressLineNumbers/>
        <w:pBdr>
          <w:bottom w:val="double" w:sz="2" w:space="0" w:color="808080"/>
        </w:pBdr>
        <w:bidi w:val="0"/>
        <w:spacing w:before="0" w:after="283"/>
        <w:jc w:val="start"/>
        <w:rPr/>
      </w:pPr>
      <w:r>
        <w:rPr/>
      </w:r>
    </w:p>
    <w:p>
      <w:pPr>
        <w:pStyle w:val="TextBody"/>
        <w:bidi w:val="0"/>
        <w:spacing w:before="0" w:after="0"/>
        <w:jc w:val="start"/>
        <w:rPr>
          <w:rStyle w:val="Emphasis"/>
        </w:rPr>
      </w:pPr>
      <w:r>
        <w:rPr/>
      </w:r>
    </w:p>
    <w:p>
      <w:pPr>
        <w:pStyle w:val="Normal"/>
        <w:bidi w:val="0"/>
        <w:jc w:val="start"/>
        <w:rPr/>
      </w:pPr>
      <w:r>
        <w:rPr/>
      </w:r>
    </w:p>
    <w:sectPr>
      <w:type w:val="continuous"/>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LibreOffice/6.4.7.2$Linux_X86_64 LibreOffice_project/40$Build-2</Application>
  <Pages>4</Pages>
  <Words>835</Words>
  <Characters>4243</Characters>
  <CharactersWithSpaces>5021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2025-02-05T03:31:27Z</dcterms:created>
  <dc:creator/>
  <dc:description/>
  <dc:language>en-US</dc:language>
  <cp:lastModifiedBy/>
  <dcterms:modified xsi:type="dcterms:W3CDTF">2025-02-05T03:32:51Z</dcterms:modified>
  <cp:revision>1</cp:revision>
  <dc:subject/>
  <dc:title/>
</cp:coreProperties>
</file>