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9371" w14:textId="622F0E71" w:rsidR="001E798D" w:rsidRDefault="00DA168D">
      <w:r>
        <w:t xml:space="preserve">Kingsport Community Needs Assessment </w:t>
      </w:r>
    </w:p>
    <w:p w14:paraId="4249F5AB" w14:textId="726D909B" w:rsidR="00707F27" w:rsidRDefault="00707F27">
      <w:r>
        <w:t>Unless otherwise noted, all data</w:t>
      </w:r>
      <w:r w:rsidR="003B5D4C">
        <w:t xml:space="preserve"> from the American Community Survey 2013-2017 </w:t>
      </w:r>
      <w:proofErr w:type="gramStart"/>
      <w:r w:rsidR="003B5D4C">
        <w:t>5 year</w:t>
      </w:r>
      <w:proofErr w:type="gramEnd"/>
      <w:r w:rsidR="003B5D4C">
        <w:t xml:space="preserve"> estimates. </w:t>
      </w:r>
    </w:p>
    <w:p w14:paraId="1F1CA0A7" w14:textId="77777777" w:rsidR="00707F27" w:rsidRDefault="00707F27"/>
    <w:p w14:paraId="4BA24BB1" w14:textId="2ED8CE0A" w:rsidR="004C751E" w:rsidRDefault="004C751E">
      <w:r>
        <w:t>Population Profile</w:t>
      </w:r>
    </w:p>
    <w:p w14:paraId="6E95BDAC" w14:textId="66F1FFF3" w:rsidR="00DA168D" w:rsidRPr="00B2258B" w:rsidRDefault="004C751E" w:rsidP="00DA168D">
      <w:pPr>
        <w:pStyle w:val="NoSpacing"/>
        <w:rPr>
          <w:color w:val="000000"/>
        </w:rPr>
      </w:pPr>
      <w:r w:rsidRPr="00B2258B">
        <w:rPr>
          <w:color w:val="000000"/>
        </w:rPr>
        <w:t xml:space="preserve">Based </w:t>
      </w:r>
      <w:r w:rsidR="008E7555" w:rsidRPr="00B2258B">
        <w:rPr>
          <w:color w:val="000000"/>
        </w:rPr>
        <w:t>on the 2018 American Community Survey, t</w:t>
      </w:r>
      <w:r w:rsidRPr="00B2258B">
        <w:rPr>
          <w:color w:val="000000"/>
        </w:rPr>
        <w:t>he current 2018 population estimate of Tennessee is 6</w:t>
      </w:r>
      <w:r w:rsidR="008E7555" w:rsidRPr="00B2258B">
        <w:rPr>
          <w:color w:val="000000"/>
        </w:rPr>
        <w:t xml:space="preserve">,770,010, up 6.7% from 2010. </w:t>
      </w:r>
      <w:r w:rsidRPr="00B2258B">
        <w:rPr>
          <w:color w:val="000000"/>
        </w:rPr>
        <w:t xml:space="preserve">The city of Kingsport has a 2018 population estimate of 54,076, up 2.0% from the 2010 census mark of 48,205. This is slightly behind the 6.0% overall population growth of the United States. </w:t>
      </w:r>
    </w:p>
    <w:p w14:paraId="179EAD20" w14:textId="01E0CCD2" w:rsidR="008E7555" w:rsidRDefault="008E7555" w:rsidP="00DA168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E7555" w14:paraId="7F9DA8AD" w14:textId="77777777" w:rsidTr="008E7555">
        <w:tc>
          <w:tcPr>
            <w:tcW w:w="1870" w:type="dxa"/>
          </w:tcPr>
          <w:p w14:paraId="13B6FBDB" w14:textId="77777777" w:rsidR="008E7555" w:rsidRDefault="008E7555" w:rsidP="00DA168D">
            <w:pPr>
              <w:pStyle w:val="NoSpacing"/>
            </w:pPr>
          </w:p>
        </w:tc>
        <w:tc>
          <w:tcPr>
            <w:tcW w:w="1870" w:type="dxa"/>
          </w:tcPr>
          <w:p w14:paraId="6DE8BBE6" w14:textId="522CA78F" w:rsidR="008E7555" w:rsidRDefault="008E7555" w:rsidP="00DA168D">
            <w:pPr>
              <w:pStyle w:val="NoSpacing"/>
            </w:pPr>
            <w:r>
              <w:t>Total Population (2010 Census)</w:t>
            </w:r>
          </w:p>
        </w:tc>
        <w:tc>
          <w:tcPr>
            <w:tcW w:w="1870" w:type="dxa"/>
          </w:tcPr>
          <w:p w14:paraId="147D615D" w14:textId="623F5AD5" w:rsidR="008E7555" w:rsidRDefault="008E7555" w:rsidP="00DA168D">
            <w:pPr>
              <w:pStyle w:val="NoSpacing"/>
            </w:pPr>
            <w:r>
              <w:t>Population Estimate (July 1, 2018 ACS)</w:t>
            </w:r>
          </w:p>
        </w:tc>
        <w:tc>
          <w:tcPr>
            <w:tcW w:w="1870" w:type="dxa"/>
          </w:tcPr>
          <w:p w14:paraId="290CFB89" w14:textId="2DCF0B86" w:rsidR="008E7555" w:rsidRDefault="008E7555" w:rsidP="00DA168D">
            <w:pPr>
              <w:pStyle w:val="NoSpacing"/>
            </w:pPr>
            <w:r>
              <w:t>% Change</w:t>
            </w:r>
          </w:p>
        </w:tc>
      </w:tr>
      <w:tr w:rsidR="008E7555" w14:paraId="23C52F66" w14:textId="77777777" w:rsidTr="008E7555">
        <w:tc>
          <w:tcPr>
            <w:tcW w:w="1870" w:type="dxa"/>
          </w:tcPr>
          <w:p w14:paraId="5E5CFECA" w14:textId="5B79AD29" w:rsidR="008E7555" w:rsidRDefault="008E7555" w:rsidP="00DA168D">
            <w:pPr>
              <w:pStyle w:val="NoSpacing"/>
            </w:pPr>
            <w:r>
              <w:t>Kingsport</w:t>
            </w:r>
          </w:p>
        </w:tc>
        <w:tc>
          <w:tcPr>
            <w:tcW w:w="1870" w:type="dxa"/>
          </w:tcPr>
          <w:p w14:paraId="30A774A9" w14:textId="38677CCD" w:rsidR="008E7555" w:rsidRDefault="008E7555" w:rsidP="00DA168D">
            <w:pPr>
              <w:pStyle w:val="NoSpacing"/>
            </w:pPr>
            <w:r>
              <w:t>48,205</w:t>
            </w:r>
          </w:p>
        </w:tc>
        <w:tc>
          <w:tcPr>
            <w:tcW w:w="1870" w:type="dxa"/>
          </w:tcPr>
          <w:p w14:paraId="233332BD" w14:textId="6D159E0C" w:rsidR="008E7555" w:rsidRDefault="008E7555" w:rsidP="00DA168D">
            <w:pPr>
              <w:pStyle w:val="NoSpacing"/>
            </w:pPr>
            <w:r>
              <w:t>54,076</w:t>
            </w:r>
          </w:p>
        </w:tc>
        <w:tc>
          <w:tcPr>
            <w:tcW w:w="1870" w:type="dxa"/>
          </w:tcPr>
          <w:p w14:paraId="7E2E511A" w14:textId="33E2EB64" w:rsidR="008E7555" w:rsidRDefault="008E7555" w:rsidP="00DA168D">
            <w:pPr>
              <w:pStyle w:val="NoSpacing"/>
            </w:pPr>
            <w:r>
              <w:t>2.0%</w:t>
            </w:r>
          </w:p>
        </w:tc>
      </w:tr>
      <w:tr w:rsidR="008E7555" w14:paraId="10B409CB" w14:textId="77777777" w:rsidTr="008E7555">
        <w:tc>
          <w:tcPr>
            <w:tcW w:w="1870" w:type="dxa"/>
          </w:tcPr>
          <w:p w14:paraId="5EB81D3E" w14:textId="4FE84D81" w:rsidR="008E7555" w:rsidRDefault="008E7555" w:rsidP="00DA168D">
            <w:pPr>
              <w:pStyle w:val="NoSpacing"/>
            </w:pPr>
            <w:r>
              <w:t>Tennessee</w:t>
            </w:r>
          </w:p>
        </w:tc>
        <w:tc>
          <w:tcPr>
            <w:tcW w:w="1870" w:type="dxa"/>
          </w:tcPr>
          <w:p w14:paraId="5846AE69" w14:textId="7AE2929B" w:rsidR="008E7555" w:rsidRDefault="008E7555" w:rsidP="00DA168D">
            <w:pPr>
              <w:pStyle w:val="NoSpacing"/>
            </w:pPr>
            <w:r>
              <w:t>6,346,286</w:t>
            </w:r>
          </w:p>
        </w:tc>
        <w:tc>
          <w:tcPr>
            <w:tcW w:w="1870" w:type="dxa"/>
          </w:tcPr>
          <w:p w14:paraId="2A9DD8A6" w14:textId="5C8F93F8" w:rsidR="008E7555" w:rsidRDefault="008E7555" w:rsidP="00DA168D">
            <w:pPr>
              <w:pStyle w:val="NoSpacing"/>
            </w:pPr>
            <w:r>
              <w:t>6,770,010</w:t>
            </w:r>
          </w:p>
        </w:tc>
        <w:tc>
          <w:tcPr>
            <w:tcW w:w="1870" w:type="dxa"/>
          </w:tcPr>
          <w:p w14:paraId="048D1E5E" w14:textId="295A61DD" w:rsidR="008E7555" w:rsidRDefault="008E7555" w:rsidP="00DA168D">
            <w:pPr>
              <w:pStyle w:val="NoSpacing"/>
            </w:pPr>
            <w:r>
              <w:t>6.7%</w:t>
            </w:r>
          </w:p>
        </w:tc>
      </w:tr>
      <w:tr w:rsidR="008E7555" w14:paraId="37368B11" w14:textId="77777777" w:rsidTr="008E7555">
        <w:tc>
          <w:tcPr>
            <w:tcW w:w="1870" w:type="dxa"/>
          </w:tcPr>
          <w:p w14:paraId="65E868CA" w14:textId="1202673B" w:rsidR="008E7555" w:rsidRDefault="008E7555" w:rsidP="00DA168D">
            <w:pPr>
              <w:pStyle w:val="NoSpacing"/>
            </w:pPr>
            <w:r>
              <w:t>United States</w:t>
            </w:r>
          </w:p>
        </w:tc>
        <w:tc>
          <w:tcPr>
            <w:tcW w:w="1870" w:type="dxa"/>
          </w:tcPr>
          <w:p w14:paraId="2009087E" w14:textId="7CD228C1" w:rsidR="008E7555" w:rsidRDefault="008E7555" w:rsidP="00DA168D">
            <w:pPr>
              <w:pStyle w:val="NoSpacing"/>
            </w:pPr>
            <w:r>
              <w:t>308,745,538</w:t>
            </w:r>
          </w:p>
        </w:tc>
        <w:tc>
          <w:tcPr>
            <w:tcW w:w="1870" w:type="dxa"/>
          </w:tcPr>
          <w:p w14:paraId="15978DF6" w14:textId="3FFEFA16" w:rsidR="008E7555" w:rsidRDefault="008E7555" w:rsidP="00DA168D">
            <w:pPr>
              <w:pStyle w:val="NoSpacing"/>
            </w:pPr>
            <w:r>
              <w:t>327,167,434</w:t>
            </w:r>
          </w:p>
        </w:tc>
        <w:tc>
          <w:tcPr>
            <w:tcW w:w="1870" w:type="dxa"/>
          </w:tcPr>
          <w:p w14:paraId="722DD514" w14:textId="1A352012" w:rsidR="008E7555" w:rsidRDefault="008E7555" w:rsidP="00DA168D">
            <w:pPr>
              <w:pStyle w:val="NoSpacing"/>
            </w:pPr>
            <w:r>
              <w:t>6.0%</w:t>
            </w:r>
          </w:p>
        </w:tc>
      </w:tr>
    </w:tbl>
    <w:p w14:paraId="281E47FE" w14:textId="032E81E6" w:rsidR="008E7555" w:rsidRDefault="008E7555" w:rsidP="00DA168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580"/>
        <w:gridCol w:w="1580"/>
        <w:gridCol w:w="1580"/>
        <w:gridCol w:w="1580"/>
        <w:gridCol w:w="1377"/>
      </w:tblGrid>
      <w:tr w:rsidR="005715FC" w14:paraId="15D70199" w14:textId="2457FC31" w:rsidTr="005715FC">
        <w:trPr>
          <w:trHeight w:val="456"/>
        </w:trPr>
        <w:tc>
          <w:tcPr>
            <w:tcW w:w="1653" w:type="dxa"/>
          </w:tcPr>
          <w:p w14:paraId="496E4187" w14:textId="77777777" w:rsidR="005715FC" w:rsidRDefault="005715FC" w:rsidP="00DA168D">
            <w:pPr>
              <w:pStyle w:val="NoSpacing"/>
            </w:pPr>
          </w:p>
        </w:tc>
        <w:tc>
          <w:tcPr>
            <w:tcW w:w="1580" w:type="dxa"/>
          </w:tcPr>
          <w:p w14:paraId="25D4BAF3" w14:textId="18DDC1C4" w:rsidR="005715FC" w:rsidRDefault="005715FC" w:rsidP="00DA168D">
            <w:pPr>
              <w:pStyle w:val="NoSpacing"/>
            </w:pPr>
            <w:r>
              <w:t xml:space="preserve">Persons under 5 </w:t>
            </w:r>
          </w:p>
        </w:tc>
        <w:tc>
          <w:tcPr>
            <w:tcW w:w="1580" w:type="dxa"/>
          </w:tcPr>
          <w:p w14:paraId="6D14CD1F" w14:textId="069F2DCC" w:rsidR="005715FC" w:rsidRDefault="005715FC" w:rsidP="00DA168D">
            <w:pPr>
              <w:pStyle w:val="NoSpacing"/>
            </w:pPr>
            <w:r>
              <w:t xml:space="preserve">Persons under 18 </w:t>
            </w:r>
          </w:p>
        </w:tc>
        <w:tc>
          <w:tcPr>
            <w:tcW w:w="1580" w:type="dxa"/>
          </w:tcPr>
          <w:p w14:paraId="520E1E17" w14:textId="05119219" w:rsidR="005715FC" w:rsidRDefault="005715FC" w:rsidP="00DA168D">
            <w:pPr>
              <w:pStyle w:val="NoSpacing"/>
            </w:pPr>
            <w:r>
              <w:t xml:space="preserve">Persons 65 and older </w:t>
            </w:r>
          </w:p>
        </w:tc>
        <w:tc>
          <w:tcPr>
            <w:tcW w:w="1580" w:type="dxa"/>
          </w:tcPr>
          <w:p w14:paraId="02A52DB4" w14:textId="33AE1049" w:rsidR="005715FC" w:rsidRDefault="005715FC" w:rsidP="00DA168D">
            <w:pPr>
              <w:pStyle w:val="NoSpacing"/>
            </w:pPr>
            <w:r>
              <w:t xml:space="preserve">Female Persons </w:t>
            </w:r>
          </w:p>
        </w:tc>
        <w:tc>
          <w:tcPr>
            <w:tcW w:w="1377" w:type="dxa"/>
          </w:tcPr>
          <w:p w14:paraId="5E729E65" w14:textId="78F59778" w:rsidR="005715FC" w:rsidRDefault="005715FC" w:rsidP="00DA168D">
            <w:pPr>
              <w:pStyle w:val="NoSpacing"/>
            </w:pPr>
            <w:r>
              <w:t>Median Age</w:t>
            </w:r>
          </w:p>
        </w:tc>
      </w:tr>
      <w:tr w:rsidR="005715FC" w14:paraId="057CC89C" w14:textId="6793DE2A" w:rsidTr="005715FC">
        <w:trPr>
          <w:trHeight w:val="234"/>
        </w:trPr>
        <w:tc>
          <w:tcPr>
            <w:tcW w:w="1653" w:type="dxa"/>
          </w:tcPr>
          <w:p w14:paraId="74650EB1" w14:textId="37C75F5A" w:rsidR="005715FC" w:rsidRDefault="005715FC" w:rsidP="00DA168D">
            <w:pPr>
              <w:pStyle w:val="NoSpacing"/>
            </w:pPr>
            <w:r>
              <w:t xml:space="preserve">Kingsport </w:t>
            </w:r>
          </w:p>
        </w:tc>
        <w:tc>
          <w:tcPr>
            <w:tcW w:w="1580" w:type="dxa"/>
          </w:tcPr>
          <w:p w14:paraId="63F19169" w14:textId="05C0F564" w:rsidR="005715FC" w:rsidRDefault="005715FC" w:rsidP="00DA168D">
            <w:pPr>
              <w:pStyle w:val="NoSpacing"/>
            </w:pPr>
            <w:r>
              <w:t>5.9%</w:t>
            </w:r>
          </w:p>
        </w:tc>
        <w:tc>
          <w:tcPr>
            <w:tcW w:w="1580" w:type="dxa"/>
          </w:tcPr>
          <w:p w14:paraId="456465C0" w14:textId="5692A291" w:rsidR="005715FC" w:rsidRDefault="005715FC" w:rsidP="00DA168D">
            <w:pPr>
              <w:pStyle w:val="NoSpacing"/>
            </w:pPr>
            <w:r>
              <w:t>20.4%</w:t>
            </w:r>
          </w:p>
        </w:tc>
        <w:tc>
          <w:tcPr>
            <w:tcW w:w="1580" w:type="dxa"/>
          </w:tcPr>
          <w:p w14:paraId="37A05336" w14:textId="6F3A80B1" w:rsidR="005715FC" w:rsidRDefault="005715FC" w:rsidP="00DA168D">
            <w:pPr>
              <w:pStyle w:val="NoSpacing"/>
            </w:pPr>
            <w:r>
              <w:t>22.6%</w:t>
            </w:r>
          </w:p>
        </w:tc>
        <w:tc>
          <w:tcPr>
            <w:tcW w:w="1580" w:type="dxa"/>
          </w:tcPr>
          <w:p w14:paraId="1CA51E01" w14:textId="143446E3" w:rsidR="005715FC" w:rsidRDefault="005715FC" w:rsidP="00DA168D">
            <w:pPr>
              <w:pStyle w:val="NoSpacing"/>
            </w:pPr>
            <w:r>
              <w:t>53.5%</w:t>
            </w:r>
          </w:p>
        </w:tc>
        <w:tc>
          <w:tcPr>
            <w:tcW w:w="1377" w:type="dxa"/>
          </w:tcPr>
          <w:p w14:paraId="2EBEE89F" w14:textId="019D5FD5" w:rsidR="005715FC" w:rsidRDefault="0092629B" w:rsidP="00DA168D">
            <w:pPr>
              <w:pStyle w:val="NoSpacing"/>
            </w:pPr>
            <w:r>
              <w:t>44.3</w:t>
            </w:r>
          </w:p>
        </w:tc>
      </w:tr>
      <w:tr w:rsidR="005715FC" w14:paraId="3E55B034" w14:textId="73A12B0D" w:rsidTr="005715FC">
        <w:trPr>
          <w:trHeight w:val="234"/>
        </w:trPr>
        <w:tc>
          <w:tcPr>
            <w:tcW w:w="1653" w:type="dxa"/>
          </w:tcPr>
          <w:p w14:paraId="1F28BDA6" w14:textId="02421CA9" w:rsidR="005715FC" w:rsidRDefault="005715FC" w:rsidP="00DA168D">
            <w:pPr>
              <w:pStyle w:val="NoSpacing"/>
            </w:pPr>
            <w:r>
              <w:t>Tennessee</w:t>
            </w:r>
          </w:p>
        </w:tc>
        <w:tc>
          <w:tcPr>
            <w:tcW w:w="1580" w:type="dxa"/>
          </w:tcPr>
          <w:p w14:paraId="79004CE3" w14:textId="33B691FA" w:rsidR="005715FC" w:rsidRDefault="005715FC" w:rsidP="00DA168D">
            <w:pPr>
              <w:pStyle w:val="NoSpacing"/>
            </w:pPr>
            <w:r>
              <w:t>6.0%</w:t>
            </w:r>
          </w:p>
        </w:tc>
        <w:tc>
          <w:tcPr>
            <w:tcW w:w="1580" w:type="dxa"/>
          </w:tcPr>
          <w:p w14:paraId="1B929A87" w14:textId="61CC52C9" w:rsidR="005715FC" w:rsidRDefault="005715FC" w:rsidP="00DA168D">
            <w:pPr>
              <w:pStyle w:val="NoSpacing"/>
            </w:pPr>
            <w:r>
              <w:t>22.2%</w:t>
            </w:r>
          </w:p>
        </w:tc>
        <w:tc>
          <w:tcPr>
            <w:tcW w:w="1580" w:type="dxa"/>
          </w:tcPr>
          <w:p w14:paraId="623EDC79" w14:textId="0E52C85B" w:rsidR="005715FC" w:rsidRDefault="005715FC" w:rsidP="00DA168D">
            <w:pPr>
              <w:pStyle w:val="NoSpacing"/>
            </w:pPr>
            <w:r>
              <w:t>16.4%</w:t>
            </w:r>
          </w:p>
        </w:tc>
        <w:tc>
          <w:tcPr>
            <w:tcW w:w="1580" w:type="dxa"/>
          </w:tcPr>
          <w:p w14:paraId="209CE6F9" w14:textId="55BD06BB" w:rsidR="005715FC" w:rsidRDefault="005715FC" w:rsidP="00DA168D">
            <w:pPr>
              <w:pStyle w:val="NoSpacing"/>
            </w:pPr>
            <w:r>
              <w:t>51.2%</w:t>
            </w:r>
          </w:p>
        </w:tc>
        <w:tc>
          <w:tcPr>
            <w:tcW w:w="1377" w:type="dxa"/>
          </w:tcPr>
          <w:p w14:paraId="08FD845E" w14:textId="66BB4949" w:rsidR="005715FC" w:rsidRDefault="0092629B" w:rsidP="00DA168D">
            <w:pPr>
              <w:pStyle w:val="NoSpacing"/>
            </w:pPr>
            <w:r>
              <w:t>38.6</w:t>
            </w:r>
          </w:p>
        </w:tc>
      </w:tr>
      <w:tr w:rsidR="005715FC" w14:paraId="4DF70730" w14:textId="07115C51" w:rsidTr="005715FC">
        <w:trPr>
          <w:trHeight w:val="221"/>
        </w:trPr>
        <w:tc>
          <w:tcPr>
            <w:tcW w:w="1653" w:type="dxa"/>
          </w:tcPr>
          <w:p w14:paraId="78559B3F" w14:textId="4FB80EAC" w:rsidR="005715FC" w:rsidRDefault="005715FC" w:rsidP="00DA168D">
            <w:pPr>
              <w:pStyle w:val="NoSpacing"/>
            </w:pPr>
            <w:r>
              <w:t>United States</w:t>
            </w:r>
          </w:p>
        </w:tc>
        <w:tc>
          <w:tcPr>
            <w:tcW w:w="1580" w:type="dxa"/>
          </w:tcPr>
          <w:p w14:paraId="0731B05C" w14:textId="47E793B9" w:rsidR="005715FC" w:rsidRDefault="005715FC" w:rsidP="00DA168D">
            <w:pPr>
              <w:pStyle w:val="NoSpacing"/>
            </w:pPr>
            <w:r>
              <w:t>6.1%</w:t>
            </w:r>
          </w:p>
        </w:tc>
        <w:tc>
          <w:tcPr>
            <w:tcW w:w="1580" w:type="dxa"/>
          </w:tcPr>
          <w:p w14:paraId="18475F43" w14:textId="3438741A" w:rsidR="005715FC" w:rsidRDefault="005715FC" w:rsidP="00DA168D">
            <w:pPr>
              <w:pStyle w:val="NoSpacing"/>
            </w:pPr>
            <w:r>
              <w:t>22.4%</w:t>
            </w:r>
          </w:p>
        </w:tc>
        <w:tc>
          <w:tcPr>
            <w:tcW w:w="1580" w:type="dxa"/>
          </w:tcPr>
          <w:p w14:paraId="051E5CC5" w14:textId="52BD44B8" w:rsidR="005715FC" w:rsidRDefault="005715FC" w:rsidP="00DA168D">
            <w:pPr>
              <w:pStyle w:val="NoSpacing"/>
            </w:pPr>
            <w:r>
              <w:t>16.0%</w:t>
            </w:r>
          </w:p>
        </w:tc>
        <w:tc>
          <w:tcPr>
            <w:tcW w:w="1580" w:type="dxa"/>
          </w:tcPr>
          <w:p w14:paraId="78D9935B" w14:textId="20BFF74D" w:rsidR="005715FC" w:rsidRDefault="005715FC" w:rsidP="00DA168D">
            <w:pPr>
              <w:pStyle w:val="NoSpacing"/>
            </w:pPr>
            <w:r>
              <w:t>50.8%</w:t>
            </w:r>
          </w:p>
        </w:tc>
        <w:tc>
          <w:tcPr>
            <w:tcW w:w="1377" w:type="dxa"/>
          </w:tcPr>
          <w:p w14:paraId="400F324E" w14:textId="5C39C5CC" w:rsidR="005715FC" w:rsidRDefault="00836E0D" w:rsidP="00DA168D">
            <w:pPr>
              <w:pStyle w:val="NoSpacing"/>
            </w:pPr>
            <w:r>
              <w:t>39.5</w:t>
            </w:r>
          </w:p>
        </w:tc>
      </w:tr>
    </w:tbl>
    <w:p w14:paraId="2A3A1272" w14:textId="082C3B79" w:rsidR="000439F8" w:rsidRDefault="000439F8" w:rsidP="00DA168D">
      <w:pPr>
        <w:pStyle w:val="NoSpacing"/>
      </w:pPr>
    </w:p>
    <w:p w14:paraId="497D925D" w14:textId="31909E77" w:rsidR="0089554F" w:rsidRDefault="00A842EC" w:rsidP="00DA168D">
      <w:pPr>
        <w:pStyle w:val="NoSpacing"/>
      </w:pPr>
      <w:r>
        <w:t xml:space="preserve">Kingsport falls in line with both Tennessee and the United States in </w:t>
      </w:r>
      <w:r w:rsidR="00B3397B">
        <w:t xml:space="preserve">percentage of </w:t>
      </w:r>
      <w:r w:rsidR="00695D50">
        <w:t>persons under 5</w:t>
      </w:r>
      <w:r w:rsidR="003A78DE">
        <w:t xml:space="preserve"> and under </w:t>
      </w:r>
      <w:proofErr w:type="gramStart"/>
      <w:r w:rsidR="003A78DE">
        <w:t xml:space="preserve">18, </w:t>
      </w:r>
      <w:r w:rsidR="005E0EA0">
        <w:t>and</w:t>
      </w:r>
      <w:proofErr w:type="gramEnd"/>
      <w:r w:rsidR="005E0EA0">
        <w:t xml:space="preserve"> has slightly higher persons over 65 and percentage of female persons. </w:t>
      </w:r>
      <w:r w:rsidR="00836E0D">
        <w:t xml:space="preserve">Kingsport </w:t>
      </w:r>
      <w:r w:rsidR="0010460D">
        <w:t>has a higher median age of 44.3 than both Tennessee and the united states</w:t>
      </w:r>
      <w:r w:rsidR="00380E78">
        <w:t>.</w:t>
      </w:r>
    </w:p>
    <w:p w14:paraId="474D8DCF" w14:textId="77777777" w:rsidR="0089554F" w:rsidRDefault="0089554F" w:rsidP="00DA168D">
      <w:pPr>
        <w:pStyle w:val="NoSpacing"/>
      </w:pPr>
    </w:p>
    <w:p w14:paraId="55068EBA" w14:textId="7164E90D" w:rsidR="00706C76" w:rsidRDefault="00F83863" w:rsidP="00DA168D">
      <w:pPr>
        <w:pStyle w:val="NoSpacing"/>
      </w:pPr>
      <w:r>
        <w:t>Racial and Ethnic Characteristics</w:t>
      </w:r>
    </w:p>
    <w:p w14:paraId="3C755199" w14:textId="7BC82402" w:rsidR="00F83863" w:rsidRDefault="00F83863" w:rsidP="00DA168D">
      <w:pPr>
        <w:pStyle w:val="NoSpacing"/>
      </w:pPr>
    </w:p>
    <w:p w14:paraId="481A613A" w14:textId="09A0AB0C" w:rsidR="00F83863" w:rsidRDefault="00F83863" w:rsidP="00DA168D">
      <w:pPr>
        <w:pStyle w:val="NoSpacing"/>
      </w:pPr>
      <w:r>
        <w:t xml:space="preserve">The population of </w:t>
      </w:r>
      <w:r w:rsidR="00C24688">
        <w:t xml:space="preserve">Kingsport City </w:t>
      </w:r>
      <w:r w:rsidR="001836AB">
        <w:t xml:space="preserve">is predominately white, with </w:t>
      </w:r>
      <w:r w:rsidR="00CB2B44">
        <w:t>92.4% of the population identifying as such (2017 ACS)</w:t>
      </w:r>
      <w:r w:rsidR="009953F0">
        <w:t xml:space="preserve">, and 90.5% </w:t>
      </w:r>
      <w:r w:rsidR="00D57D26">
        <w:t xml:space="preserve">identifying as white alone, non-Latino. The next highest </w:t>
      </w:r>
      <w:r w:rsidR="00EC10A0">
        <w:t>group is Black or African American, at 3.3%</w:t>
      </w:r>
      <w:r w:rsidR="00E40736">
        <w:t>. The predomina</w:t>
      </w:r>
      <w:r w:rsidR="00A7498C">
        <w:t>te language spoken at home is English, with</w:t>
      </w:r>
      <w:r w:rsidR="008C1520">
        <w:t xml:space="preserve"> an estimated 3.8% </w:t>
      </w:r>
      <w:r w:rsidR="005016C6">
        <w:t xml:space="preserve">of persons speaking a language other than English at home. This is below the state </w:t>
      </w:r>
      <w:r w:rsidR="00040F3A">
        <w:t xml:space="preserve">percentage of 7.0%, and </w:t>
      </w:r>
      <w:r w:rsidR="009B5AF8">
        <w:t xml:space="preserve">the national number of 21.3%. </w:t>
      </w:r>
    </w:p>
    <w:p w14:paraId="73CE9970" w14:textId="57E152B9" w:rsidR="00267880" w:rsidRDefault="00267880" w:rsidP="00DA168D">
      <w:pPr>
        <w:pStyle w:val="NoSpacing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165"/>
        <w:gridCol w:w="764"/>
        <w:gridCol w:w="1070"/>
        <w:gridCol w:w="1070"/>
        <w:gridCol w:w="756"/>
        <w:gridCol w:w="1044"/>
        <w:gridCol w:w="730"/>
        <w:gridCol w:w="970"/>
        <w:gridCol w:w="970"/>
        <w:gridCol w:w="1176"/>
      </w:tblGrid>
      <w:tr w:rsidR="00ED3290" w14:paraId="42A469AF" w14:textId="2B0BEFBB" w:rsidTr="00445A16">
        <w:tc>
          <w:tcPr>
            <w:tcW w:w="1132" w:type="dxa"/>
          </w:tcPr>
          <w:p w14:paraId="5C94AA06" w14:textId="77777777" w:rsidR="00ED3290" w:rsidRDefault="00ED3290" w:rsidP="00DA168D">
            <w:pPr>
              <w:pStyle w:val="NoSpacing"/>
            </w:pPr>
          </w:p>
        </w:tc>
        <w:tc>
          <w:tcPr>
            <w:tcW w:w="745" w:type="dxa"/>
          </w:tcPr>
          <w:p w14:paraId="4E4B99B2" w14:textId="47B6DD9E" w:rsidR="00ED3290" w:rsidRDefault="00ED3290" w:rsidP="00DA168D">
            <w:pPr>
              <w:pStyle w:val="NoSpacing"/>
            </w:pPr>
            <w:r>
              <w:t>White alone</w:t>
            </w:r>
          </w:p>
        </w:tc>
        <w:tc>
          <w:tcPr>
            <w:tcW w:w="1041" w:type="dxa"/>
          </w:tcPr>
          <w:p w14:paraId="4554229F" w14:textId="5DBD2D2D" w:rsidR="00ED3290" w:rsidRDefault="00ED3290" w:rsidP="00DA168D">
            <w:pPr>
              <w:pStyle w:val="NoSpacing"/>
            </w:pPr>
            <w:r>
              <w:t>Black or African American Alone</w:t>
            </w:r>
          </w:p>
        </w:tc>
        <w:tc>
          <w:tcPr>
            <w:tcW w:w="1041" w:type="dxa"/>
          </w:tcPr>
          <w:p w14:paraId="47C10940" w14:textId="5D967D42" w:rsidR="00ED3290" w:rsidRDefault="00ED3290" w:rsidP="00DA168D">
            <w:pPr>
              <w:pStyle w:val="NoSpacing"/>
            </w:pPr>
            <w:r>
              <w:t>American Indian or Alaska Native, Alone</w:t>
            </w:r>
          </w:p>
        </w:tc>
        <w:tc>
          <w:tcPr>
            <w:tcW w:w="737" w:type="dxa"/>
          </w:tcPr>
          <w:p w14:paraId="538CADC5" w14:textId="44F5E969" w:rsidR="00ED3290" w:rsidRDefault="00ED3290" w:rsidP="00DA168D">
            <w:pPr>
              <w:pStyle w:val="NoSpacing"/>
            </w:pPr>
            <w:r>
              <w:t>Asian, Alone</w:t>
            </w:r>
          </w:p>
        </w:tc>
        <w:tc>
          <w:tcPr>
            <w:tcW w:w="1016" w:type="dxa"/>
          </w:tcPr>
          <w:p w14:paraId="56F35062" w14:textId="4E4118BE" w:rsidR="00ED3290" w:rsidRDefault="00ED3290" w:rsidP="00DA168D">
            <w:pPr>
              <w:pStyle w:val="NoSpacing"/>
            </w:pPr>
            <w:r>
              <w:t>Native Hawaiian or Pacific Islander, Alone</w:t>
            </w:r>
          </w:p>
        </w:tc>
        <w:tc>
          <w:tcPr>
            <w:tcW w:w="712" w:type="dxa"/>
          </w:tcPr>
          <w:p w14:paraId="4F5F9611" w14:textId="777F04C6" w:rsidR="00ED3290" w:rsidRDefault="00ED3290" w:rsidP="00DA168D">
            <w:pPr>
              <w:pStyle w:val="NoSpacing"/>
            </w:pPr>
            <w:r>
              <w:t>Two or More Races</w:t>
            </w:r>
          </w:p>
        </w:tc>
        <w:tc>
          <w:tcPr>
            <w:tcW w:w="944" w:type="dxa"/>
          </w:tcPr>
          <w:p w14:paraId="210CFB8B" w14:textId="5DBBFB03" w:rsidR="00ED3290" w:rsidRDefault="00ED3290" w:rsidP="00DA168D">
            <w:pPr>
              <w:pStyle w:val="NoSpacing"/>
            </w:pPr>
            <w:r>
              <w:t>Hispanic or Latino, Alone</w:t>
            </w:r>
          </w:p>
        </w:tc>
        <w:tc>
          <w:tcPr>
            <w:tcW w:w="944" w:type="dxa"/>
          </w:tcPr>
          <w:p w14:paraId="0A1AD685" w14:textId="429881EA" w:rsidR="00ED3290" w:rsidRDefault="00ED3290" w:rsidP="00DA168D">
            <w:pPr>
              <w:pStyle w:val="NoSpacing"/>
            </w:pPr>
            <w:r>
              <w:t>White, alone, non-Hispanic or Latino</w:t>
            </w:r>
          </w:p>
        </w:tc>
        <w:tc>
          <w:tcPr>
            <w:tcW w:w="1403" w:type="dxa"/>
          </w:tcPr>
          <w:p w14:paraId="03F8B2B4" w14:textId="60C31F76" w:rsidR="00ED3290" w:rsidRDefault="00ED3290" w:rsidP="00DA168D">
            <w:pPr>
              <w:pStyle w:val="NoSpacing"/>
            </w:pPr>
            <w:r>
              <w:t>Language other than English spoken at home</w:t>
            </w:r>
            <w:r w:rsidR="00445A16">
              <w:t>, persons</w:t>
            </w:r>
            <w:r w:rsidR="00884582">
              <w:t xml:space="preserve"> </w:t>
            </w:r>
          </w:p>
        </w:tc>
      </w:tr>
      <w:tr w:rsidR="00ED3290" w14:paraId="7A3FD9A5" w14:textId="53991944" w:rsidTr="00445A16">
        <w:tc>
          <w:tcPr>
            <w:tcW w:w="1132" w:type="dxa"/>
          </w:tcPr>
          <w:p w14:paraId="38772F59" w14:textId="36466F10" w:rsidR="00ED3290" w:rsidRDefault="00ED3290" w:rsidP="00DA168D">
            <w:pPr>
              <w:pStyle w:val="NoSpacing"/>
            </w:pPr>
            <w:r>
              <w:t>Kingsport</w:t>
            </w:r>
          </w:p>
        </w:tc>
        <w:tc>
          <w:tcPr>
            <w:tcW w:w="745" w:type="dxa"/>
          </w:tcPr>
          <w:p w14:paraId="4F603BD4" w14:textId="5325E333" w:rsidR="00ED3290" w:rsidRDefault="00ED3290" w:rsidP="00DA168D">
            <w:pPr>
              <w:pStyle w:val="NoSpacing"/>
            </w:pPr>
            <w:r>
              <w:t>92.4%</w:t>
            </w:r>
          </w:p>
        </w:tc>
        <w:tc>
          <w:tcPr>
            <w:tcW w:w="1041" w:type="dxa"/>
          </w:tcPr>
          <w:p w14:paraId="39E40D55" w14:textId="6F89F6DD" w:rsidR="00ED3290" w:rsidRDefault="00ED3290" w:rsidP="00DA168D">
            <w:pPr>
              <w:pStyle w:val="NoSpacing"/>
            </w:pPr>
            <w:r>
              <w:t>3.3%</w:t>
            </w:r>
          </w:p>
        </w:tc>
        <w:tc>
          <w:tcPr>
            <w:tcW w:w="1041" w:type="dxa"/>
          </w:tcPr>
          <w:p w14:paraId="7CE03D22" w14:textId="1AD0663D" w:rsidR="00ED3290" w:rsidRDefault="00ED3290" w:rsidP="00DA168D">
            <w:pPr>
              <w:pStyle w:val="NoSpacing"/>
            </w:pPr>
            <w:r>
              <w:t>0.2%</w:t>
            </w:r>
          </w:p>
        </w:tc>
        <w:tc>
          <w:tcPr>
            <w:tcW w:w="737" w:type="dxa"/>
          </w:tcPr>
          <w:p w14:paraId="41963797" w14:textId="47EEDFA4" w:rsidR="00ED3290" w:rsidRDefault="00ED3290" w:rsidP="00DA168D">
            <w:pPr>
              <w:pStyle w:val="NoSpacing"/>
            </w:pPr>
            <w:r>
              <w:t>0.7%</w:t>
            </w:r>
          </w:p>
        </w:tc>
        <w:tc>
          <w:tcPr>
            <w:tcW w:w="1016" w:type="dxa"/>
          </w:tcPr>
          <w:p w14:paraId="3ADF679C" w14:textId="32067A3C" w:rsidR="00ED3290" w:rsidRDefault="00ED3290" w:rsidP="00DA168D">
            <w:pPr>
              <w:pStyle w:val="NoSpacing"/>
            </w:pPr>
            <w:r>
              <w:t>0.1%</w:t>
            </w:r>
          </w:p>
        </w:tc>
        <w:tc>
          <w:tcPr>
            <w:tcW w:w="712" w:type="dxa"/>
          </w:tcPr>
          <w:p w14:paraId="279697A7" w14:textId="3D8C199A" w:rsidR="00ED3290" w:rsidRDefault="00ED3290" w:rsidP="00DA168D">
            <w:pPr>
              <w:pStyle w:val="NoSpacing"/>
            </w:pPr>
            <w:r>
              <w:t>2.6%</w:t>
            </w:r>
          </w:p>
        </w:tc>
        <w:tc>
          <w:tcPr>
            <w:tcW w:w="944" w:type="dxa"/>
          </w:tcPr>
          <w:p w14:paraId="57449C30" w14:textId="42BEFF90" w:rsidR="00ED3290" w:rsidRDefault="00ED3290" w:rsidP="00DA168D">
            <w:pPr>
              <w:pStyle w:val="NoSpacing"/>
            </w:pPr>
            <w:r>
              <w:t>2.8%</w:t>
            </w:r>
          </w:p>
        </w:tc>
        <w:tc>
          <w:tcPr>
            <w:tcW w:w="944" w:type="dxa"/>
          </w:tcPr>
          <w:p w14:paraId="7E28B1F4" w14:textId="345F1041" w:rsidR="00ED3290" w:rsidRDefault="00ED3290" w:rsidP="00DA168D">
            <w:pPr>
              <w:pStyle w:val="NoSpacing"/>
            </w:pPr>
            <w:r>
              <w:t>90.5%</w:t>
            </w:r>
          </w:p>
        </w:tc>
        <w:tc>
          <w:tcPr>
            <w:tcW w:w="1403" w:type="dxa"/>
          </w:tcPr>
          <w:p w14:paraId="336B14FA" w14:textId="6C58B3CB" w:rsidR="00ED3290" w:rsidRDefault="00552CB1" w:rsidP="00DA168D">
            <w:pPr>
              <w:pStyle w:val="NoSpacing"/>
            </w:pPr>
            <w:r>
              <w:t>3.8%</w:t>
            </w:r>
          </w:p>
        </w:tc>
      </w:tr>
      <w:tr w:rsidR="00ED3290" w14:paraId="34BBF706" w14:textId="3A7244BA" w:rsidTr="00445A16">
        <w:tc>
          <w:tcPr>
            <w:tcW w:w="1132" w:type="dxa"/>
          </w:tcPr>
          <w:p w14:paraId="7E8D8074" w14:textId="445C677F" w:rsidR="00ED3290" w:rsidRDefault="00ED3290" w:rsidP="00DA168D">
            <w:pPr>
              <w:pStyle w:val="NoSpacing"/>
            </w:pPr>
            <w:r>
              <w:t>Tennessee</w:t>
            </w:r>
          </w:p>
        </w:tc>
        <w:tc>
          <w:tcPr>
            <w:tcW w:w="745" w:type="dxa"/>
          </w:tcPr>
          <w:p w14:paraId="1585E98A" w14:textId="53F91E62" w:rsidR="00ED3290" w:rsidRDefault="00ED3290" w:rsidP="00DA168D">
            <w:pPr>
              <w:pStyle w:val="NoSpacing"/>
            </w:pPr>
            <w:r>
              <w:t>78.5%</w:t>
            </w:r>
          </w:p>
        </w:tc>
        <w:tc>
          <w:tcPr>
            <w:tcW w:w="1041" w:type="dxa"/>
          </w:tcPr>
          <w:p w14:paraId="4D5D0F4D" w14:textId="7C474721" w:rsidR="00ED3290" w:rsidRDefault="00ED3290" w:rsidP="00DA168D">
            <w:pPr>
              <w:pStyle w:val="NoSpacing"/>
            </w:pPr>
            <w:r>
              <w:t>17.1%</w:t>
            </w:r>
          </w:p>
        </w:tc>
        <w:tc>
          <w:tcPr>
            <w:tcW w:w="1041" w:type="dxa"/>
          </w:tcPr>
          <w:p w14:paraId="0620D159" w14:textId="0E548F0A" w:rsidR="00ED3290" w:rsidRDefault="00ED3290" w:rsidP="00DA168D">
            <w:pPr>
              <w:pStyle w:val="NoSpacing"/>
            </w:pPr>
            <w:r>
              <w:t>0.5%</w:t>
            </w:r>
          </w:p>
        </w:tc>
        <w:tc>
          <w:tcPr>
            <w:tcW w:w="737" w:type="dxa"/>
          </w:tcPr>
          <w:p w14:paraId="340BE4AD" w14:textId="4DDDCD7B" w:rsidR="00ED3290" w:rsidRDefault="00ED3290" w:rsidP="00DA168D">
            <w:pPr>
              <w:pStyle w:val="NoSpacing"/>
            </w:pPr>
            <w:r>
              <w:t>1.9%</w:t>
            </w:r>
          </w:p>
        </w:tc>
        <w:tc>
          <w:tcPr>
            <w:tcW w:w="1016" w:type="dxa"/>
          </w:tcPr>
          <w:p w14:paraId="4750942B" w14:textId="2126B18C" w:rsidR="00ED3290" w:rsidRDefault="00ED3290" w:rsidP="00DA168D">
            <w:pPr>
              <w:pStyle w:val="NoSpacing"/>
            </w:pPr>
            <w:r>
              <w:t>0.1%</w:t>
            </w:r>
          </w:p>
        </w:tc>
        <w:tc>
          <w:tcPr>
            <w:tcW w:w="712" w:type="dxa"/>
          </w:tcPr>
          <w:p w14:paraId="79510EDC" w14:textId="3FF88D5A" w:rsidR="00ED3290" w:rsidRDefault="00ED3290" w:rsidP="00DA168D">
            <w:pPr>
              <w:pStyle w:val="NoSpacing"/>
            </w:pPr>
            <w:r>
              <w:t>2.0%</w:t>
            </w:r>
          </w:p>
        </w:tc>
        <w:tc>
          <w:tcPr>
            <w:tcW w:w="944" w:type="dxa"/>
          </w:tcPr>
          <w:p w14:paraId="35B3F493" w14:textId="6489BEA8" w:rsidR="00ED3290" w:rsidRDefault="00ED3290" w:rsidP="00DA168D">
            <w:pPr>
              <w:pStyle w:val="NoSpacing"/>
            </w:pPr>
            <w:r>
              <w:t>5.6%</w:t>
            </w:r>
          </w:p>
        </w:tc>
        <w:tc>
          <w:tcPr>
            <w:tcW w:w="944" w:type="dxa"/>
          </w:tcPr>
          <w:p w14:paraId="53BA7F8C" w14:textId="4647E03E" w:rsidR="00ED3290" w:rsidRDefault="00ED3290" w:rsidP="00DA168D">
            <w:pPr>
              <w:pStyle w:val="NoSpacing"/>
            </w:pPr>
            <w:r>
              <w:t>73.7%</w:t>
            </w:r>
          </w:p>
        </w:tc>
        <w:tc>
          <w:tcPr>
            <w:tcW w:w="1403" w:type="dxa"/>
          </w:tcPr>
          <w:p w14:paraId="4CC35D26" w14:textId="5E1784D2" w:rsidR="00ED3290" w:rsidRDefault="00552CB1" w:rsidP="00DA168D">
            <w:pPr>
              <w:pStyle w:val="NoSpacing"/>
            </w:pPr>
            <w:r>
              <w:t>7.0%</w:t>
            </w:r>
          </w:p>
        </w:tc>
      </w:tr>
      <w:tr w:rsidR="00ED3290" w14:paraId="7CFC2572" w14:textId="51536AA6" w:rsidTr="00445A16">
        <w:tc>
          <w:tcPr>
            <w:tcW w:w="1132" w:type="dxa"/>
          </w:tcPr>
          <w:p w14:paraId="2A0080DD" w14:textId="60C58343" w:rsidR="00ED3290" w:rsidRDefault="00ED3290" w:rsidP="00DA168D">
            <w:pPr>
              <w:pStyle w:val="NoSpacing"/>
            </w:pPr>
            <w:r>
              <w:t>United States</w:t>
            </w:r>
          </w:p>
        </w:tc>
        <w:tc>
          <w:tcPr>
            <w:tcW w:w="745" w:type="dxa"/>
          </w:tcPr>
          <w:p w14:paraId="705C7666" w14:textId="17DED956" w:rsidR="00ED3290" w:rsidRDefault="00ED3290" w:rsidP="00DA168D">
            <w:pPr>
              <w:pStyle w:val="NoSpacing"/>
            </w:pPr>
            <w:r>
              <w:t>76.5%</w:t>
            </w:r>
          </w:p>
        </w:tc>
        <w:tc>
          <w:tcPr>
            <w:tcW w:w="1041" w:type="dxa"/>
          </w:tcPr>
          <w:p w14:paraId="26371846" w14:textId="0A8F664E" w:rsidR="00ED3290" w:rsidRDefault="00ED3290" w:rsidP="00DA168D">
            <w:pPr>
              <w:pStyle w:val="NoSpacing"/>
            </w:pPr>
            <w:r>
              <w:t>13.4%</w:t>
            </w:r>
          </w:p>
        </w:tc>
        <w:tc>
          <w:tcPr>
            <w:tcW w:w="1041" w:type="dxa"/>
          </w:tcPr>
          <w:p w14:paraId="2AAAFA97" w14:textId="0CF38D00" w:rsidR="00ED3290" w:rsidRDefault="00ED3290" w:rsidP="00DA168D">
            <w:pPr>
              <w:pStyle w:val="NoSpacing"/>
            </w:pPr>
            <w:r>
              <w:t>1.3%</w:t>
            </w:r>
          </w:p>
        </w:tc>
        <w:tc>
          <w:tcPr>
            <w:tcW w:w="737" w:type="dxa"/>
          </w:tcPr>
          <w:p w14:paraId="7C5C3F6E" w14:textId="195B820F" w:rsidR="00ED3290" w:rsidRDefault="00ED3290" w:rsidP="00DA168D">
            <w:pPr>
              <w:pStyle w:val="NoSpacing"/>
            </w:pPr>
            <w:r>
              <w:t>5.9%</w:t>
            </w:r>
          </w:p>
        </w:tc>
        <w:tc>
          <w:tcPr>
            <w:tcW w:w="1016" w:type="dxa"/>
          </w:tcPr>
          <w:p w14:paraId="79FA5139" w14:textId="0CEE31AC" w:rsidR="00ED3290" w:rsidRDefault="00ED3290" w:rsidP="00DA168D">
            <w:pPr>
              <w:pStyle w:val="NoSpacing"/>
            </w:pPr>
            <w:r>
              <w:t>0.2%</w:t>
            </w:r>
          </w:p>
        </w:tc>
        <w:tc>
          <w:tcPr>
            <w:tcW w:w="712" w:type="dxa"/>
          </w:tcPr>
          <w:p w14:paraId="130AF810" w14:textId="342E17BD" w:rsidR="00ED3290" w:rsidRDefault="00ED3290" w:rsidP="00DA168D">
            <w:pPr>
              <w:pStyle w:val="NoSpacing"/>
            </w:pPr>
            <w:r>
              <w:t>2.7%</w:t>
            </w:r>
          </w:p>
        </w:tc>
        <w:tc>
          <w:tcPr>
            <w:tcW w:w="944" w:type="dxa"/>
          </w:tcPr>
          <w:p w14:paraId="26DB3722" w14:textId="47B02869" w:rsidR="00ED3290" w:rsidRDefault="00ED3290" w:rsidP="00DA168D">
            <w:pPr>
              <w:pStyle w:val="NoSpacing"/>
            </w:pPr>
            <w:r>
              <w:t>18.3%</w:t>
            </w:r>
          </w:p>
        </w:tc>
        <w:tc>
          <w:tcPr>
            <w:tcW w:w="944" w:type="dxa"/>
          </w:tcPr>
          <w:p w14:paraId="42DEEB78" w14:textId="2179EC21" w:rsidR="00ED3290" w:rsidRDefault="00ED3290" w:rsidP="00DA168D">
            <w:pPr>
              <w:pStyle w:val="NoSpacing"/>
            </w:pPr>
            <w:r>
              <w:t>60.4%</w:t>
            </w:r>
          </w:p>
        </w:tc>
        <w:tc>
          <w:tcPr>
            <w:tcW w:w="1403" w:type="dxa"/>
          </w:tcPr>
          <w:p w14:paraId="082F515A" w14:textId="7DFEC272" w:rsidR="00ED3290" w:rsidRDefault="00552CB1" w:rsidP="00DA168D">
            <w:pPr>
              <w:pStyle w:val="NoSpacing"/>
            </w:pPr>
            <w:r>
              <w:t>21.3%</w:t>
            </w:r>
          </w:p>
        </w:tc>
      </w:tr>
    </w:tbl>
    <w:p w14:paraId="7A2F78EB" w14:textId="77777777" w:rsidR="00267880" w:rsidRDefault="00267880" w:rsidP="00DA168D">
      <w:pPr>
        <w:pStyle w:val="NoSpacing"/>
      </w:pPr>
    </w:p>
    <w:p w14:paraId="5469BF69" w14:textId="77E0FF80" w:rsidR="00EC10A0" w:rsidRDefault="00EC10A0" w:rsidP="00DA168D">
      <w:pPr>
        <w:pStyle w:val="NoSpacing"/>
      </w:pPr>
    </w:p>
    <w:p w14:paraId="3BF7BDF3" w14:textId="77777777" w:rsidR="00F94C6B" w:rsidRDefault="00F94C6B" w:rsidP="00DA168D">
      <w:pPr>
        <w:pStyle w:val="NoSpacing"/>
      </w:pPr>
    </w:p>
    <w:p w14:paraId="4A80308E" w14:textId="77777777" w:rsidR="00F94C6B" w:rsidRDefault="00F94C6B" w:rsidP="00DA168D">
      <w:pPr>
        <w:pStyle w:val="NoSpacing"/>
      </w:pPr>
    </w:p>
    <w:p w14:paraId="0DB6C1F9" w14:textId="2A3EE912" w:rsidR="00EC10A0" w:rsidRDefault="009B64CF" w:rsidP="00DA168D">
      <w:pPr>
        <w:pStyle w:val="NoSpacing"/>
      </w:pPr>
      <w:r>
        <w:t>Household Demographics</w:t>
      </w:r>
    </w:p>
    <w:p w14:paraId="3E496CE2" w14:textId="21E2FE5C" w:rsidR="009B64CF" w:rsidRDefault="009B64CF" w:rsidP="00DA168D">
      <w:pPr>
        <w:pStyle w:val="NoSpacing"/>
      </w:pPr>
    </w:p>
    <w:p w14:paraId="1C44C440" w14:textId="241478A6" w:rsidR="009B64CF" w:rsidRDefault="00B735F0" w:rsidP="00DA168D">
      <w:pPr>
        <w:pStyle w:val="NoSpacing"/>
      </w:pPr>
      <w:r>
        <w:t xml:space="preserve">Kingsport City </w:t>
      </w:r>
      <w:r w:rsidR="00D30D2A">
        <w:t xml:space="preserve">has an estimated 23,478 households, </w:t>
      </w:r>
      <w:r w:rsidR="00B91862">
        <w:t xml:space="preserve">with </w:t>
      </w:r>
      <w:r w:rsidR="00063216">
        <w:t xml:space="preserve">an average of 2.2 persons </w:t>
      </w:r>
      <w:r w:rsidR="00BC48AD">
        <w:t>per household</w:t>
      </w:r>
      <w:r w:rsidR="005005C4">
        <w:t xml:space="preserve"> (2017 ACS)</w:t>
      </w:r>
      <w:r w:rsidR="00BC48AD">
        <w:t xml:space="preserve">. </w:t>
      </w:r>
      <w:r w:rsidR="00456E1C">
        <w:t>83.7% of</w:t>
      </w:r>
      <w:r w:rsidR="00933FFB">
        <w:t xml:space="preserve"> these households </w:t>
      </w:r>
      <w:r w:rsidR="005F6572">
        <w:t>were living in the same house 1 year ago</w:t>
      </w:r>
      <w:r w:rsidR="009B5893">
        <w:t xml:space="preserve">, which is slightly below the state </w:t>
      </w:r>
      <w:r w:rsidR="000439F8">
        <w:t xml:space="preserve">level of 85.2%. </w:t>
      </w:r>
      <w:r w:rsidR="00276828">
        <w:t>4</w:t>
      </w:r>
      <w:r w:rsidR="00AA07FB">
        <w:t>.5% of th</w:t>
      </w:r>
      <w:r w:rsidR="00151F51">
        <w:t>e</w:t>
      </w:r>
      <w:r w:rsidR="005F3634">
        <w:t xml:space="preserve"> households who did not </w:t>
      </w:r>
      <w:r w:rsidR="00AD75FF">
        <w:t xml:space="preserve">have </w:t>
      </w:r>
      <w:proofErr w:type="gramStart"/>
      <w:r w:rsidR="00AD75FF">
        <w:t>1 year</w:t>
      </w:r>
      <w:proofErr w:type="gramEnd"/>
      <w:r w:rsidR="00AD75FF">
        <w:t xml:space="preserve"> residencies </w:t>
      </w:r>
      <w:r w:rsidR="001A2549">
        <w:t xml:space="preserve">moved from different </w:t>
      </w:r>
      <w:r w:rsidR="00276828">
        <w:t>states</w:t>
      </w:r>
      <w:r w:rsidR="00F25064">
        <w:t xml:space="preserve">, which is higher than the </w:t>
      </w:r>
      <w:r w:rsidR="00276828">
        <w:t>overall Tennessee</w:t>
      </w:r>
      <w:r w:rsidR="00F25064">
        <w:t xml:space="preserve"> estimate of </w:t>
      </w:r>
      <w:r w:rsidR="006D1F5A">
        <w:t>3.1%.</w:t>
      </w:r>
      <w:r w:rsidR="00532AAF">
        <w:t xml:space="preserve"> </w:t>
      </w:r>
      <w:r w:rsidR="00C3252A">
        <w:t xml:space="preserve">An estimated 1,132 </w:t>
      </w:r>
      <w:r w:rsidR="009B740A">
        <w:t>(</w:t>
      </w:r>
      <w:r w:rsidR="007B5DF6">
        <w:t xml:space="preserve">2.1%) </w:t>
      </w:r>
      <w:r w:rsidR="009B740A">
        <w:t>people in</w:t>
      </w:r>
      <w:r w:rsidR="007B5DF6">
        <w:t xml:space="preserve"> Kingsport are Foreign born, which is b</w:t>
      </w:r>
      <w:r w:rsidR="007720F0">
        <w:t>elow the state percentage of 5.0%.</w:t>
      </w:r>
    </w:p>
    <w:p w14:paraId="7CE8F0B9" w14:textId="48895977" w:rsidR="001A789A" w:rsidRDefault="001A789A" w:rsidP="00DA168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7DEA" w14:paraId="38D8141F" w14:textId="77777777" w:rsidTr="00E17DEA">
        <w:tc>
          <w:tcPr>
            <w:tcW w:w="2337" w:type="dxa"/>
          </w:tcPr>
          <w:p w14:paraId="0F24384E" w14:textId="77777777" w:rsidR="00E17DEA" w:rsidRDefault="00E17DEA" w:rsidP="00DA168D">
            <w:pPr>
              <w:pStyle w:val="NoSpacing"/>
            </w:pPr>
          </w:p>
        </w:tc>
        <w:tc>
          <w:tcPr>
            <w:tcW w:w="2337" w:type="dxa"/>
          </w:tcPr>
          <w:p w14:paraId="7B90C0C1" w14:textId="4EF3AEFD" w:rsidR="00E17DEA" w:rsidRDefault="0068026D" w:rsidP="00DA168D">
            <w:pPr>
              <w:pStyle w:val="NoSpacing"/>
            </w:pPr>
            <w:r>
              <w:t>Households</w:t>
            </w:r>
          </w:p>
        </w:tc>
        <w:tc>
          <w:tcPr>
            <w:tcW w:w="2338" w:type="dxa"/>
          </w:tcPr>
          <w:p w14:paraId="7B3FA3B2" w14:textId="485FB129" w:rsidR="00E17DEA" w:rsidRDefault="0068026D" w:rsidP="00DA168D">
            <w:pPr>
              <w:pStyle w:val="NoSpacing"/>
            </w:pPr>
            <w:r>
              <w:t>Persons per Household</w:t>
            </w:r>
          </w:p>
        </w:tc>
        <w:tc>
          <w:tcPr>
            <w:tcW w:w="2338" w:type="dxa"/>
          </w:tcPr>
          <w:p w14:paraId="5377DFF8" w14:textId="0196E6AB" w:rsidR="00E17DEA" w:rsidRDefault="00040D9D" w:rsidP="00DA168D">
            <w:pPr>
              <w:pStyle w:val="NoSpacing"/>
            </w:pPr>
            <w:r>
              <w:t>Living in same house 1 year ago</w:t>
            </w:r>
          </w:p>
        </w:tc>
      </w:tr>
      <w:tr w:rsidR="00E17DEA" w14:paraId="4E31E3CD" w14:textId="77777777" w:rsidTr="00E17DEA">
        <w:tc>
          <w:tcPr>
            <w:tcW w:w="2337" w:type="dxa"/>
          </w:tcPr>
          <w:p w14:paraId="5488B9BC" w14:textId="4C18F5FF" w:rsidR="00E17DEA" w:rsidRDefault="00E17DEA" w:rsidP="00DA168D">
            <w:pPr>
              <w:pStyle w:val="NoSpacing"/>
            </w:pPr>
            <w:r>
              <w:t>Kingsport</w:t>
            </w:r>
          </w:p>
        </w:tc>
        <w:tc>
          <w:tcPr>
            <w:tcW w:w="2337" w:type="dxa"/>
          </w:tcPr>
          <w:p w14:paraId="1C4A3E49" w14:textId="4EF39509" w:rsidR="00E17DEA" w:rsidRDefault="004F0505" w:rsidP="00DA168D">
            <w:pPr>
              <w:pStyle w:val="NoSpacing"/>
            </w:pPr>
            <w:r>
              <w:t>23,478</w:t>
            </w:r>
          </w:p>
        </w:tc>
        <w:tc>
          <w:tcPr>
            <w:tcW w:w="2338" w:type="dxa"/>
          </w:tcPr>
          <w:p w14:paraId="674439F4" w14:textId="49D38AF5" w:rsidR="00E17DEA" w:rsidRDefault="004F0505" w:rsidP="00DA168D">
            <w:pPr>
              <w:pStyle w:val="NoSpacing"/>
            </w:pPr>
            <w:r>
              <w:t>2.2</w:t>
            </w:r>
          </w:p>
        </w:tc>
        <w:tc>
          <w:tcPr>
            <w:tcW w:w="2338" w:type="dxa"/>
          </w:tcPr>
          <w:p w14:paraId="3F7031C3" w14:textId="54EDA7B5" w:rsidR="00E17DEA" w:rsidRDefault="004F0505" w:rsidP="00DA168D">
            <w:pPr>
              <w:pStyle w:val="NoSpacing"/>
            </w:pPr>
            <w:r>
              <w:t>85.4%</w:t>
            </w:r>
          </w:p>
        </w:tc>
      </w:tr>
      <w:tr w:rsidR="00E17DEA" w14:paraId="260830F2" w14:textId="77777777" w:rsidTr="00E17DEA">
        <w:tc>
          <w:tcPr>
            <w:tcW w:w="2337" w:type="dxa"/>
          </w:tcPr>
          <w:p w14:paraId="6AFD00C4" w14:textId="441E4D0E" w:rsidR="00E17DEA" w:rsidRDefault="00E17DEA" w:rsidP="00DA168D">
            <w:pPr>
              <w:pStyle w:val="NoSpacing"/>
            </w:pPr>
            <w:r>
              <w:t>Tennessee</w:t>
            </w:r>
          </w:p>
        </w:tc>
        <w:tc>
          <w:tcPr>
            <w:tcW w:w="2337" w:type="dxa"/>
          </w:tcPr>
          <w:p w14:paraId="0713627B" w14:textId="3FD9536F" w:rsidR="00E17DEA" w:rsidRDefault="000E11ED" w:rsidP="00DA168D">
            <w:pPr>
              <w:pStyle w:val="NoSpacing"/>
            </w:pPr>
            <w:r>
              <w:t>2,547,194</w:t>
            </w:r>
          </w:p>
        </w:tc>
        <w:tc>
          <w:tcPr>
            <w:tcW w:w="2338" w:type="dxa"/>
          </w:tcPr>
          <w:p w14:paraId="0DB5C527" w14:textId="35E1877F" w:rsidR="00E17DEA" w:rsidRDefault="000E11ED" w:rsidP="00DA168D">
            <w:pPr>
              <w:pStyle w:val="NoSpacing"/>
            </w:pPr>
            <w:r>
              <w:t>2.53</w:t>
            </w:r>
          </w:p>
        </w:tc>
        <w:tc>
          <w:tcPr>
            <w:tcW w:w="2338" w:type="dxa"/>
          </w:tcPr>
          <w:p w14:paraId="1159330D" w14:textId="531160F8" w:rsidR="00E17DEA" w:rsidRDefault="003A6EF8" w:rsidP="00DA168D">
            <w:pPr>
              <w:pStyle w:val="NoSpacing"/>
            </w:pPr>
            <w:r>
              <w:t>85.2%</w:t>
            </w:r>
          </w:p>
        </w:tc>
      </w:tr>
      <w:tr w:rsidR="00E17DEA" w14:paraId="63C81248" w14:textId="77777777" w:rsidTr="00E17DEA">
        <w:tc>
          <w:tcPr>
            <w:tcW w:w="2337" w:type="dxa"/>
          </w:tcPr>
          <w:p w14:paraId="234A88BC" w14:textId="48E61E74" w:rsidR="00E17DEA" w:rsidRDefault="00E17DEA" w:rsidP="00DA168D">
            <w:pPr>
              <w:pStyle w:val="NoSpacing"/>
            </w:pPr>
            <w:r>
              <w:t>United States</w:t>
            </w:r>
          </w:p>
        </w:tc>
        <w:tc>
          <w:tcPr>
            <w:tcW w:w="2337" w:type="dxa"/>
          </w:tcPr>
          <w:p w14:paraId="7D6C5F72" w14:textId="1461BFF4" w:rsidR="00E17DEA" w:rsidRDefault="000E11ED" w:rsidP="00DA168D">
            <w:pPr>
              <w:pStyle w:val="NoSpacing"/>
            </w:pPr>
            <w:r>
              <w:t>118,825,921</w:t>
            </w:r>
          </w:p>
        </w:tc>
        <w:tc>
          <w:tcPr>
            <w:tcW w:w="2338" w:type="dxa"/>
          </w:tcPr>
          <w:p w14:paraId="41969FBC" w14:textId="0C2D79B8" w:rsidR="00E17DEA" w:rsidRDefault="000E11ED" w:rsidP="00DA168D">
            <w:pPr>
              <w:pStyle w:val="NoSpacing"/>
            </w:pPr>
            <w:r>
              <w:t>2.63</w:t>
            </w:r>
          </w:p>
        </w:tc>
        <w:tc>
          <w:tcPr>
            <w:tcW w:w="2338" w:type="dxa"/>
          </w:tcPr>
          <w:p w14:paraId="4A7ACAEF" w14:textId="4BA57922" w:rsidR="00E17DEA" w:rsidRDefault="003A6EF8" w:rsidP="00DA168D">
            <w:pPr>
              <w:pStyle w:val="NoSpacing"/>
            </w:pPr>
            <w:r>
              <w:t>85.4%</w:t>
            </w:r>
          </w:p>
        </w:tc>
      </w:tr>
    </w:tbl>
    <w:p w14:paraId="5839FDC6" w14:textId="77777777" w:rsidR="00E17DEA" w:rsidRDefault="00E17DEA" w:rsidP="00DA168D">
      <w:pPr>
        <w:pStyle w:val="NoSpacing"/>
      </w:pPr>
    </w:p>
    <w:p w14:paraId="1CF9FAEE" w14:textId="77777777" w:rsidR="001A789A" w:rsidRDefault="001A789A" w:rsidP="00DA168D">
      <w:pPr>
        <w:pStyle w:val="NoSpacing"/>
      </w:pPr>
    </w:p>
    <w:p w14:paraId="0F987DF9" w14:textId="75618D48" w:rsidR="00706C76" w:rsidRDefault="00706C76" w:rsidP="00DA168D">
      <w:pPr>
        <w:pStyle w:val="NoSpacing"/>
      </w:pPr>
    </w:p>
    <w:p w14:paraId="3A75EC5B" w14:textId="6350A497" w:rsidR="00690CBA" w:rsidRDefault="00690CBA" w:rsidP="00DA168D">
      <w:pPr>
        <w:pStyle w:val="NoSpacing"/>
      </w:pPr>
      <w:r>
        <w:t>Housing</w:t>
      </w:r>
    </w:p>
    <w:p w14:paraId="27C70F98" w14:textId="1AAE12C9" w:rsidR="00690CBA" w:rsidRDefault="00690CBA" w:rsidP="00DA168D">
      <w:pPr>
        <w:pStyle w:val="NoSpacing"/>
      </w:pPr>
    </w:p>
    <w:p w14:paraId="23137752" w14:textId="6E5E1245" w:rsidR="00690CBA" w:rsidRDefault="003509A7" w:rsidP="00DA168D">
      <w:pPr>
        <w:pStyle w:val="NoSpacing"/>
      </w:pPr>
      <w:r>
        <w:t xml:space="preserve">Will go more in depth here because of the homeless </w:t>
      </w:r>
      <w:r w:rsidR="0005171B">
        <w:t>stuff going on with Kingsport right now.</w:t>
      </w:r>
      <w:bookmarkStart w:id="0" w:name="_GoBack"/>
      <w:bookmarkEnd w:id="0"/>
    </w:p>
    <w:p w14:paraId="29EFD38F" w14:textId="7093DD67" w:rsidR="0005171B" w:rsidRDefault="0005171B" w:rsidP="00DA168D">
      <w:pPr>
        <w:pStyle w:val="NoSpacing"/>
      </w:pPr>
    </w:p>
    <w:p w14:paraId="73A1AB0E" w14:textId="5F9E765F" w:rsidR="0005171B" w:rsidRDefault="0005171B" w:rsidP="00DA168D">
      <w:pPr>
        <w:pStyle w:val="NoSpacing"/>
      </w:pPr>
      <w:r>
        <w:t>Education</w:t>
      </w:r>
    </w:p>
    <w:p w14:paraId="5D2FF7CC" w14:textId="14422C6C" w:rsidR="00FA7AF2" w:rsidRDefault="00FA7AF2" w:rsidP="00DA168D">
      <w:pPr>
        <w:pStyle w:val="NoSpacing"/>
      </w:pPr>
    </w:p>
    <w:p w14:paraId="55EBB63B" w14:textId="2624EC23" w:rsidR="000738F4" w:rsidRDefault="004866EE" w:rsidP="00DA168D">
      <w:pPr>
        <w:pStyle w:val="NoSpacing"/>
      </w:pPr>
      <w:r>
        <w:t xml:space="preserve">In Kingsport, </w:t>
      </w:r>
      <w:r w:rsidR="00BE0487">
        <w:t xml:space="preserve">87.1% of persons aged 25 or more </w:t>
      </w:r>
      <w:r w:rsidR="00AF4F8E">
        <w:t xml:space="preserve">have a </w:t>
      </w:r>
      <w:r w:rsidR="00F94C6B">
        <w:t>high school</w:t>
      </w:r>
      <w:r w:rsidR="00AF4F8E">
        <w:t xml:space="preserve"> degree,</w:t>
      </w:r>
      <w:r w:rsidR="005F0B27">
        <w:t xml:space="preserve"> </w:t>
      </w:r>
      <w:r w:rsidR="00C91006">
        <w:t xml:space="preserve">which is </w:t>
      </w:r>
      <w:r w:rsidR="003F5C92">
        <w:t>roughly the same mark a</w:t>
      </w:r>
      <w:r w:rsidR="00670725">
        <w:t xml:space="preserve">t the state and national level. </w:t>
      </w:r>
      <w:r w:rsidR="00775395">
        <w:t xml:space="preserve">An estimated </w:t>
      </w:r>
      <w:r>
        <w:t xml:space="preserve">25.8% of </w:t>
      </w:r>
      <w:proofErr w:type="spellStart"/>
      <w:r w:rsidR="00775395">
        <w:t>Kingsports</w:t>
      </w:r>
      <w:proofErr w:type="spellEnd"/>
      <w:r w:rsidR="00775395">
        <w:t xml:space="preserve"> population </w:t>
      </w:r>
      <w:r w:rsidR="00132ADF">
        <w:t xml:space="preserve">hold a </w:t>
      </w:r>
      <w:r w:rsidR="00F94C6B">
        <w:t>bachelor’s</w:t>
      </w:r>
      <w:r w:rsidR="00132ADF">
        <w:t xml:space="preserve"> degree or higher, which is </w:t>
      </w:r>
      <w:r w:rsidR="000738F4">
        <w:t xml:space="preserve">below the national estimate of 30.9%. </w:t>
      </w:r>
    </w:p>
    <w:p w14:paraId="7183CBEF" w14:textId="68338C21" w:rsidR="003A6EF8" w:rsidRDefault="003A6EF8" w:rsidP="00DA168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EF8" w14:paraId="181AAB3C" w14:textId="77777777" w:rsidTr="003A6EF8">
        <w:trPr>
          <w:trHeight w:val="332"/>
        </w:trPr>
        <w:tc>
          <w:tcPr>
            <w:tcW w:w="3116" w:type="dxa"/>
          </w:tcPr>
          <w:p w14:paraId="1159DA3F" w14:textId="77777777" w:rsidR="003A6EF8" w:rsidRDefault="003A6EF8" w:rsidP="00DA168D">
            <w:pPr>
              <w:pStyle w:val="NoSpacing"/>
            </w:pPr>
          </w:p>
        </w:tc>
        <w:tc>
          <w:tcPr>
            <w:tcW w:w="3117" w:type="dxa"/>
          </w:tcPr>
          <w:p w14:paraId="3F166952" w14:textId="25D46C3C" w:rsidR="003A6EF8" w:rsidRDefault="00B109DC" w:rsidP="00DA168D">
            <w:pPr>
              <w:pStyle w:val="NoSpacing"/>
            </w:pPr>
            <w:r>
              <w:t>Highschool Graduates</w:t>
            </w:r>
          </w:p>
        </w:tc>
        <w:tc>
          <w:tcPr>
            <w:tcW w:w="3117" w:type="dxa"/>
          </w:tcPr>
          <w:p w14:paraId="59D33EBC" w14:textId="5CB83D3A" w:rsidR="003A6EF8" w:rsidRDefault="00B109DC" w:rsidP="00DA168D">
            <w:pPr>
              <w:pStyle w:val="NoSpacing"/>
            </w:pPr>
            <w:r>
              <w:t>Bachelor’s degree or higher</w:t>
            </w:r>
          </w:p>
        </w:tc>
      </w:tr>
      <w:tr w:rsidR="003A6EF8" w14:paraId="18FFEE68" w14:textId="77777777" w:rsidTr="003A6EF8">
        <w:tc>
          <w:tcPr>
            <w:tcW w:w="3116" w:type="dxa"/>
          </w:tcPr>
          <w:p w14:paraId="5227D6B7" w14:textId="5B7B3531" w:rsidR="003A6EF8" w:rsidRDefault="003A6EF8" w:rsidP="00DA168D">
            <w:pPr>
              <w:pStyle w:val="NoSpacing"/>
            </w:pPr>
            <w:r>
              <w:t>Kingsport</w:t>
            </w:r>
          </w:p>
        </w:tc>
        <w:tc>
          <w:tcPr>
            <w:tcW w:w="3117" w:type="dxa"/>
          </w:tcPr>
          <w:p w14:paraId="5D6513FA" w14:textId="08A1A927" w:rsidR="003A6EF8" w:rsidRDefault="002F77B1" w:rsidP="00DA168D">
            <w:pPr>
              <w:pStyle w:val="NoSpacing"/>
            </w:pPr>
            <w:r>
              <w:t>87.1%</w:t>
            </w:r>
          </w:p>
        </w:tc>
        <w:tc>
          <w:tcPr>
            <w:tcW w:w="3117" w:type="dxa"/>
          </w:tcPr>
          <w:p w14:paraId="09BC546F" w14:textId="437B9798" w:rsidR="003A6EF8" w:rsidRDefault="002F77B1" w:rsidP="00DA168D">
            <w:pPr>
              <w:pStyle w:val="NoSpacing"/>
            </w:pPr>
            <w:r>
              <w:t>25.8%</w:t>
            </w:r>
          </w:p>
        </w:tc>
      </w:tr>
      <w:tr w:rsidR="003A6EF8" w14:paraId="70BDF488" w14:textId="77777777" w:rsidTr="003A6EF8">
        <w:tc>
          <w:tcPr>
            <w:tcW w:w="3116" w:type="dxa"/>
          </w:tcPr>
          <w:p w14:paraId="2D69DB95" w14:textId="436BC98C" w:rsidR="003A6EF8" w:rsidRDefault="003A6EF8" w:rsidP="00DA168D">
            <w:pPr>
              <w:pStyle w:val="NoSpacing"/>
            </w:pPr>
            <w:r>
              <w:t>Tennessee</w:t>
            </w:r>
          </w:p>
        </w:tc>
        <w:tc>
          <w:tcPr>
            <w:tcW w:w="3117" w:type="dxa"/>
          </w:tcPr>
          <w:p w14:paraId="5119A7C3" w14:textId="4DEDCAA7" w:rsidR="003A6EF8" w:rsidRDefault="002F77B1" w:rsidP="00DA168D">
            <w:pPr>
              <w:pStyle w:val="NoSpacing"/>
            </w:pPr>
            <w:r>
              <w:t>86.5%</w:t>
            </w:r>
          </w:p>
        </w:tc>
        <w:tc>
          <w:tcPr>
            <w:tcW w:w="3117" w:type="dxa"/>
          </w:tcPr>
          <w:p w14:paraId="6045CC5D" w14:textId="2E6E0769" w:rsidR="003A6EF8" w:rsidRDefault="00E24990" w:rsidP="00DA168D">
            <w:pPr>
              <w:pStyle w:val="NoSpacing"/>
            </w:pPr>
            <w:r>
              <w:t>26.1%</w:t>
            </w:r>
          </w:p>
        </w:tc>
      </w:tr>
      <w:tr w:rsidR="003A6EF8" w14:paraId="2C0DFAA5" w14:textId="77777777" w:rsidTr="003A6EF8">
        <w:tc>
          <w:tcPr>
            <w:tcW w:w="3116" w:type="dxa"/>
          </w:tcPr>
          <w:p w14:paraId="425B0310" w14:textId="038351EC" w:rsidR="003A6EF8" w:rsidRDefault="003A6EF8" w:rsidP="00DA168D">
            <w:pPr>
              <w:pStyle w:val="NoSpacing"/>
            </w:pPr>
            <w:r>
              <w:t>United States</w:t>
            </w:r>
          </w:p>
        </w:tc>
        <w:tc>
          <w:tcPr>
            <w:tcW w:w="3117" w:type="dxa"/>
          </w:tcPr>
          <w:p w14:paraId="389147D1" w14:textId="767CE57A" w:rsidR="003A6EF8" w:rsidRDefault="00E24990" w:rsidP="00DA168D">
            <w:pPr>
              <w:pStyle w:val="NoSpacing"/>
            </w:pPr>
            <w:r>
              <w:t>87.3%</w:t>
            </w:r>
          </w:p>
        </w:tc>
        <w:tc>
          <w:tcPr>
            <w:tcW w:w="3117" w:type="dxa"/>
          </w:tcPr>
          <w:p w14:paraId="387CEFF2" w14:textId="7A754C52" w:rsidR="003A6EF8" w:rsidRDefault="00E24990" w:rsidP="00DA168D">
            <w:pPr>
              <w:pStyle w:val="NoSpacing"/>
            </w:pPr>
            <w:r>
              <w:t>30.9%</w:t>
            </w:r>
          </w:p>
        </w:tc>
      </w:tr>
    </w:tbl>
    <w:p w14:paraId="1C93B504" w14:textId="77777777" w:rsidR="003A6EF8" w:rsidRDefault="003A6EF8" w:rsidP="00DA168D">
      <w:pPr>
        <w:pStyle w:val="NoSpacing"/>
      </w:pPr>
    </w:p>
    <w:p w14:paraId="268E50F0" w14:textId="77777777" w:rsidR="002646BA" w:rsidRDefault="002646BA" w:rsidP="00DA168D">
      <w:pPr>
        <w:pStyle w:val="NoSpacing"/>
      </w:pPr>
    </w:p>
    <w:p w14:paraId="58243477" w14:textId="175EAFE3" w:rsidR="000738F4" w:rsidRDefault="00EF2471" w:rsidP="00DA168D">
      <w:pPr>
        <w:pStyle w:val="NoSpacing"/>
      </w:pPr>
      <w:r>
        <w:t>SCHOOL SYSTEM REPORT CARD GOES HERE</w:t>
      </w:r>
    </w:p>
    <w:p w14:paraId="698A6185" w14:textId="7CCC0B72" w:rsidR="00EF2471" w:rsidRDefault="00EF2471" w:rsidP="00DA168D">
      <w:pPr>
        <w:pStyle w:val="NoSpacing"/>
      </w:pPr>
    </w:p>
    <w:p w14:paraId="3AE01657" w14:textId="77777777" w:rsidR="00EF2471" w:rsidRDefault="00EF2471" w:rsidP="00DA168D">
      <w:pPr>
        <w:pStyle w:val="NoSpacing"/>
      </w:pPr>
    </w:p>
    <w:p w14:paraId="0EC720EB" w14:textId="77777777" w:rsidR="00EF2471" w:rsidRDefault="00EF2471" w:rsidP="00DA168D">
      <w:pPr>
        <w:pStyle w:val="NoSpacing"/>
      </w:pPr>
    </w:p>
    <w:p w14:paraId="146F0256" w14:textId="77777777" w:rsidR="00EF2471" w:rsidRDefault="00EF2471" w:rsidP="00DA168D">
      <w:pPr>
        <w:pStyle w:val="NoSpacing"/>
      </w:pPr>
    </w:p>
    <w:p w14:paraId="3E3AAA6E" w14:textId="77777777" w:rsidR="00EF2471" w:rsidRDefault="00EF2471" w:rsidP="00DA168D">
      <w:pPr>
        <w:pStyle w:val="NoSpacing"/>
      </w:pPr>
    </w:p>
    <w:p w14:paraId="4EC41603" w14:textId="77777777" w:rsidR="00EF2471" w:rsidRDefault="00EF2471" w:rsidP="00DA168D">
      <w:pPr>
        <w:pStyle w:val="NoSpacing"/>
      </w:pPr>
    </w:p>
    <w:p w14:paraId="6FDF0E5A" w14:textId="77777777" w:rsidR="00EF2471" w:rsidRDefault="00EF2471" w:rsidP="00DA168D">
      <w:pPr>
        <w:pStyle w:val="NoSpacing"/>
      </w:pPr>
    </w:p>
    <w:p w14:paraId="5701DB0F" w14:textId="77777777" w:rsidR="00EF2471" w:rsidRDefault="00EF2471" w:rsidP="00DA168D">
      <w:pPr>
        <w:pStyle w:val="NoSpacing"/>
      </w:pPr>
    </w:p>
    <w:p w14:paraId="44F767D1" w14:textId="77777777" w:rsidR="00EF2471" w:rsidRDefault="00EF2471" w:rsidP="00DA168D">
      <w:pPr>
        <w:pStyle w:val="NoSpacing"/>
      </w:pPr>
    </w:p>
    <w:p w14:paraId="2FC2E4CA" w14:textId="77777777" w:rsidR="00EF2471" w:rsidRDefault="00EF2471" w:rsidP="00DA168D">
      <w:pPr>
        <w:pStyle w:val="NoSpacing"/>
      </w:pPr>
    </w:p>
    <w:p w14:paraId="5C73BD3E" w14:textId="77777777" w:rsidR="00EF2471" w:rsidRDefault="00EF2471" w:rsidP="00DA168D">
      <w:pPr>
        <w:pStyle w:val="NoSpacing"/>
      </w:pPr>
    </w:p>
    <w:p w14:paraId="4A9DDB29" w14:textId="77777777" w:rsidR="00EF2471" w:rsidRDefault="00EF2471" w:rsidP="00DA168D">
      <w:pPr>
        <w:pStyle w:val="NoSpacing"/>
      </w:pPr>
    </w:p>
    <w:p w14:paraId="0954FF9B" w14:textId="5F2FDF7E" w:rsidR="0023270A" w:rsidRDefault="0023270A" w:rsidP="00DA168D">
      <w:pPr>
        <w:pStyle w:val="NoSpacing"/>
      </w:pPr>
      <w:r>
        <w:t>Health</w:t>
      </w:r>
    </w:p>
    <w:p w14:paraId="45E29447" w14:textId="205F405C" w:rsidR="0023270A" w:rsidRDefault="0023270A" w:rsidP="00DA168D">
      <w:pPr>
        <w:pStyle w:val="NoSpacing"/>
      </w:pPr>
    </w:p>
    <w:p w14:paraId="0134D7BA" w14:textId="74B3B12A" w:rsidR="0023270A" w:rsidRDefault="00123AC7" w:rsidP="00DA168D">
      <w:pPr>
        <w:pStyle w:val="NoSpacing"/>
      </w:pPr>
      <w:r>
        <w:t xml:space="preserve">16.3% of </w:t>
      </w:r>
      <w:r w:rsidR="003F7E24">
        <w:t>Kingsport residents under the age of 65</w:t>
      </w:r>
      <w:r w:rsidR="00FA588B">
        <w:t xml:space="preserve"> are estimated to have a disability, </w:t>
      </w:r>
      <w:r w:rsidR="00B80E87">
        <w:t>which is nearly double the national mark of 8.7%</w:t>
      </w:r>
      <w:r w:rsidR="00642718">
        <w:t xml:space="preserve">. </w:t>
      </w:r>
      <w:r w:rsidR="006E1F5D">
        <w:t xml:space="preserve">The percentage of persons without health insurance is also higher than the united states with 13.1% in Kingsport versus 10.0% for the nation. </w:t>
      </w:r>
    </w:p>
    <w:p w14:paraId="2CA09DA2" w14:textId="28CC0F9E" w:rsidR="00B2258B" w:rsidRDefault="00B2258B" w:rsidP="00DA168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6D46" w14:paraId="668E9A5C" w14:textId="77777777" w:rsidTr="00C36D46">
        <w:tc>
          <w:tcPr>
            <w:tcW w:w="3116" w:type="dxa"/>
          </w:tcPr>
          <w:p w14:paraId="6C538671" w14:textId="77777777" w:rsidR="00C36D46" w:rsidRDefault="00C36D46" w:rsidP="00DA168D">
            <w:pPr>
              <w:pStyle w:val="NoSpacing"/>
            </w:pPr>
          </w:p>
        </w:tc>
        <w:tc>
          <w:tcPr>
            <w:tcW w:w="3117" w:type="dxa"/>
          </w:tcPr>
          <w:p w14:paraId="5B5998D5" w14:textId="339DB4E6" w:rsidR="00C36D46" w:rsidRDefault="00517F39" w:rsidP="00DA168D">
            <w:pPr>
              <w:pStyle w:val="NoSpacing"/>
            </w:pPr>
            <w:r>
              <w:t>Persons &lt; 65 with a disability</w:t>
            </w:r>
          </w:p>
        </w:tc>
        <w:tc>
          <w:tcPr>
            <w:tcW w:w="3117" w:type="dxa"/>
          </w:tcPr>
          <w:p w14:paraId="1748FFEB" w14:textId="74F2F0ED" w:rsidR="00C36D46" w:rsidRDefault="00ED1506" w:rsidP="00DA168D">
            <w:pPr>
              <w:pStyle w:val="NoSpacing"/>
            </w:pPr>
            <w:r>
              <w:t>Persons &lt; 65 without health insurance</w:t>
            </w:r>
          </w:p>
        </w:tc>
      </w:tr>
      <w:tr w:rsidR="00C36D46" w14:paraId="0854EA7C" w14:textId="77777777" w:rsidTr="00C36D46">
        <w:tc>
          <w:tcPr>
            <w:tcW w:w="3116" w:type="dxa"/>
          </w:tcPr>
          <w:p w14:paraId="07C499E9" w14:textId="450F8984" w:rsidR="00C36D46" w:rsidRDefault="00C36D46" w:rsidP="00DA168D">
            <w:pPr>
              <w:pStyle w:val="NoSpacing"/>
            </w:pPr>
            <w:r>
              <w:t>Kingsport</w:t>
            </w:r>
          </w:p>
        </w:tc>
        <w:tc>
          <w:tcPr>
            <w:tcW w:w="3117" w:type="dxa"/>
          </w:tcPr>
          <w:p w14:paraId="1C5134FF" w14:textId="06BE616D" w:rsidR="00C36D46" w:rsidRDefault="00982FED" w:rsidP="00DA168D">
            <w:pPr>
              <w:pStyle w:val="NoSpacing"/>
            </w:pPr>
            <w:r>
              <w:t>16.3%</w:t>
            </w:r>
          </w:p>
        </w:tc>
        <w:tc>
          <w:tcPr>
            <w:tcW w:w="3117" w:type="dxa"/>
          </w:tcPr>
          <w:p w14:paraId="726ADAB3" w14:textId="685FF088" w:rsidR="00C36D46" w:rsidRDefault="00246813" w:rsidP="00DA168D">
            <w:pPr>
              <w:pStyle w:val="NoSpacing"/>
            </w:pPr>
            <w:r>
              <w:t>13.1%</w:t>
            </w:r>
          </w:p>
        </w:tc>
      </w:tr>
      <w:tr w:rsidR="00C36D46" w14:paraId="38049A9E" w14:textId="77777777" w:rsidTr="00C36D46">
        <w:tc>
          <w:tcPr>
            <w:tcW w:w="3116" w:type="dxa"/>
          </w:tcPr>
          <w:p w14:paraId="3CB4486D" w14:textId="790682A6" w:rsidR="00C36D46" w:rsidRDefault="00C36D46" w:rsidP="00DA168D">
            <w:pPr>
              <w:pStyle w:val="NoSpacing"/>
            </w:pPr>
            <w:r>
              <w:t>Tennessee</w:t>
            </w:r>
          </w:p>
        </w:tc>
        <w:tc>
          <w:tcPr>
            <w:tcW w:w="3117" w:type="dxa"/>
          </w:tcPr>
          <w:p w14:paraId="6B4B4BF8" w14:textId="213A8836" w:rsidR="00C36D46" w:rsidRDefault="00246813" w:rsidP="00DA168D">
            <w:pPr>
              <w:pStyle w:val="NoSpacing"/>
            </w:pPr>
            <w:r>
              <w:t>11.2%</w:t>
            </w:r>
          </w:p>
        </w:tc>
        <w:tc>
          <w:tcPr>
            <w:tcW w:w="3117" w:type="dxa"/>
          </w:tcPr>
          <w:p w14:paraId="42AE6925" w14:textId="0498BA40" w:rsidR="00C36D46" w:rsidRDefault="00246813" w:rsidP="00DA168D">
            <w:pPr>
              <w:pStyle w:val="NoSpacing"/>
            </w:pPr>
            <w:r>
              <w:t>12.0%</w:t>
            </w:r>
          </w:p>
        </w:tc>
      </w:tr>
      <w:tr w:rsidR="00C36D46" w14:paraId="01A391ED" w14:textId="77777777" w:rsidTr="00C36D46">
        <w:tc>
          <w:tcPr>
            <w:tcW w:w="3116" w:type="dxa"/>
          </w:tcPr>
          <w:p w14:paraId="23AC61A3" w14:textId="002625FB" w:rsidR="00C36D46" w:rsidRDefault="00C36D46" w:rsidP="00DA168D">
            <w:pPr>
              <w:pStyle w:val="NoSpacing"/>
            </w:pPr>
            <w:r>
              <w:t>United States</w:t>
            </w:r>
          </w:p>
        </w:tc>
        <w:tc>
          <w:tcPr>
            <w:tcW w:w="3117" w:type="dxa"/>
          </w:tcPr>
          <w:p w14:paraId="272A7392" w14:textId="65EA3118" w:rsidR="00C36D46" w:rsidRDefault="00246813" w:rsidP="00DA168D">
            <w:pPr>
              <w:pStyle w:val="NoSpacing"/>
            </w:pPr>
            <w:r>
              <w:t>8.7%</w:t>
            </w:r>
          </w:p>
        </w:tc>
        <w:tc>
          <w:tcPr>
            <w:tcW w:w="3117" w:type="dxa"/>
          </w:tcPr>
          <w:p w14:paraId="22A07B36" w14:textId="6FA4A3A8" w:rsidR="00C36D46" w:rsidRDefault="00246813" w:rsidP="00DA168D">
            <w:pPr>
              <w:pStyle w:val="NoSpacing"/>
            </w:pPr>
            <w:r>
              <w:t>10.0%</w:t>
            </w:r>
          </w:p>
        </w:tc>
      </w:tr>
    </w:tbl>
    <w:p w14:paraId="377FE9FB" w14:textId="77777777" w:rsidR="00B2258B" w:rsidRDefault="00B2258B" w:rsidP="00DA168D">
      <w:pPr>
        <w:pStyle w:val="NoSpacing"/>
      </w:pPr>
    </w:p>
    <w:p w14:paraId="4CDE719B" w14:textId="14412541" w:rsidR="00E24990" w:rsidRDefault="00E24990" w:rsidP="00DA168D">
      <w:pPr>
        <w:pStyle w:val="NoSpacing"/>
      </w:pPr>
    </w:p>
    <w:p w14:paraId="223EDBA6" w14:textId="5F213005" w:rsidR="00611F33" w:rsidRDefault="00611F33" w:rsidP="00DA168D">
      <w:pPr>
        <w:pStyle w:val="NoSpacing"/>
      </w:pPr>
      <w:r>
        <w:t xml:space="preserve">Maybe some more stuff on opiates and stuff. </w:t>
      </w:r>
    </w:p>
    <w:p w14:paraId="3CA07956" w14:textId="77777777" w:rsidR="00611F33" w:rsidRDefault="00611F33" w:rsidP="00DA168D">
      <w:pPr>
        <w:pStyle w:val="NoSpacing"/>
      </w:pPr>
    </w:p>
    <w:p w14:paraId="7D692F91" w14:textId="53369E2B" w:rsidR="006E1F5D" w:rsidRDefault="006E1F5D" w:rsidP="00DA168D">
      <w:pPr>
        <w:pStyle w:val="NoSpacing"/>
      </w:pPr>
      <w:r>
        <w:t>Economy</w:t>
      </w:r>
    </w:p>
    <w:p w14:paraId="715EBAC0" w14:textId="5A2F3D80" w:rsidR="006E1F5D" w:rsidRDefault="006E1F5D" w:rsidP="00DA168D">
      <w:pPr>
        <w:pStyle w:val="NoSpacing"/>
      </w:pPr>
    </w:p>
    <w:p w14:paraId="61574B1D" w14:textId="15AAFABE" w:rsidR="006E1F5D" w:rsidRDefault="00621EFC" w:rsidP="00DA168D">
      <w:pPr>
        <w:pStyle w:val="NoSpacing"/>
      </w:pPr>
      <w:r>
        <w:t xml:space="preserve">An estimated 53.3% of </w:t>
      </w:r>
      <w:r w:rsidR="009B41D5">
        <w:t xml:space="preserve">persons in Kingsport over the age of 16 </w:t>
      </w:r>
      <w:r w:rsidR="00255626">
        <w:t xml:space="preserve">are in the civilian labor force, </w:t>
      </w:r>
      <w:r w:rsidR="008A4B02">
        <w:t>which is below both the state and national levels.</w:t>
      </w:r>
      <w:r w:rsidR="00964607">
        <w:t xml:space="preserve"> The percentage o</w:t>
      </w:r>
      <w:r w:rsidR="00A1650D">
        <w:t>f</w:t>
      </w:r>
      <w:r w:rsidR="00C50D6D">
        <w:t xml:space="preserve"> female</w:t>
      </w:r>
      <w:r w:rsidR="00097B45">
        <w:t xml:space="preserve">s aged greater than 16 and in the workforce </w:t>
      </w:r>
      <w:r w:rsidR="00C50D6D">
        <w:t xml:space="preserve">is 47.1%, which is also below </w:t>
      </w:r>
      <w:r w:rsidR="00471EA1">
        <w:t xml:space="preserve">state and national levels. The </w:t>
      </w:r>
      <w:r w:rsidR="0028349E">
        <w:t>total retail sales per capita for Kingsport i</w:t>
      </w:r>
      <w:r w:rsidR="00C4012D">
        <w:t xml:space="preserve">s estimated to be </w:t>
      </w:r>
      <w:r w:rsidR="0018429B">
        <w:t>$</w:t>
      </w:r>
      <w:r w:rsidR="00C4012D">
        <w:t>25,113</w:t>
      </w:r>
      <w:r w:rsidR="003B5D4C">
        <w:t xml:space="preserve"> (2012</w:t>
      </w:r>
      <w:r w:rsidR="00A476A5">
        <w:t xml:space="preserve"> data)</w:t>
      </w:r>
      <w:r w:rsidR="00DE6ED9">
        <w:t xml:space="preserve">, which is roughly double the estimates for both the state and the nation. </w:t>
      </w:r>
    </w:p>
    <w:p w14:paraId="72ECD2BF" w14:textId="025DE685" w:rsidR="00246813" w:rsidRDefault="00246813" w:rsidP="00DA168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54CB" w14:paraId="77ED8D3C" w14:textId="77777777" w:rsidTr="00A354CB">
        <w:tc>
          <w:tcPr>
            <w:tcW w:w="2337" w:type="dxa"/>
          </w:tcPr>
          <w:p w14:paraId="42A579BD" w14:textId="77777777" w:rsidR="00A354CB" w:rsidRDefault="00A354CB" w:rsidP="00DA168D">
            <w:pPr>
              <w:pStyle w:val="NoSpacing"/>
            </w:pPr>
          </w:p>
        </w:tc>
        <w:tc>
          <w:tcPr>
            <w:tcW w:w="2337" w:type="dxa"/>
          </w:tcPr>
          <w:p w14:paraId="613C253E" w14:textId="3F0FE265" w:rsidR="00A354CB" w:rsidRDefault="00AF7978" w:rsidP="00DA168D">
            <w:pPr>
              <w:pStyle w:val="NoSpacing"/>
            </w:pPr>
            <w:r>
              <w:t>Age &gt;16</w:t>
            </w:r>
            <w:r w:rsidR="00E3756B">
              <w:t xml:space="preserve"> in civilian labor force</w:t>
            </w:r>
          </w:p>
        </w:tc>
        <w:tc>
          <w:tcPr>
            <w:tcW w:w="2338" w:type="dxa"/>
          </w:tcPr>
          <w:p w14:paraId="5B6DB6B4" w14:textId="0FE86327" w:rsidR="00A354CB" w:rsidRDefault="00E3756B" w:rsidP="00DA168D">
            <w:pPr>
              <w:pStyle w:val="NoSpacing"/>
            </w:pPr>
            <w:r>
              <w:t>Females age &gt; 16 in civilian labor force</w:t>
            </w:r>
          </w:p>
        </w:tc>
        <w:tc>
          <w:tcPr>
            <w:tcW w:w="2338" w:type="dxa"/>
          </w:tcPr>
          <w:p w14:paraId="1B0708E9" w14:textId="245C9E8E" w:rsidR="00A354CB" w:rsidRDefault="00E3756B" w:rsidP="00DA168D">
            <w:pPr>
              <w:pStyle w:val="NoSpacing"/>
            </w:pPr>
            <w:r>
              <w:t>Total retail sales per capita, 2012</w:t>
            </w:r>
          </w:p>
        </w:tc>
      </w:tr>
      <w:tr w:rsidR="00A354CB" w14:paraId="2A5A51DB" w14:textId="77777777" w:rsidTr="00A354CB">
        <w:tc>
          <w:tcPr>
            <w:tcW w:w="2337" w:type="dxa"/>
          </w:tcPr>
          <w:p w14:paraId="6F5038A5" w14:textId="2A73E5C0" w:rsidR="00A354CB" w:rsidRDefault="00A354CB" w:rsidP="00DA168D">
            <w:pPr>
              <w:pStyle w:val="NoSpacing"/>
            </w:pPr>
            <w:r>
              <w:t>Kingsport</w:t>
            </w:r>
          </w:p>
        </w:tc>
        <w:tc>
          <w:tcPr>
            <w:tcW w:w="2337" w:type="dxa"/>
          </w:tcPr>
          <w:p w14:paraId="739A09E6" w14:textId="377B821D" w:rsidR="00A354CB" w:rsidRDefault="007B4FF4" w:rsidP="00DA168D">
            <w:pPr>
              <w:pStyle w:val="NoSpacing"/>
            </w:pPr>
            <w:r>
              <w:t>53.3%</w:t>
            </w:r>
          </w:p>
        </w:tc>
        <w:tc>
          <w:tcPr>
            <w:tcW w:w="2338" w:type="dxa"/>
          </w:tcPr>
          <w:p w14:paraId="777AB569" w14:textId="183B560C" w:rsidR="00A354CB" w:rsidRDefault="007B4FF4" w:rsidP="00DA168D">
            <w:pPr>
              <w:pStyle w:val="NoSpacing"/>
            </w:pPr>
            <w:r>
              <w:t>47.1%</w:t>
            </w:r>
          </w:p>
        </w:tc>
        <w:tc>
          <w:tcPr>
            <w:tcW w:w="2338" w:type="dxa"/>
          </w:tcPr>
          <w:p w14:paraId="398E7CE6" w14:textId="5EBA988F" w:rsidR="00A354CB" w:rsidRDefault="007B4FF4" w:rsidP="00DA168D">
            <w:pPr>
              <w:pStyle w:val="NoSpacing"/>
            </w:pPr>
            <w:r>
              <w:t>$25,113</w:t>
            </w:r>
          </w:p>
        </w:tc>
      </w:tr>
      <w:tr w:rsidR="00A354CB" w14:paraId="01BC57FF" w14:textId="77777777" w:rsidTr="00A354CB">
        <w:tc>
          <w:tcPr>
            <w:tcW w:w="2337" w:type="dxa"/>
          </w:tcPr>
          <w:p w14:paraId="66031147" w14:textId="7F00A4B9" w:rsidR="00A354CB" w:rsidRDefault="00A354CB" w:rsidP="00DA168D">
            <w:pPr>
              <w:pStyle w:val="NoSpacing"/>
            </w:pPr>
            <w:r>
              <w:t>Tennessee</w:t>
            </w:r>
          </w:p>
        </w:tc>
        <w:tc>
          <w:tcPr>
            <w:tcW w:w="2337" w:type="dxa"/>
          </w:tcPr>
          <w:p w14:paraId="1EBABF04" w14:textId="5DBF39E1" w:rsidR="00A354CB" w:rsidRDefault="004B5637" w:rsidP="00DA168D">
            <w:pPr>
              <w:pStyle w:val="NoSpacing"/>
            </w:pPr>
            <w:r>
              <w:t>60.9%</w:t>
            </w:r>
          </w:p>
        </w:tc>
        <w:tc>
          <w:tcPr>
            <w:tcW w:w="2338" w:type="dxa"/>
          </w:tcPr>
          <w:p w14:paraId="7D3EB758" w14:textId="6D205CDC" w:rsidR="00A354CB" w:rsidRDefault="004B5637" w:rsidP="00DA168D">
            <w:pPr>
              <w:pStyle w:val="NoSpacing"/>
            </w:pPr>
            <w:r>
              <w:t>56.2%</w:t>
            </w:r>
          </w:p>
        </w:tc>
        <w:tc>
          <w:tcPr>
            <w:tcW w:w="2338" w:type="dxa"/>
          </w:tcPr>
          <w:p w14:paraId="6A0CA254" w14:textId="3EE84A3F" w:rsidR="00A354CB" w:rsidRDefault="00E4618B" w:rsidP="00DA168D">
            <w:pPr>
              <w:pStyle w:val="NoSpacing"/>
            </w:pPr>
            <w:r>
              <w:t>$14,</w:t>
            </w:r>
            <w:r w:rsidR="00F651C4">
              <w:t>194</w:t>
            </w:r>
          </w:p>
        </w:tc>
      </w:tr>
      <w:tr w:rsidR="00A354CB" w14:paraId="1B462CA9" w14:textId="77777777" w:rsidTr="00A354CB">
        <w:tc>
          <w:tcPr>
            <w:tcW w:w="2337" w:type="dxa"/>
          </w:tcPr>
          <w:p w14:paraId="31887F32" w14:textId="4423D903" w:rsidR="00A354CB" w:rsidRDefault="00A354CB" w:rsidP="00DA168D">
            <w:pPr>
              <w:pStyle w:val="NoSpacing"/>
            </w:pPr>
            <w:r>
              <w:t>United States</w:t>
            </w:r>
          </w:p>
        </w:tc>
        <w:tc>
          <w:tcPr>
            <w:tcW w:w="2337" w:type="dxa"/>
          </w:tcPr>
          <w:p w14:paraId="5C84656D" w14:textId="22D44C93" w:rsidR="00A354CB" w:rsidRDefault="00E4618B" w:rsidP="00DA168D">
            <w:pPr>
              <w:pStyle w:val="NoSpacing"/>
            </w:pPr>
            <w:r>
              <w:t>63.0%</w:t>
            </w:r>
          </w:p>
        </w:tc>
        <w:tc>
          <w:tcPr>
            <w:tcW w:w="2338" w:type="dxa"/>
          </w:tcPr>
          <w:p w14:paraId="5E33E348" w14:textId="71F0944A" w:rsidR="00A354CB" w:rsidRDefault="00E4618B" w:rsidP="00DA168D">
            <w:pPr>
              <w:pStyle w:val="NoSpacing"/>
            </w:pPr>
            <w:r>
              <w:t>58.2%</w:t>
            </w:r>
          </w:p>
        </w:tc>
        <w:tc>
          <w:tcPr>
            <w:tcW w:w="2338" w:type="dxa"/>
          </w:tcPr>
          <w:p w14:paraId="07A33573" w14:textId="1E22C575" w:rsidR="00A354CB" w:rsidRDefault="00F651C4" w:rsidP="00DA168D">
            <w:pPr>
              <w:pStyle w:val="NoSpacing"/>
            </w:pPr>
            <w:r>
              <w:t>$</w:t>
            </w:r>
            <w:r w:rsidR="00B00A2D">
              <w:t>13,443</w:t>
            </w:r>
          </w:p>
        </w:tc>
      </w:tr>
    </w:tbl>
    <w:p w14:paraId="67613CFA" w14:textId="36106B19" w:rsidR="00246813" w:rsidRDefault="00246813" w:rsidP="00DA168D">
      <w:pPr>
        <w:pStyle w:val="NoSpacing"/>
      </w:pPr>
    </w:p>
    <w:p w14:paraId="2EE97E84" w14:textId="6D41E4C9" w:rsidR="00E36BED" w:rsidRDefault="00E36BED" w:rsidP="00DA168D">
      <w:pPr>
        <w:pStyle w:val="NoSpacing"/>
      </w:pPr>
      <w:r>
        <w:t xml:space="preserve">Add unemployment rate, trends etc. </w:t>
      </w:r>
    </w:p>
    <w:p w14:paraId="0347E976" w14:textId="78D3FAC0" w:rsidR="00AE51F3" w:rsidRDefault="00AE51F3" w:rsidP="00DA168D">
      <w:pPr>
        <w:pStyle w:val="NoSpacing"/>
      </w:pPr>
    </w:p>
    <w:p w14:paraId="7747A25E" w14:textId="218DC21D" w:rsidR="00AE51F3" w:rsidRDefault="00AE51F3" w:rsidP="00DA168D">
      <w:pPr>
        <w:pStyle w:val="NoSpacing"/>
      </w:pPr>
      <w:r>
        <w:t>Income and Poverty</w:t>
      </w:r>
    </w:p>
    <w:p w14:paraId="565C87F5" w14:textId="36D8AF66" w:rsidR="001710A4" w:rsidRDefault="001710A4" w:rsidP="00DA168D">
      <w:pPr>
        <w:pStyle w:val="NoSpacing"/>
      </w:pPr>
    </w:p>
    <w:p w14:paraId="31CDBD63" w14:textId="0967B6D9" w:rsidR="001710A4" w:rsidRDefault="001710A4" w:rsidP="00DA168D">
      <w:pPr>
        <w:pStyle w:val="NoSpacing"/>
      </w:pPr>
      <w:r>
        <w:t xml:space="preserve">The median income for Kingsport </w:t>
      </w:r>
      <w:r w:rsidR="007A58F8">
        <w:t>is $39,135</w:t>
      </w:r>
      <w:r w:rsidR="003C02C1">
        <w:t xml:space="preserve"> </w:t>
      </w:r>
      <w:r w:rsidR="00A83236">
        <w:t xml:space="preserve">which is below the state and national levels. The percentage of Kingsport residents in poverty is estimated to be 20%, which is above the state and national marks. </w:t>
      </w:r>
    </w:p>
    <w:p w14:paraId="1D2D1F65" w14:textId="36FDDC91" w:rsidR="0005171B" w:rsidRDefault="0005171B" w:rsidP="00DA168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098B" w14:paraId="37EE83D6" w14:textId="77777777" w:rsidTr="0090098B">
        <w:tc>
          <w:tcPr>
            <w:tcW w:w="2337" w:type="dxa"/>
          </w:tcPr>
          <w:p w14:paraId="74892C97" w14:textId="77777777" w:rsidR="0090098B" w:rsidRDefault="0090098B" w:rsidP="00DA168D">
            <w:pPr>
              <w:pStyle w:val="NoSpacing"/>
            </w:pPr>
          </w:p>
        </w:tc>
        <w:tc>
          <w:tcPr>
            <w:tcW w:w="2337" w:type="dxa"/>
          </w:tcPr>
          <w:p w14:paraId="4D809903" w14:textId="590411C4" w:rsidR="0090098B" w:rsidRDefault="0090098B" w:rsidP="00DA168D">
            <w:pPr>
              <w:pStyle w:val="NoSpacing"/>
            </w:pPr>
            <w:r>
              <w:t>Median Household income (in 2017 dollars)</w:t>
            </w:r>
          </w:p>
        </w:tc>
        <w:tc>
          <w:tcPr>
            <w:tcW w:w="2338" w:type="dxa"/>
          </w:tcPr>
          <w:p w14:paraId="597AE12E" w14:textId="0DBF1698" w:rsidR="0090098B" w:rsidRDefault="0090098B" w:rsidP="00DA168D">
            <w:pPr>
              <w:pStyle w:val="NoSpacing"/>
            </w:pPr>
            <w:r>
              <w:t xml:space="preserve">Per capital income </w:t>
            </w:r>
            <w:r w:rsidR="00D97F55">
              <w:t>(in 2017 dollars)</w:t>
            </w:r>
          </w:p>
        </w:tc>
        <w:tc>
          <w:tcPr>
            <w:tcW w:w="2338" w:type="dxa"/>
          </w:tcPr>
          <w:p w14:paraId="5A1D7A6D" w14:textId="74608D53" w:rsidR="0090098B" w:rsidRDefault="00D97F55" w:rsidP="00DA168D">
            <w:pPr>
              <w:pStyle w:val="NoSpacing"/>
            </w:pPr>
            <w:r>
              <w:t>Percentage of persons in poverty</w:t>
            </w:r>
          </w:p>
        </w:tc>
      </w:tr>
      <w:tr w:rsidR="0090098B" w14:paraId="432066B3" w14:textId="77777777" w:rsidTr="0090098B">
        <w:tc>
          <w:tcPr>
            <w:tcW w:w="2337" w:type="dxa"/>
          </w:tcPr>
          <w:p w14:paraId="54447338" w14:textId="755740DD" w:rsidR="0090098B" w:rsidRDefault="0090098B" w:rsidP="00DA168D">
            <w:pPr>
              <w:pStyle w:val="NoSpacing"/>
            </w:pPr>
            <w:r>
              <w:t>Kingsport</w:t>
            </w:r>
          </w:p>
        </w:tc>
        <w:tc>
          <w:tcPr>
            <w:tcW w:w="2337" w:type="dxa"/>
          </w:tcPr>
          <w:p w14:paraId="61051A50" w14:textId="7F023B9A" w:rsidR="0090098B" w:rsidRDefault="007F67C7" w:rsidP="00DA168D">
            <w:pPr>
              <w:pStyle w:val="NoSpacing"/>
            </w:pPr>
            <w:r>
              <w:t>$</w:t>
            </w:r>
            <w:r w:rsidR="00D97F55">
              <w:t>39,135</w:t>
            </w:r>
          </w:p>
        </w:tc>
        <w:tc>
          <w:tcPr>
            <w:tcW w:w="2338" w:type="dxa"/>
          </w:tcPr>
          <w:p w14:paraId="1BCF4947" w14:textId="62B050C7" w:rsidR="0090098B" w:rsidRDefault="007F67C7" w:rsidP="00DA168D">
            <w:pPr>
              <w:pStyle w:val="NoSpacing"/>
            </w:pPr>
            <w:r>
              <w:t>$</w:t>
            </w:r>
            <w:r w:rsidR="00CF43EB">
              <w:t>28,336</w:t>
            </w:r>
          </w:p>
        </w:tc>
        <w:tc>
          <w:tcPr>
            <w:tcW w:w="2338" w:type="dxa"/>
          </w:tcPr>
          <w:p w14:paraId="7A3AF6F1" w14:textId="43A7A189" w:rsidR="0090098B" w:rsidRDefault="00CF43EB" w:rsidP="00DA168D">
            <w:pPr>
              <w:pStyle w:val="NoSpacing"/>
            </w:pPr>
            <w:r>
              <w:t>20.0%</w:t>
            </w:r>
          </w:p>
        </w:tc>
      </w:tr>
      <w:tr w:rsidR="0090098B" w14:paraId="108080B6" w14:textId="77777777" w:rsidTr="0090098B">
        <w:tc>
          <w:tcPr>
            <w:tcW w:w="2337" w:type="dxa"/>
          </w:tcPr>
          <w:p w14:paraId="4D10B146" w14:textId="001988A7" w:rsidR="0090098B" w:rsidRDefault="0090098B" w:rsidP="00DA168D">
            <w:pPr>
              <w:pStyle w:val="NoSpacing"/>
            </w:pPr>
            <w:r>
              <w:t>Tennessee</w:t>
            </w:r>
          </w:p>
        </w:tc>
        <w:tc>
          <w:tcPr>
            <w:tcW w:w="2337" w:type="dxa"/>
          </w:tcPr>
          <w:p w14:paraId="146DB8E1" w14:textId="13B56F38" w:rsidR="0090098B" w:rsidRDefault="007F67C7" w:rsidP="00DA168D">
            <w:pPr>
              <w:pStyle w:val="NoSpacing"/>
            </w:pPr>
            <w:r>
              <w:t>$</w:t>
            </w:r>
            <w:r w:rsidR="00EF2471">
              <w:t>48,708</w:t>
            </w:r>
          </w:p>
        </w:tc>
        <w:tc>
          <w:tcPr>
            <w:tcW w:w="2338" w:type="dxa"/>
          </w:tcPr>
          <w:p w14:paraId="505A392C" w14:textId="10B53AB0" w:rsidR="0090098B" w:rsidRDefault="007F67C7" w:rsidP="00DA168D">
            <w:pPr>
              <w:pStyle w:val="NoSpacing"/>
            </w:pPr>
            <w:r>
              <w:t>$</w:t>
            </w:r>
            <w:r w:rsidR="00A476A5">
              <w:t>27,277</w:t>
            </w:r>
          </w:p>
        </w:tc>
        <w:tc>
          <w:tcPr>
            <w:tcW w:w="2338" w:type="dxa"/>
          </w:tcPr>
          <w:p w14:paraId="305037FC" w14:textId="1A0CAEF8" w:rsidR="0090098B" w:rsidRDefault="00A476A5" w:rsidP="00DA168D">
            <w:pPr>
              <w:pStyle w:val="NoSpacing"/>
            </w:pPr>
            <w:r>
              <w:t>15.3%</w:t>
            </w:r>
          </w:p>
        </w:tc>
      </w:tr>
      <w:tr w:rsidR="0090098B" w14:paraId="6C612638" w14:textId="77777777" w:rsidTr="0090098B">
        <w:tc>
          <w:tcPr>
            <w:tcW w:w="2337" w:type="dxa"/>
          </w:tcPr>
          <w:p w14:paraId="2CD68881" w14:textId="067A294B" w:rsidR="0090098B" w:rsidRDefault="0090098B" w:rsidP="00DA168D">
            <w:pPr>
              <w:pStyle w:val="NoSpacing"/>
            </w:pPr>
            <w:r>
              <w:t>United States</w:t>
            </w:r>
          </w:p>
        </w:tc>
        <w:tc>
          <w:tcPr>
            <w:tcW w:w="2337" w:type="dxa"/>
          </w:tcPr>
          <w:p w14:paraId="3D3F9428" w14:textId="7EE99970" w:rsidR="0090098B" w:rsidRDefault="007F67C7" w:rsidP="00DA168D">
            <w:pPr>
              <w:pStyle w:val="NoSpacing"/>
            </w:pPr>
            <w:r>
              <w:t>$</w:t>
            </w:r>
            <w:r w:rsidR="00263A4E">
              <w:t>57</w:t>
            </w:r>
            <w:r>
              <w:t>,652</w:t>
            </w:r>
          </w:p>
        </w:tc>
        <w:tc>
          <w:tcPr>
            <w:tcW w:w="2338" w:type="dxa"/>
          </w:tcPr>
          <w:p w14:paraId="4B238D76" w14:textId="2C4F7F30" w:rsidR="0090098B" w:rsidRDefault="00A476A5" w:rsidP="00DA168D">
            <w:pPr>
              <w:pStyle w:val="NoSpacing"/>
            </w:pPr>
            <w:r>
              <w:t>$31,177</w:t>
            </w:r>
          </w:p>
        </w:tc>
        <w:tc>
          <w:tcPr>
            <w:tcW w:w="2338" w:type="dxa"/>
          </w:tcPr>
          <w:p w14:paraId="2DF6B3EC" w14:textId="68D8839E" w:rsidR="0090098B" w:rsidRDefault="00A476A5" w:rsidP="00DA168D">
            <w:pPr>
              <w:pStyle w:val="NoSpacing"/>
            </w:pPr>
            <w:r>
              <w:t>11.8%</w:t>
            </w:r>
          </w:p>
        </w:tc>
      </w:tr>
    </w:tbl>
    <w:p w14:paraId="44036FF5" w14:textId="77777777" w:rsidR="00B00A2D" w:rsidRDefault="00B00A2D" w:rsidP="00DA168D">
      <w:pPr>
        <w:pStyle w:val="NoSpacing"/>
      </w:pPr>
    </w:p>
    <w:p w14:paraId="34E0D7D1" w14:textId="347797B2" w:rsidR="003509A7" w:rsidRDefault="00A476A5" w:rsidP="00DA168D">
      <w:pPr>
        <w:pStyle w:val="NoSpacing"/>
      </w:pPr>
      <w:r>
        <w:t>More</w:t>
      </w:r>
      <w:r w:rsidR="002646BA">
        <w:t xml:space="preserve"> breakdown</w:t>
      </w:r>
      <w:r w:rsidR="00D767CB">
        <w:t xml:space="preserve"> of</w:t>
      </w:r>
      <w:r>
        <w:t xml:space="preserve"> stuff about poverty</w:t>
      </w:r>
    </w:p>
    <w:sectPr w:rsidR="0035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8D"/>
    <w:rsid w:val="00037E4E"/>
    <w:rsid w:val="00040D9D"/>
    <w:rsid w:val="00040F3A"/>
    <w:rsid w:val="000439F8"/>
    <w:rsid w:val="0005171B"/>
    <w:rsid w:val="00063216"/>
    <w:rsid w:val="000654C3"/>
    <w:rsid w:val="000738F4"/>
    <w:rsid w:val="00097B45"/>
    <w:rsid w:val="000D4970"/>
    <w:rsid w:val="000D730D"/>
    <w:rsid w:val="000E11ED"/>
    <w:rsid w:val="000F1F00"/>
    <w:rsid w:val="0010460D"/>
    <w:rsid w:val="00123AC7"/>
    <w:rsid w:val="00132ADF"/>
    <w:rsid w:val="00136571"/>
    <w:rsid w:val="00151F51"/>
    <w:rsid w:val="001710A4"/>
    <w:rsid w:val="001836AB"/>
    <w:rsid w:val="0018429B"/>
    <w:rsid w:val="001A2549"/>
    <w:rsid w:val="001A789A"/>
    <w:rsid w:val="001E1B0E"/>
    <w:rsid w:val="001E798D"/>
    <w:rsid w:val="0023270A"/>
    <w:rsid w:val="00246813"/>
    <w:rsid w:val="00255626"/>
    <w:rsid w:val="0025792C"/>
    <w:rsid w:val="00263A4E"/>
    <w:rsid w:val="002646BA"/>
    <w:rsid w:val="002674ED"/>
    <w:rsid w:val="00267880"/>
    <w:rsid w:val="00276828"/>
    <w:rsid w:val="0028349E"/>
    <w:rsid w:val="002F77B1"/>
    <w:rsid w:val="003322FF"/>
    <w:rsid w:val="003509A7"/>
    <w:rsid w:val="00380E78"/>
    <w:rsid w:val="003A6EF8"/>
    <w:rsid w:val="003A78DE"/>
    <w:rsid w:val="003B0D5B"/>
    <w:rsid w:val="003B5D4C"/>
    <w:rsid w:val="003B6D59"/>
    <w:rsid w:val="003C02C1"/>
    <w:rsid w:val="003F1094"/>
    <w:rsid w:val="003F5C92"/>
    <w:rsid w:val="003F7E24"/>
    <w:rsid w:val="004142B6"/>
    <w:rsid w:val="00445A16"/>
    <w:rsid w:val="00456E1C"/>
    <w:rsid w:val="00471EA1"/>
    <w:rsid w:val="004866EE"/>
    <w:rsid w:val="004A3A5F"/>
    <w:rsid w:val="004B5637"/>
    <w:rsid w:val="004C751E"/>
    <w:rsid w:val="004D3E6B"/>
    <w:rsid w:val="004E51BF"/>
    <w:rsid w:val="004F0505"/>
    <w:rsid w:val="005005C4"/>
    <w:rsid w:val="005016C6"/>
    <w:rsid w:val="00513899"/>
    <w:rsid w:val="00517F39"/>
    <w:rsid w:val="00532AAF"/>
    <w:rsid w:val="00552CB1"/>
    <w:rsid w:val="00562826"/>
    <w:rsid w:val="005715FC"/>
    <w:rsid w:val="005769B2"/>
    <w:rsid w:val="005C41F2"/>
    <w:rsid w:val="005E0EA0"/>
    <w:rsid w:val="005F0B27"/>
    <w:rsid w:val="005F3634"/>
    <w:rsid w:val="005F6572"/>
    <w:rsid w:val="00611F33"/>
    <w:rsid w:val="00621EFC"/>
    <w:rsid w:val="00640F2C"/>
    <w:rsid w:val="00642718"/>
    <w:rsid w:val="00654347"/>
    <w:rsid w:val="00670725"/>
    <w:rsid w:val="0068026D"/>
    <w:rsid w:val="00690CBA"/>
    <w:rsid w:val="00695D50"/>
    <w:rsid w:val="006D1F5A"/>
    <w:rsid w:val="006D325C"/>
    <w:rsid w:val="006E1F5D"/>
    <w:rsid w:val="00706C76"/>
    <w:rsid w:val="00707F27"/>
    <w:rsid w:val="00752DDA"/>
    <w:rsid w:val="007720F0"/>
    <w:rsid w:val="00775395"/>
    <w:rsid w:val="007A3C1B"/>
    <w:rsid w:val="007A58F8"/>
    <w:rsid w:val="007B4FF4"/>
    <w:rsid w:val="007B5DF6"/>
    <w:rsid w:val="007F67C7"/>
    <w:rsid w:val="00836E0D"/>
    <w:rsid w:val="00884582"/>
    <w:rsid w:val="0089554F"/>
    <w:rsid w:val="008A4B02"/>
    <w:rsid w:val="008C1520"/>
    <w:rsid w:val="008E7555"/>
    <w:rsid w:val="0090098B"/>
    <w:rsid w:val="009154DA"/>
    <w:rsid w:val="009211AE"/>
    <w:rsid w:val="0092629B"/>
    <w:rsid w:val="00933FFB"/>
    <w:rsid w:val="00964607"/>
    <w:rsid w:val="00982FED"/>
    <w:rsid w:val="00993534"/>
    <w:rsid w:val="009953F0"/>
    <w:rsid w:val="009B41D5"/>
    <w:rsid w:val="009B5893"/>
    <w:rsid w:val="009B5AF8"/>
    <w:rsid w:val="009B64CF"/>
    <w:rsid w:val="009B740A"/>
    <w:rsid w:val="00A1650D"/>
    <w:rsid w:val="00A354CB"/>
    <w:rsid w:val="00A419D7"/>
    <w:rsid w:val="00A476A5"/>
    <w:rsid w:val="00A7498C"/>
    <w:rsid w:val="00A83236"/>
    <w:rsid w:val="00A842EC"/>
    <w:rsid w:val="00AA07FB"/>
    <w:rsid w:val="00AD13E1"/>
    <w:rsid w:val="00AD75FF"/>
    <w:rsid w:val="00AE51F3"/>
    <w:rsid w:val="00AF4F8E"/>
    <w:rsid w:val="00AF7978"/>
    <w:rsid w:val="00B00A2D"/>
    <w:rsid w:val="00B109DC"/>
    <w:rsid w:val="00B2258B"/>
    <w:rsid w:val="00B3397B"/>
    <w:rsid w:val="00B735F0"/>
    <w:rsid w:val="00B80E87"/>
    <w:rsid w:val="00B91862"/>
    <w:rsid w:val="00BC48AD"/>
    <w:rsid w:val="00BE0487"/>
    <w:rsid w:val="00C24688"/>
    <w:rsid w:val="00C3252A"/>
    <w:rsid w:val="00C36D46"/>
    <w:rsid w:val="00C4012D"/>
    <w:rsid w:val="00C50D6D"/>
    <w:rsid w:val="00C91006"/>
    <w:rsid w:val="00CB2B44"/>
    <w:rsid w:val="00CD0813"/>
    <w:rsid w:val="00CF43EB"/>
    <w:rsid w:val="00D30D2A"/>
    <w:rsid w:val="00D57D26"/>
    <w:rsid w:val="00D767CB"/>
    <w:rsid w:val="00D8015F"/>
    <w:rsid w:val="00D97F55"/>
    <w:rsid w:val="00DA168D"/>
    <w:rsid w:val="00DE6ED9"/>
    <w:rsid w:val="00E17DEA"/>
    <w:rsid w:val="00E24990"/>
    <w:rsid w:val="00E36BED"/>
    <w:rsid w:val="00E3756B"/>
    <w:rsid w:val="00E40736"/>
    <w:rsid w:val="00E4618B"/>
    <w:rsid w:val="00E53122"/>
    <w:rsid w:val="00EC10A0"/>
    <w:rsid w:val="00ED1506"/>
    <w:rsid w:val="00ED3290"/>
    <w:rsid w:val="00EF2471"/>
    <w:rsid w:val="00F25064"/>
    <w:rsid w:val="00F651C4"/>
    <w:rsid w:val="00F83863"/>
    <w:rsid w:val="00F94C6B"/>
    <w:rsid w:val="00FA588B"/>
    <w:rsid w:val="00FA7AF2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297A"/>
  <w15:chartTrackingRefBased/>
  <w15:docId w15:val="{68A776E6-E7DB-49A9-ABEF-55DE96DA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68D"/>
    <w:pPr>
      <w:spacing w:after="0" w:line="240" w:lineRule="auto"/>
    </w:pPr>
  </w:style>
  <w:style w:type="table" w:styleId="TableGrid">
    <w:name w:val="Table Grid"/>
    <w:basedOn w:val="TableNormal"/>
    <w:uiPriority w:val="39"/>
    <w:rsid w:val="008E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B136A2CA574429172E191453FBDCD" ma:contentTypeVersion="9" ma:contentTypeDescription="Create a new document." ma:contentTypeScope="" ma:versionID="16e30e38eb3613f7a6b4d413cda341c8">
  <xsd:schema xmlns:xsd="http://www.w3.org/2001/XMLSchema" xmlns:xs="http://www.w3.org/2001/XMLSchema" xmlns:p="http://schemas.microsoft.com/office/2006/metadata/properties" xmlns:ns3="fdd9e4e8-cea8-40f9-9174-db1ae8d3ca9a" xmlns:ns4="b5ca0850-1201-4ee9-8414-321c4517b49a" targetNamespace="http://schemas.microsoft.com/office/2006/metadata/properties" ma:root="true" ma:fieldsID="e5fe55d72fc6cbf47768f3cf30ccba75" ns3:_="" ns4:_="">
    <xsd:import namespace="fdd9e4e8-cea8-40f9-9174-db1ae8d3ca9a"/>
    <xsd:import namespace="b5ca0850-1201-4ee9-8414-321c4517b4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9e4e8-cea8-40f9-9174-db1ae8d3c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a0850-1201-4ee9-8414-321c4517b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985E2B-331F-41F0-B6C2-8AF085050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9e4e8-cea8-40f9-9174-db1ae8d3ca9a"/>
    <ds:schemaRef ds:uri="b5ca0850-1201-4ee9-8414-321c4517b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9B3E00-BC35-425E-A5E8-AF788D8731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C26275-0873-4063-86FB-F52959167F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Collins</dc:creator>
  <cp:keywords/>
  <dc:description/>
  <cp:lastModifiedBy>Paul Collins</cp:lastModifiedBy>
  <cp:revision>3</cp:revision>
  <dcterms:created xsi:type="dcterms:W3CDTF">2019-11-04T16:25:00Z</dcterms:created>
  <dcterms:modified xsi:type="dcterms:W3CDTF">2019-11-04T21:28:00Z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0x010100DD7B136A2CA574429172E191453FBDCD</vt:lpwstr>
  </property>
</Properties>
</file>