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A3754" w14:textId="77777777" w:rsidR="00861B9F" w:rsidRDefault="00861B9F" w:rsidP="00861B9F">
      <w:r>
        <w:t>Reviewers' Comments to Author:</w:t>
      </w:r>
    </w:p>
    <w:p w14:paraId="78F96A61" w14:textId="77777777" w:rsidR="00861B9F" w:rsidRDefault="00861B9F" w:rsidP="00861B9F"/>
    <w:p w14:paraId="1372F56A" w14:textId="77777777" w:rsidR="00861B9F" w:rsidRDefault="00861B9F" w:rsidP="00861B9F">
      <w:pPr>
        <w:pStyle w:val="Heading2"/>
      </w:pPr>
      <w:r>
        <w:t>Referee: 1</w:t>
      </w:r>
    </w:p>
    <w:p w14:paraId="3C3DA5D2" w14:textId="77777777" w:rsidR="00861B9F" w:rsidRDefault="00861B9F" w:rsidP="00861B9F"/>
    <w:p w14:paraId="240F399D" w14:textId="77777777" w:rsidR="00861B9F" w:rsidRDefault="00861B9F" w:rsidP="00861B9F">
      <w:r>
        <w:t>Comments to the Author</w:t>
      </w:r>
    </w:p>
    <w:p w14:paraId="77220B15" w14:textId="77777777" w:rsidR="00861B9F" w:rsidRDefault="00861B9F" w:rsidP="00861B9F">
      <w:r>
        <w:t>Summary</w:t>
      </w:r>
    </w:p>
    <w:p w14:paraId="701016AB" w14:textId="77777777" w:rsidR="00861B9F" w:rsidRDefault="00861B9F" w:rsidP="00861B9F">
      <w:r>
        <w:t>This paper  evaluates various strategies to conduct survey-to-survey imputation methods to predict poverty, which have been applied to various data-poor contexts in the developing world. The paper presents the results from extensive simulation exercises under different error distributions, biases sample, and other conditions. The paper offers a number of recommendations to practitioners.</w:t>
      </w:r>
    </w:p>
    <w:p w14:paraId="344289A5" w14:textId="77777777" w:rsidR="00861B9F" w:rsidRDefault="00861B9F" w:rsidP="00861B9F"/>
    <w:p w14:paraId="77A74B97" w14:textId="77777777" w:rsidR="00861B9F" w:rsidRDefault="00861B9F" w:rsidP="00861B9F">
      <w:r>
        <w:t>Contributions</w:t>
      </w:r>
    </w:p>
    <w:p w14:paraId="680BD916" w14:textId="77777777" w:rsidR="00861B9F" w:rsidRDefault="00861B9F" w:rsidP="00861B9F">
      <w:r>
        <w:t>While I appreciate the purpose of the paper, the contribution of the paper is limited at best. There is no theoretical contribution and the practical relevance of the paper is debatable, which I elaborate in the next point.</w:t>
      </w:r>
    </w:p>
    <w:p w14:paraId="29941D4D" w14:textId="77777777" w:rsidR="00861B9F" w:rsidRDefault="00861B9F" w:rsidP="00861B9F"/>
    <w:p w14:paraId="3234D390" w14:textId="77777777" w:rsidR="00861B9F" w:rsidRDefault="00861B9F" w:rsidP="00861B9F">
      <w:r>
        <w:t>Essential Points</w:t>
      </w:r>
    </w:p>
    <w:p w14:paraId="2FA504D2" w14:textId="77777777" w:rsidR="00861B9F" w:rsidRDefault="00861B9F" w:rsidP="00861B9F">
      <w:r>
        <w:t>My biggest concern is the relevance of the DGP chosen. It is unclear to me how the authors came up with eq (6). As the choice of the DGP would affect the results, there should be some discussion on the justification of this choice.</w:t>
      </w:r>
    </w:p>
    <w:p w14:paraId="05FA831E" w14:textId="02A69708" w:rsidR="0019495A" w:rsidRPr="0019495A" w:rsidRDefault="0019495A" w:rsidP="00861B9F">
      <w:pPr>
        <w:rPr>
          <w:color w:val="45B0E1" w:themeColor="accent1" w:themeTint="99"/>
        </w:rPr>
      </w:pPr>
      <w:r>
        <w:rPr>
          <w:color w:val="45B0E1" w:themeColor="accent1" w:themeTint="99"/>
        </w:rPr>
        <w:t>Thanks. In line with other comments we’ve modified the DGP so we can add results from a different DGP. We’ve also added some results based on real world data. We’ve taken the Mexican intercensus survey as detailed in Corral et al. (2021) and applied different errors (normal, non normal, heteroskedastic) to the linear portion of the model to further emphasize some of the results. We understand that these additions are not exhaustive, and will clarify as such in the document, but they do lend further credence to the findings.</w:t>
      </w:r>
    </w:p>
    <w:p w14:paraId="68B6A708" w14:textId="77777777" w:rsidR="00861B9F" w:rsidRDefault="00861B9F" w:rsidP="00861B9F"/>
    <w:p w14:paraId="4232C755" w14:textId="77777777" w:rsidR="00861B9F" w:rsidRDefault="00861B9F" w:rsidP="00861B9F">
      <w:r>
        <w:t>Even if the DGP is justifiable, it is also unclear to what extent the performance ranking based on this particular DGP is applicable to a wide range of contexts where survey-to-survey imputation is used. While the conclusions the authors draw in this paper are not unreasonable, the logical connection between the simulation results and the conclusions in Section 5 is weak.</w:t>
      </w:r>
    </w:p>
    <w:p w14:paraId="4E373AA5" w14:textId="1C74A963" w:rsidR="0019495A" w:rsidRPr="0019495A" w:rsidRDefault="0019495A" w:rsidP="00861B9F">
      <w:pPr>
        <w:rPr>
          <w:color w:val="45B0E1" w:themeColor="accent1" w:themeTint="99"/>
        </w:rPr>
      </w:pPr>
      <w:r w:rsidRPr="0019495A">
        <w:rPr>
          <w:color w:val="45B0E1" w:themeColor="accent1" w:themeTint="99"/>
        </w:rPr>
        <w:t>Thank you, we will adjust the conclusions.</w:t>
      </w:r>
    </w:p>
    <w:p w14:paraId="3115D129" w14:textId="77777777" w:rsidR="00861B9F" w:rsidRDefault="00861B9F" w:rsidP="00861B9F"/>
    <w:p w14:paraId="2D05DE19" w14:textId="77777777" w:rsidR="00861B9F" w:rsidRDefault="00861B9F" w:rsidP="00861B9F">
      <w:r>
        <w:t xml:space="preserve">Relatedly, it appears to me all of the seven recommendations in Section 5 are generic and can be derived without the extensive simulations conducted in the paper. The paper would be much more </w:t>
      </w:r>
      <w:r>
        <w:lastRenderedPageBreak/>
        <w:t>valuable if the simulations are done in a more realistic context and identify a set of particularly important pitfalls.</w:t>
      </w:r>
    </w:p>
    <w:p w14:paraId="036DD53F" w14:textId="005540BC" w:rsidR="0019495A" w:rsidRPr="0019495A" w:rsidRDefault="0019495A" w:rsidP="00861B9F">
      <w:pPr>
        <w:rPr>
          <w:color w:val="45B0E1" w:themeColor="accent1" w:themeTint="99"/>
        </w:rPr>
      </w:pPr>
      <w:r>
        <w:rPr>
          <w:color w:val="45B0E1" w:themeColor="accent1" w:themeTint="99"/>
        </w:rPr>
        <w:t>Thank you. We have added real world data simulations to the paper. Despite the simplicity of the simulations illustrated, we feel that illustrating how under the model’s underlying assumptions these predictions may easily fail raises considerable questions on the method’s validity as applied in some scenarios. When applied to real world data and bringing in an additional component of changes across time, there are many things that are changing and could lead to the identified biases cancelling out or even compounding. Given the fact that these methods are applied when the true point estimates are unavailable, it is impossible for people to know if the biases have cancelled out or compounded. Thus, we feel it is important for practitioners to understand and recognize the potential failings of the method.</w:t>
      </w:r>
    </w:p>
    <w:p w14:paraId="55263481" w14:textId="77777777" w:rsidR="00861B9F" w:rsidRDefault="00861B9F" w:rsidP="00861B9F"/>
    <w:p w14:paraId="35B92762" w14:textId="77777777" w:rsidR="00861B9F" w:rsidRDefault="00861B9F" w:rsidP="00861B9F">
      <w:r>
        <w:t xml:space="preserve">I also have several other reservations. First, this paper almost exclusively focus on bias. However, I would argue that MSE is at least as important as bias. An unbiased but very noisy estimator is arguably not as good as precise but slightly biased estimator.  </w:t>
      </w:r>
    </w:p>
    <w:p w14:paraId="7DC29B4C" w14:textId="15245406" w:rsidR="0019495A" w:rsidRPr="0019495A" w:rsidRDefault="0019495A" w:rsidP="00861B9F">
      <w:pPr>
        <w:rPr>
          <w:color w:val="45B0E1" w:themeColor="accent1" w:themeTint="99"/>
        </w:rPr>
      </w:pPr>
      <w:r>
        <w:rPr>
          <w:color w:val="45B0E1" w:themeColor="accent1" w:themeTint="99"/>
        </w:rPr>
        <w:t xml:space="preserve">Thank you. </w:t>
      </w:r>
      <w:r w:rsidRPr="0019495A">
        <w:rPr>
          <w:color w:val="45B0E1" w:themeColor="accent1" w:themeTint="99"/>
        </w:rPr>
        <w:t xml:space="preserve">We have added </w:t>
      </w:r>
      <w:r>
        <w:rPr>
          <w:color w:val="45B0E1" w:themeColor="accent1" w:themeTint="99"/>
        </w:rPr>
        <w:t xml:space="preserve">empirical </w:t>
      </w:r>
      <w:r w:rsidRPr="0019495A">
        <w:rPr>
          <w:color w:val="45B0E1" w:themeColor="accent1" w:themeTint="99"/>
        </w:rPr>
        <w:t>MSE</w:t>
      </w:r>
      <w:r>
        <w:rPr>
          <w:color w:val="45B0E1" w:themeColor="accent1" w:themeTint="99"/>
        </w:rPr>
        <w:t xml:space="preserve"> values</w:t>
      </w:r>
      <w:r w:rsidRPr="0019495A">
        <w:rPr>
          <w:color w:val="45B0E1" w:themeColor="accent1" w:themeTint="99"/>
        </w:rPr>
        <w:t>.</w:t>
      </w:r>
    </w:p>
    <w:p w14:paraId="1B28B15F" w14:textId="77777777" w:rsidR="00861B9F" w:rsidRDefault="00861B9F" w:rsidP="00861B9F"/>
    <w:p w14:paraId="03294A07" w14:textId="77777777" w:rsidR="00861B9F" w:rsidRDefault="00861B9F" w:rsidP="00861B9F">
      <w:r>
        <w:t>Second, all the mathematical notations should be clearly defined and used coherently. For example, \bar{x} is not defined (PDF p.12/45, around l.12). I don’t know if this is the same as \bar{X} (around l.56 of the same page), which is also not adequately defined.</w:t>
      </w:r>
    </w:p>
    <w:p w14:paraId="0A149631" w14:textId="758DBC10" w:rsidR="0019495A" w:rsidRPr="0019495A" w:rsidRDefault="0019495A" w:rsidP="00861B9F">
      <w:pPr>
        <w:rPr>
          <w:color w:val="45B0E1" w:themeColor="accent1" w:themeTint="99"/>
        </w:rPr>
      </w:pPr>
      <w:r w:rsidRPr="0019495A">
        <w:rPr>
          <w:color w:val="45B0E1" w:themeColor="accent1" w:themeTint="99"/>
        </w:rPr>
        <w:t xml:space="preserve">Thank you, we </w:t>
      </w:r>
      <w:r>
        <w:rPr>
          <w:color w:val="45B0E1" w:themeColor="accent1" w:themeTint="99"/>
        </w:rPr>
        <w:t>have fixed these</w:t>
      </w:r>
      <w:r w:rsidRPr="0019495A">
        <w:rPr>
          <w:color w:val="45B0E1" w:themeColor="accent1" w:themeTint="99"/>
        </w:rPr>
        <w:t xml:space="preserve"> these.</w:t>
      </w:r>
    </w:p>
    <w:p w14:paraId="6209B114" w14:textId="77777777" w:rsidR="00861B9F" w:rsidRDefault="00861B9F" w:rsidP="00861B9F"/>
    <w:p w14:paraId="28DB317F" w14:textId="77777777" w:rsidR="00861B9F" w:rsidRDefault="00861B9F" w:rsidP="00861B9F">
      <w:r>
        <w:t>Also, the interpretation of eq.(5) does not seem correct. How could the population parameter be determined by parameter estimates? Also, \bar{X}_{target} looks like the sample mean but this ought to be the population mean if the LHS is supposed to be the population parameter.</w:t>
      </w:r>
    </w:p>
    <w:p w14:paraId="2083A27B" w14:textId="2DE59166" w:rsidR="008A110A" w:rsidRPr="008A110A" w:rsidRDefault="008A110A" w:rsidP="00861B9F">
      <w:pPr>
        <w:rPr>
          <w:color w:val="45B0E1" w:themeColor="accent1" w:themeTint="99"/>
        </w:rPr>
      </w:pPr>
      <w:r w:rsidRPr="008A110A">
        <w:rPr>
          <w:color w:val="45B0E1" w:themeColor="accent1" w:themeTint="99"/>
        </w:rPr>
        <w:t>We have removed this section.</w:t>
      </w:r>
      <w:r>
        <w:rPr>
          <w:color w:val="45B0E1" w:themeColor="accent1" w:themeTint="99"/>
        </w:rPr>
        <w:t xml:space="preserve"> We felt we can make our point without it.</w:t>
      </w:r>
    </w:p>
    <w:p w14:paraId="7C06AED3" w14:textId="77777777" w:rsidR="00861B9F" w:rsidRDefault="00861B9F" w:rsidP="00861B9F"/>
    <w:p w14:paraId="276DBEC1" w14:textId="77777777" w:rsidR="00861B9F" w:rsidRDefault="00861B9F" w:rsidP="00861B9F">
      <w:r>
        <w:t>Third, the sampling is quite problematic to me. If I understand correctly, both the source and target are 20 percent simple random sample of the data. This means that 20 percent of the source survey appears in the target survey and vice versa. This is highly unrealistic. In a practical setting, there is no overlap.</w:t>
      </w:r>
    </w:p>
    <w:p w14:paraId="4D80E9EE" w14:textId="043026C8" w:rsidR="00361350" w:rsidRPr="00361350" w:rsidRDefault="00361350" w:rsidP="00861B9F">
      <w:pPr>
        <w:rPr>
          <w:color w:val="45B0E1" w:themeColor="accent1" w:themeTint="99"/>
        </w:rPr>
      </w:pPr>
      <w:r>
        <w:rPr>
          <w:color w:val="45B0E1" w:themeColor="accent1" w:themeTint="99"/>
        </w:rPr>
        <w:t xml:space="preserve">Thank you. We agree. We have added simulations with real world data that better illustrate the problems. </w:t>
      </w:r>
    </w:p>
    <w:p w14:paraId="383BAD62" w14:textId="77777777" w:rsidR="00861B9F" w:rsidRDefault="00861B9F" w:rsidP="00861B9F"/>
    <w:p w14:paraId="64775613" w14:textId="77777777" w:rsidR="00861B9F" w:rsidRDefault="00861B9F" w:rsidP="00861B9F">
      <w:r>
        <w:t>Finally, a very minor point.  + is repeated in Eq (10) before \eta_a.</w:t>
      </w:r>
    </w:p>
    <w:p w14:paraId="512E1010" w14:textId="77777777" w:rsidR="00861B9F" w:rsidRDefault="00861B9F" w:rsidP="00861B9F"/>
    <w:p w14:paraId="6F2B04A2" w14:textId="77777777" w:rsidR="00861B9F" w:rsidRDefault="00861B9F" w:rsidP="00861B9F">
      <w:r>
        <w:t>Suggestions</w:t>
      </w:r>
    </w:p>
    <w:p w14:paraId="605DBE59" w14:textId="77777777" w:rsidR="00861B9F" w:rsidRDefault="00861B9F" w:rsidP="00861B9F">
      <w:r>
        <w:lastRenderedPageBreak/>
        <w:t>I suggest that the authors choose a realistic DGP in a particular country that ideally has at least two rounds of survey. Pick a parsimonious consumption model with five or so covariates (as with the current model). Ideally, these covariates are often chosen in consumption models elsewhere and mix discrete and continuous variables. Then, calibrate the DGP to mimic the empirical distribution of both covariates and outcomes. By doing this for two rounds, it would be possible to shed some light on some of the recommendations in the conclusion. Population and sample sizes should be calibrated at realistic levels (in the current setup, the sample size is ok, but the population size is way too small). In this way, the authors can still fully control data generation, but the results have at least some resemblance to the country that they chose.</w:t>
      </w:r>
    </w:p>
    <w:p w14:paraId="35AECAC4" w14:textId="76411271" w:rsidR="00361350" w:rsidRDefault="00361350" w:rsidP="00861B9F">
      <w:pPr>
        <w:rPr>
          <w:color w:val="45B0E1" w:themeColor="accent1" w:themeTint="99"/>
        </w:rPr>
      </w:pPr>
      <w:r w:rsidRPr="00361350">
        <w:rPr>
          <w:color w:val="45B0E1" w:themeColor="accent1" w:themeTint="99"/>
        </w:rPr>
        <w:t>Thank you, we have now tweaked the recommendation. We added simulations with a different DGP, but more importantly added simulations with real world data</w:t>
      </w:r>
      <w:r>
        <w:rPr>
          <w:color w:val="45B0E1" w:themeColor="accent1" w:themeTint="99"/>
        </w:rPr>
        <w:t>. We’ve used Mexican data as presented in Corral et al (2021) and Corral, Henderson and Segovia (2025) to run our simulations.</w:t>
      </w:r>
      <w:r w:rsidR="00E21440">
        <w:rPr>
          <w:color w:val="45B0E1" w:themeColor="accent1" w:themeTint="99"/>
        </w:rPr>
        <w:t xml:space="preserve"> The advantage of this is that the intracensal survey is treated as a census of roughly 3.9 million households, from which we draw over 500 samples. One of these samples is randomly chosen to fit the model. The model is then fit to the remaining 500 samples to obtain bias and noise estimates.</w:t>
      </w:r>
    </w:p>
    <w:p w14:paraId="075C5425" w14:textId="5026F0B5" w:rsidR="00861B9F" w:rsidRDefault="00E21440" w:rsidP="00861B9F">
      <w:r>
        <w:rPr>
          <w:color w:val="45B0E1" w:themeColor="accent1" w:themeTint="99"/>
        </w:rPr>
        <w:t>Regarding the reviewer’s recommendation for testing with two rounds, we (the same author team) have a separate paper which delves more into the issues of imputation over time using Peruvian data.</w:t>
      </w:r>
    </w:p>
    <w:p w14:paraId="721AB990" w14:textId="3915630F" w:rsidR="00361350" w:rsidRDefault="00861B9F" w:rsidP="00861B9F">
      <w:r>
        <w:t>In the current simulation, all the covariates are independent of each other. This would be a natural starting point, but I would encourage the authors to consider allowing for some correlations between covariates. If two variables are highly correlated, omission of one of the two may not be as serious as the omission of some other covariates.</w:t>
      </w:r>
    </w:p>
    <w:p w14:paraId="277649AF" w14:textId="2C522C7C" w:rsidR="00361350" w:rsidRPr="00361350" w:rsidRDefault="00361350" w:rsidP="00861B9F">
      <w:pPr>
        <w:rPr>
          <w:color w:val="45B0E1" w:themeColor="accent1" w:themeTint="99"/>
        </w:rPr>
      </w:pPr>
      <w:r w:rsidRPr="00361350">
        <w:rPr>
          <w:color w:val="45B0E1" w:themeColor="accent1" w:themeTint="99"/>
        </w:rPr>
        <w:t>Thanks, in the current simulations we have 2 covariates that are correlated. In the Mexican data, correlations are also present.</w:t>
      </w:r>
    </w:p>
    <w:p w14:paraId="461305B0" w14:textId="77777777" w:rsidR="00861B9F" w:rsidRDefault="00861B9F" w:rsidP="00861B9F"/>
    <w:p w14:paraId="51AEF125" w14:textId="62CDFBA4" w:rsidR="002008E5" w:rsidRDefault="00861B9F" w:rsidP="00861B9F">
      <w:r>
        <w:t xml:space="preserve">Finally, to highlight the contribution of the paper, the recommendations in </w:t>
      </w:r>
      <w:bookmarkStart w:id="0" w:name="_Hlk217376629"/>
      <w:r>
        <w:t>Section 5 should clarify which points were not known previously and how the authors’ simulations bring about such recommendations.</w:t>
      </w:r>
      <w:bookmarkEnd w:id="0"/>
    </w:p>
    <w:p w14:paraId="3C3E7E19" w14:textId="77777777" w:rsidR="00861B9F" w:rsidRDefault="00861B9F" w:rsidP="00861B9F"/>
    <w:p w14:paraId="3F777FA0" w14:textId="77777777" w:rsidR="00861B9F" w:rsidRDefault="00861B9F" w:rsidP="00861B9F">
      <w:pPr>
        <w:pStyle w:val="Heading2"/>
        <w:pageBreakBefore/>
      </w:pPr>
      <w:r>
        <w:lastRenderedPageBreak/>
        <w:t>Referee: 2</w:t>
      </w:r>
    </w:p>
    <w:p w14:paraId="6667EFEB" w14:textId="77777777" w:rsidR="00861B9F" w:rsidRDefault="00861B9F" w:rsidP="00861B9F"/>
    <w:p w14:paraId="3C6BFF8F" w14:textId="77777777" w:rsidR="00861B9F" w:rsidRDefault="00861B9F" w:rsidP="00861B9F">
      <w:r>
        <w:t>Comments to the Author</w:t>
      </w:r>
    </w:p>
    <w:p w14:paraId="1637EE17" w14:textId="77777777" w:rsidR="00861B9F" w:rsidRDefault="00861B9F" w:rsidP="00861B9F">
      <w:r>
        <w:t>Comments for Stress-Testing Survey-to-Survey Imputation: Understanding When Poverty Predictions can fail.</w:t>
      </w:r>
    </w:p>
    <w:p w14:paraId="7AB5935C" w14:textId="77777777" w:rsidR="00861B9F" w:rsidRDefault="00861B9F" w:rsidP="00861B9F"/>
    <w:p w14:paraId="22E33AAB" w14:textId="77777777" w:rsidR="00861B9F" w:rsidRDefault="00861B9F" w:rsidP="00861B9F">
      <w:r>
        <w:t>The paper “Stress-Testing Survey-to-Survey Imputation: Understanding When Poverty Predictions Can Fail” (Corral et al., 2025) evaluates the reliability of Survey-to-Survey (S2S) imputation, a method used to estimate poverty when recent surveys lack comprehensive consumption data. Using large-scale simulations, the authors systematically test how violations of core assumptions—such as parameter stability, distributional normality, variable comparability, and survey-design consistency—affect poverty and inequality estimates. In addition, the paper examines the performance of alternative methodologies for estimating noise, handling biased samples, and addressing non-normal distributions and heteroskedasticity.</w:t>
      </w:r>
    </w:p>
    <w:p w14:paraId="155A27B9" w14:textId="77777777" w:rsidR="00861B9F" w:rsidRDefault="00861B9F" w:rsidP="00861B9F">
      <w:r>
        <w:t>Although the idea that S2S imputation requires model stability to produce reliable poverty estimates is not new (see Stifel &amp; Christiaensen, 2007; Newhouse et al., 2014), this study makes a significant contribution by quantifying the magnitude of bias that even small changes in the variance or constant term can introduce. It further compares commonly used estimation strategies—such as multiple imputation (MI) and the parametric bootstrap—and demonstrates how methodological choices can affect bias and uncertainty in poverty estimates. The paper also highlights the clear limitations and risks associated with Predictive Mean Matching (PMM), which has been widely applied in practice. Together, these insights provide valuable guidance for practitioners in selecting and interpreting S2S methodologies for poverty measurement.</w:t>
      </w:r>
    </w:p>
    <w:p w14:paraId="65A7B313" w14:textId="621ADEC8" w:rsidR="00861B9F" w:rsidRDefault="00861B9F" w:rsidP="00861B9F">
      <w:r w:rsidRPr="00861B9F">
        <w:rPr>
          <w:color w:val="45B0E1" w:themeColor="accent1" w:themeTint="99"/>
        </w:rPr>
        <w:t>Thanks!</w:t>
      </w:r>
    </w:p>
    <w:p w14:paraId="3EB293CA" w14:textId="77777777" w:rsidR="00861B9F" w:rsidRDefault="00861B9F" w:rsidP="00861B9F">
      <w:r>
        <w:t>There are a few comments, clarifications, and suggestions to improve the quality of this paper further.</w:t>
      </w:r>
    </w:p>
    <w:p w14:paraId="63DC83F9" w14:textId="77777777" w:rsidR="00861B9F" w:rsidRDefault="00861B9F" w:rsidP="00861B9F"/>
    <w:p w14:paraId="62589BE8" w14:textId="3BE17E6A" w:rsidR="00861B9F" w:rsidRDefault="00861B9F" w:rsidP="00861B9F">
      <w:r>
        <w:t>1. One of the key strengths of this paper lies in its effort to quantify the impact of methodological choices and model instability through a carefully designed simulation framework. However, it remains unclear to what extent these findings can be generalized. How frequently do the core assumptions of the S2S framework fail in practice, leading to biased poverty estimates? If such violations are rare, the practical relevance of these results may be limited.</w:t>
      </w:r>
    </w:p>
    <w:p w14:paraId="43AC7FE4" w14:textId="390EE8B9" w:rsidR="00435F44" w:rsidRPr="00435F44" w:rsidRDefault="00435F44" w:rsidP="00861B9F">
      <w:pPr>
        <w:rPr>
          <w:color w:val="45B0E1" w:themeColor="accent1" w:themeTint="99"/>
        </w:rPr>
      </w:pPr>
      <w:r>
        <w:rPr>
          <w:color w:val="45B0E1" w:themeColor="accent1" w:themeTint="99"/>
        </w:rPr>
        <w:t>It is hard to determine how common it is. However, any type of imputation with a shock in between is bound to have problems in prediction. Households will accumulate assets during good times but will lag in selling these. During good times they may also accumulate education, but during bad times this will not be lost. Employment may turn during a shock, but it also does so with a lag. As also noted in the paper, many covariates may suffer from omitted variable bias, so during a shock it is likely that many models will fail.</w:t>
      </w:r>
    </w:p>
    <w:p w14:paraId="7C61FCA1" w14:textId="77777777" w:rsidR="00861B9F" w:rsidRDefault="00861B9F" w:rsidP="00861B9F">
      <w:r>
        <w:t xml:space="preserve">For example, the simulation in Section 4.5.3—where the inclusion of egg consumption introduces bias in poverty estimates—raises the question of how common such scenarios are. In this setup, a </w:t>
      </w:r>
      <w:r>
        <w:lastRenderedPageBreak/>
        <w:t>positive shock improves household welfare (mean log expenditure, ln y, rises from 3.98 to 4.03 as the mean shock declines from 0.4 to 0.2), yet the share of households consuming eggs falls from 0.30 to 0.28. Consequently, the model predicts a higher poverty rate despite an actual improvement in welfare.</w:t>
      </w:r>
    </w:p>
    <w:p w14:paraId="56259529" w14:textId="77777777" w:rsidR="00861B9F" w:rsidRDefault="00861B9F" w:rsidP="00861B9F">
      <w:r>
        <w:t>In this example, eggs behave as an inferior good: as total expenditure increases, consumption declines. Yet most goods are normal goods—their consumption rises with income. Since inferior goods are relatively uncommon, the case demonstrated in Section 4.5.3 might not occur so frequently. Also, even if it occurs, if they compare trends of other items with the egg, practitioners could likely recognize that this item is a special case and avoid using it to proxy an unobservable and omitted shock variable.</w:t>
      </w:r>
    </w:p>
    <w:p w14:paraId="11841C84" w14:textId="2E77CFC2" w:rsidR="008B6B14" w:rsidRDefault="008B6B14" w:rsidP="00861B9F">
      <w:pPr>
        <w:rPr>
          <w:color w:val="45B0E1" w:themeColor="accent1" w:themeTint="99"/>
        </w:rPr>
      </w:pPr>
      <w:r w:rsidRPr="008B6B14">
        <w:rPr>
          <w:color w:val="45B0E1" w:themeColor="accent1" w:themeTint="99"/>
        </w:rPr>
        <w:t>We are not recommending eggs to be a proxy for the omitted shock</w:t>
      </w:r>
      <w:r w:rsidR="00A0341F">
        <w:rPr>
          <w:color w:val="45B0E1" w:themeColor="accent1" w:themeTint="99"/>
        </w:rPr>
        <w:t>, this would be an incorrect recommendation</w:t>
      </w:r>
      <w:r w:rsidRPr="008B6B14">
        <w:rPr>
          <w:color w:val="45B0E1" w:themeColor="accent1" w:themeTint="99"/>
        </w:rPr>
        <w:t xml:space="preserve">. </w:t>
      </w:r>
      <w:r>
        <w:rPr>
          <w:color w:val="45B0E1" w:themeColor="accent1" w:themeTint="99"/>
        </w:rPr>
        <w:t>We are indicating how eggs is affected by the omission of conflict. This is similar to Wooldridge’s (2010 p</w:t>
      </w:r>
      <w:r w:rsidRPr="008B6B14">
        <w:rPr>
          <w:color w:val="FF0000"/>
        </w:rPr>
        <w:t>XX</w:t>
      </w:r>
      <w:r>
        <w:rPr>
          <w:color w:val="45B0E1" w:themeColor="accent1" w:themeTint="99"/>
        </w:rPr>
        <w:t>) example on how omitting ability from the regression impacts the coefficient for education. In our example, eggs is in place of education and conflict is akin to ability.</w:t>
      </w:r>
      <w:r w:rsidR="00FE699D">
        <w:rPr>
          <w:color w:val="45B0E1" w:themeColor="accent1" w:themeTint="99"/>
        </w:rPr>
        <w:t xml:space="preserve"> A valid proxy for conflict would be battle deaths in a given proximity to the household.</w:t>
      </w:r>
    </w:p>
    <w:p w14:paraId="7D8DFDA9" w14:textId="22D8E9D3" w:rsidR="008B6B14" w:rsidRDefault="008B6B14" w:rsidP="00861B9F">
      <w:pPr>
        <w:rPr>
          <w:color w:val="45B0E1" w:themeColor="accent1" w:themeTint="99"/>
        </w:rPr>
      </w:pPr>
      <w:r>
        <w:rPr>
          <w:color w:val="45B0E1" w:themeColor="accent1" w:themeTint="99"/>
        </w:rPr>
        <w:t xml:space="preserve">We would </w:t>
      </w:r>
      <w:r w:rsidR="00FE699D">
        <w:rPr>
          <w:color w:val="45B0E1" w:themeColor="accent1" w:themeTint="99"/>
        </w:rPr>
        <w:t>not recommend</w:t>
      </w:r>
      <w:r>
        <w:rPr>
          <w:color w:val="45B0E1" w:themeColor="accent1" w:themeTint="99"/>
        </w:rPr>
        <w:t xml:space="preserve"> to use a food consumption dummy as a proxy variable as it </w:t>
      </w:r>
      <w:r w:rsidRPr="008B6B14">
        <w:rPr>
          <w:color w:val="45B0E1" w:themeColor="accent1" w:themeTint="99"/>
        </w:rPr>
        <w:t>violate</w:t>
      </w:r>
      <w:r>
        <w:rPr>
          <w:color w:val="45B0E1" w:themeColor="accent1" w:themeTint="99"/>
        </w:rPr>
        <w:t>s</w:t>
      </w:r>
      <w:r w:rsidRPr="008B6B14">
        <w:rPr>
          <w:color w:val="45B0E1" w:themeColor="accent1" w:themeTint="99"/>
        </w:rPr>
        <w:t xml:space="preserve"> the conditions required for a proxy variable to be valid. </w:t>
      </w:r>
      <w:r w:rsidR="00A0341F">
        <w:rPr>
          <w:color w:val="45B0E1" w:themeColor="accent1" w:themeTint="99"/>
        </w:rPr>
        <w:t>Total</w:t>
      </w:r>
      <w:r>
        <w:rPr>
          <w:color w:val="45B0E1" w:themeColor="accent1" w:themeTint="99"/>
        </w:rPr>
        <w:t xml:space="preserve"> household expenditure </w:t>
      </w:r>
      <w:r w:rsidRPr="008B6B14">
        <w:rPr>
          <w:color w:val="45B0E1" w:themeColor="accent1" w:themeTint="99"/>
        </w:rPr>
        <w:t xml:space="preserve">is a function of the goods purchased by the household, in which case the </w:t>
      </w:r>
      <w:r>
        <w:rPr>
          <w:color w:val="45B0E1" w:themeColor="accent1" w:themeTint="99"/>
        </w:rPr>
        <w:t xml:space="preserve">precondition of the proxy being only relevant to the model </w:t>
      </w:r>
      <w:r w:rsidRPr="008B6B14">
        <w:rPr>
          <w:b/>
          <w:bCs/>
          <w:color w:val="45B0E1" w:themeColor="accent1" w:themeTint="99"/>
        </w:rPr>
        <w:t>only</w:t>
      </w:r>
      <w:r>
        <w:rPr>
          <w:color w:val="45B0E1" w:themeColor="accent1" w:themeTint="99"/>
        </w:rPr>
        <w:t xml:space="preserve"> through its relationship to the omitted variable will not hold</w:t>
      </w:r>
      <w:r w:rsidR="00FE699D">
        <w:rPr>
          <w:color w:val="45B0E1" w:themeColor="accent1" w:themeTint="99"/>
        </w:rPr>
        <w:t xml:space="preserve"> (see Wooldridge 2010)</w:t>
      </w:r>
      <w:r>
        <w:rPr>
          <w:color w:val="45B0E1" w:themeColor="accent1" w:themeTint="99"/>
        </w:rPr>
        <w:t xml:space="preserve">. </w:t>
      </w:r>
      <w:r w:rsidR="00A0341F">
        <w:rPr>
          <w:color w:val="45B0E1" w:themeColor="accent1" w:themeTint="99"/>
        </w:rPr>
        <w:t>W</w:t>
      </w:r>
      <w:r>
        <w:rPr>
          <w:color w:val="45B0E1" w:themeColor="accent1" w:themeTint="99"/>
        </w:rPr>
        <w:t>e will clarify this in the text.</w:t>
      </w:r>
    </w:p>
    <w:p w14:paraId="591FAC06" w14:textId="5884A524" w:rsidR="0015438E" w:rsidRPr="0015438E" w:rsidRDefault="008B6B14" w:rsidP="00A0341F">
      <w:pPr>
        <w:rPr>
          <w:color w:val="45B0E1" w:themeColor="accent1" w:themeTint="99"/>
        </w:rPr>
      </w:pPr>
      <w:r>
        <w:rPr>
          <w:color w:val="45B0E1" w:themeColor="accent1" w:themeTint="99"/>
        </w:rPr>
        <w:t>Moreover, we are puzzled by the reviewer</w:t>
      </w:r>
      <w:r w:rsidR="00A0341F">
        <w:rPr>
          <w:color w:val="45B0E1" w:themeColor="accent1" w:themeTint="99"/>
        </w:rPr>
        <w:t>’s take on eggs being an inferior good. For starters, the relationship between egg purchases and expenditure in the model, as captured by the coefficient of 0.4, is clearly positive. Thus, i</w:t>
      </w:r>
      <w:r w:rsidR="0015438E" w:rsidRPr="0015438E">
        <w:rPr>
          <w:color w:val="45B0E1" w:themeColor="accent1" w:themeTint="99"/>
        </w:rPr>
        <w:t>n the data-generating process, egg purchases and total expenditure remain positively correlated, consistent with a normal good. The key mechanism instead operates through the correlation between the omitted shock (e.g., conflict) and the probability of purchasing eggs. Conflict is negatively correlated with the decision to buy eggs</w:t>
      </w:r>
      <w:r w:rsidR="00FE699D">
        <w:rPr>
          <w:color w:val="45B0E1" w:themeColor="accent1" w:themeTint="99"/>
        </w:rPr>
        <w:t>, as can be expected</w:t>
      </w:r>
      <w:r w:rsidR="0015438E" w:rsidRPr="0015438E">
        <w:rPr>
          <w:color w:val="45B0E1" w:themeColor="accent1" w:themeTint="99"/>
        </w:rPr>
        <w:t xml:space="preserve">, but the </w:t>
      </w:r>
      <w:r w:rsidR="0015438E">
        <w:rPr>
          <w:color w:val="45B0E1" w:themeColor="accent1" w:themeTint="99"/>
        </w:rPr>
        <w:t xml:space="preserve">decision </w:t>
      </w:r>
      <w:r w:rsidR="0015438E" w:rsidRPr="0015438E">
        <w:rPr>
          <w:color w:val="45B0E1" w:themeColor="accent1" w:themeTint="99"/>
        </w:rPr>
        <w:t xml:space="preserve">itself is also influenced by multiple external factors captured in x. When these factors change over time—even as average welfare rises—the share of households purchasing eggs may move in either direction independently of welfare trends. This is consistent with </w:t>
      </w:r>
      <w:r w:rsidR="00FE699D">
        <w:rPr>
          <w:color w:val="45B0E1" w:themeColor="accent1" w:themeTint="99"/>
        </w:rPr>
        <w:t xml:space="preserve">broader phenomen like </w:t>
      </w:r>
      <w:r w:rsidR="0015438E" w:rsidRPr="0015438E">
        <w:rPr>
          <w:color w:val="45B0E1" w:themeColor="accent1" w:themeTint="99"/>
        </w:rPr>
        <w:t>supply-side disruptions (avian influenza outbreaks, changes in feed prices), market access constraints, local mobility restrictions, or short-term availability shocks can all reduce observed consumption of specific items despite rising incomes.</w:t>
      </w:r>
    </w:p>
    <w:p w14:paraId="7AD83CA7" w14:textId="17BA5BA3" w:rsidR="00861B9F" w:rsidRPr="0015438E" w:rsidRDefault="0015438E" w:rsidP="0015438E">
      <w:pPr>
        <w:rPr>
          <w:color w:val="45B0E1" w:themeColor="accent1" w:themeTint="99"/>
        </w:rPr>
      </w:pPr>
      <w:r w:rsidRPr="0015438E">
        <w:rPr>
          <w:color w:val="45B0E1" w:themeColor="accent1" w:themeTint="99"/>
        </w:rPr>
        <w:t>The purpose of the example is therefore not to illustrate an inferior good but to demonstrate how a variable</w:t>
      </w:r>
      <w:r w:rsidR="00E63F1E">
        <w:rPr>
          <w:color w:val="45B0E1" w:themeColor="accent1" w:themeTint="99"/>
        </w:rPr>
        <w:t xml:space="preserve"> that is often recommended and included in these models because it can help capture the shock may fail. </w:t>
      </w:r>
      <w:r w:rsidRPr="0015438E">
        <w:rPr>
          <w:color w:val="45B0E1" w:themeColor="accent1" w:themeTint="99"/>
        </w:rPr>
        <w:t xml:space="preserve">Practitioners cannot reliably detect such </w:t>
      </w:r>
      <w:r w:rsidR="00E63F1E">
        <w:rPr>
          <w:color w:val="45B0E1" w:themeColor="accent1" w:themeTint="99"/>
        </w:rPr>
        <w:t>a problem</w:t>
      </w:r>
      <w:r w:rsidRPr="0015438E">
        <w:rPr>
          <w:color w:val="45B0E1" w:themeColor="accent1" w:themeTint="99"/>
        </w:rPr>
        <w:t xml:space="preserve"> ex ante, and comparing trends across items does not necessarily reveal the problem if multiple goods are simultaneously affected by the same omitted shocks. We have clarified this point in the revised manuscript to underscore that the central issue is model instability due to omitted-variable dynamics.</w:t>
      </w:r>
    </w:p>
    <w:p w14:paraId="549BCF0C" w14:textId="77777777" w:rsidR="00861B9F" w:rsidRDefault="00861B9F" w:rsidP="00861B9F">
      <w:r>
        <w:t xml:space="preserve">Empirical evidence from multiple studies—such as Stifel and Christiaensen (2007), Christiaensen et al. (2012), Douidich et al. (2013), and Yoshida et al. (2022)—shows that S2S models can closely replicate direct survey-based poverty estimates. More recently, Dang et al. (2025) demonstrate that, even under a randomized experimental design, an S2S model trained on pre-pandemic data </w:t>
      </w:r>
      <w:r>
        <w:lastRenderedPageBreak/>
        <w:t>accurately predicted post-pandemic poverty rates. These studies suggest that violations of core assumptions may not occur frequently, implying that concerns about model instability could be less critical in most practical applications.</w:t>
      </w:r>
    </w:p>
    <w:p w14:paraId="62FF9CDE" w14:textId="7026E226" w:rsidR="00981075" w:rsidRPr="00981075" w:rsidRDefault="00981075" w:rsidP="00861B9F">
      <w:pPr>
        <w:rPr>
          <w:color w:val="45B0E1" w:themeColor="accent1" w:themeTint="99"/>
        </w:rPr>
      </w:pPr>
      <w:r w:rsidRPr="00981075">
        <w:rPr>
          <w:color w:val="45B0E1" w:themeColor="accent1" w:themeTint="99"/>
        </w:rPr>
        <w:t>The point is that this issue arises specifically when a shock occurs as noted in the draft.</w:t>
      </w:r>
    </w:p>
    <w:p w14:paraId="7862ED47" w14:textId="77777777" w:rsidR="00861B9F" w:rsidRDefault="00861B9F" w:rsidP="00861B9F"/>
    <w:p w14:paraId="0635A88B" w14:textId="77777777" w:rsidR="00861B9F" w:rsidRDefault="00861B9F" w:rsidP="00861B9F">
      <w:r>
        <w:t>Nevertheless, the likelihood of such problematic cases remains an open empirical question. Because the analysis in this paper relies on specific data-generating processes (DGPs), it is difficult to assess how often these risks materialize in real data. To enhance robustness and external validity, future research could complement the simulation analysis with empirical assessments using household survey data from multiple countries. Such evidence would help determine whether the patterns observed in the simulations persist in real-world settings where the true DGP and model structure are unknown.</w:t>
      </w:r>
    </w:p>
    <w:p w14:paraId="538F97C3" w14:textId="77777777" w:rsidR="00861B9F" w:rsidRDefault="00861B9F" w:rsidP="00861B9F"/>
    <w:p w14:paraId="46BE07AE" w14:textId="77777777" w:rsidR="00861B9F" w:rsidRDefault="00861B9F" w:rsidP="00861B9F">
      <w:r>
        <w:t>2. This paper suggests that S2S fails if the model stability is violated, but is this true? Even if one parameter changes over time, the changes in other parameters can offset it, and as a result, a model trained in one round of survey can predict poverty rates accurately in later rounds. An empirical assessment on this is shown in Yoshida et al. 2022 (Table 5). Even though the percentage of stable coefficients is less than 70 percent, the model can predict poverty rates well in the testing data. This does not reduce the value of the analysis in this paper, but it will be useful to add caveats when it discusses the relationship between the model stability and the accuracy of the S2S.</w:t>
      </w:r>
    </w:p>
    <w:p w14:paraId="13F1AAE1" w14:textId="070A4B33" w:rsidR="00375A81" w:rsidRPr="00B575E3" w:rsidRDefault="00375A81" w:rsidP="00861B9F">
      <w:pPr>
        <w:rPr>
          <w:color w:val="45B0E1" w:themeColor="accent1" w:themeTint="99"/>
        </w:rPr>
      </w:pPr>
      <w:r w:rsidRPr="00B575E3">
        <w:rPr>
          <w:color w:val="45B0E1" w:themeColor="accent1" w:themeTint="99"/>
        </w:rPr>
        <w:t xml:space="preserve">Thanks! </w:t>
      </w:r>
      <w:r w:rsidR="00B575E3" w:rsidRPr="00B575E3">
        <w:rPr>
          <w:color w:val="45B0E1" w:themeColor="accent1" w:themeTint="99"/>
        </w:rPr>
        <w:t xml:space="preserve">These studies fail to indicate how many models were fit until the right one was obtained. In upcoming work we highlight how these methods fail to predict changes in poverty in the Peru. The simulations presented here are useful to illustrate how easy it is for these methods to fail. </w:t>
      </w:r>
    </w:p>
    <w:p w14:paraId="03397103" w14:textId="77777777" w:rsidR="00861B9F" w:rsidRDefault="00861B9F" w:rsidP="00861B9F"/>
    <w:p w14:paraId="4DB1288D" w14:textId="77777777" w:rsidR="00861B9F" w:rsidRDefault="00861B9F" w:rsidP="00861B9F">
      <w:r>
        <w:t>3. In this paper, comparisons of alternative methodologies in the paper rely primarily on point estimates of bias. For instance, Figure 5 reports the bias in the FGT₀ index under a two-fold DGP, but each value shown represents only a single point estimate. Even if these point estimates appear biased, the deviations may not be statistically significant once their sampling variability is considered. This concern is particularly relevant because the reported biases are extremely small in nearly all analyses. For example, Figure 5 indicates that all approaches exhibit biases below 0.06 percentage points. Given such small magnitudes, it is plausible that none of these biases would be statistically distinguishable from zero if standard errors were computed. Hence, while point estimates are informative descriptively, they may overstate the apparent differences in performance across methods unless statistical uncertainty is explicitly reported.</w:t>
      </w:r>
    </w:p>
    <w:p w14:paraId="50BFF7B2" w14:textId="2E6AB2D2" w:rsidR="00375A81" w:rsidRPr="00375A81" w:rsidRDefault="00375A81" w:rsidP="00861B9F">
      <w:pPr>
        <w:rPr>
          <w:color w:val="45B0E1" w:themeColor="accent1" w:themeTint="99"/>
        </w:rPr>
      </w:pPr>
      <w:r w:rsidRPr="00375A81">
        <w:rPr>
          <w:color w:val="45B0E1" w:themeColor="accent1" w:themeTint="99"/>
        </w:rPr>
        <w:t xml:space="preserve">Thanks! We’ll clarify in the text. The purpose of the figure is to illustrate that the clustered nature of the DGP has little impact on the bias of the estimates when ignoring the nested nature of the DGP. </w:t>
      </w:r>
    </w:p>
    <w:p w14:paraId="206D865D" w14:textId="77777777" w:rsidR="00861B9F" w:rsidRDefault="00861B9F" w:rsidP="00861B9F"/>
    <w:p w14:paraId="24C85FCD" w14:textId="77777777" w:rsidR="00861B9F" w:rsidRDefault="00861B9F" w:rsidP="00861B9F">
      <w:r>
        <w:t xml:space="preserve">4. Section 4.3 would benefit from additional clarification to make the argument clearer. First, the definitions and interpretations of empirical MSE and average estimated MSE should be stated </w:t>
      </w:r>
      <w:r>
        <w:lastRenderedPageBreak/>
        <w:t>explicitly. It would also help to specify that “BLUP” refers to the variance estimated using the parametric bootstrap approach, following the small-area estimation literature.</w:t>
      </w:r>
    </w:p>
    <w:p w14:paraId="795C7196" w14:textId="46F673E3" w:rsidR="00375A81" w:rsidRPr="00375A81" w:rsidRDefault="00375A81" w:rsidP="00861B9F">
      <w:pPr>
        <w:rPr>
          <w:color w:val="45B0E1" w:themeColor="accent1" w:themeTint="99"/>
        </w:rPr>
      </w:pPr>
      <w:r w:rsidRPr="00375A81">
        <w:rPr>
          <w:color w:val="45B0E1" w:themeColor="accent1" w:themeTint="99"/>
        </w:rPr>
        <w:t>The MSE is estimated following standard statistical literature</w:t>
      </w:r>
      <w:r w:rsidR="00A63DFC">
        <w:rPr>
          <w:color w:val="45B0E1" w:themeColor="accent1" w:themeTint="99"/>
        </w:rPr>
        <w:t>, and follows the assumed model</w:t>
      </w:r>
      <w:r w:rsidRPr="00375A81">
        <w:rPr>
          <w:color w:val="45B0E1" w:themeColor="accent1" w:themeTint="99"/>
        </w:rPr>
        <w:t>. The parametric bootstrap yields an estimate of the MSE. What figure 8 illustrates is that in reality, the typical noise measure used in MI as well as the noise estimated via a parametric bootstrap yield an upward biased estimate of the noise, in this case noted by the empirical MSE.</w:t>
      </w:r>
    </w:p>
    <w:p w14:paraId="360FEFEC" w14:textId="77777777" w:rsidR="00861B9F" w:rsidRDefault="00861B9F" w:rsidP="00861B9F"/>
    <w:p w14:paraId="1C741045" w14:textId="77777777" w:rsidR="00861B9F" w:rsidRDefault="00861B9F" w:rsidP="00861B9F">
      <w:r>
        <w:t>The results suggest that MSEs obtained under the MI framework differ more from the true (empirical) MSE than those estimated by the parametric bootstrap. However, the last sentence of Section 4.3 states that “the variance estimated following Rubin’s rules will yield a downward-biased estimate of the true noise,” which seems inconsistent. A short explanation would clarify under which conditions Rubin’s rules underestimate or overestimate noise.</w:t>
      </w:r>
    </w:p>
    <w:p w14:paraId="1EE22E1B" w14:textId="26E2FD8B" w:rsidR="00A63DFC" w:rsidRDefault="00375A81" w:rsidP="00861B9F">
      <w:pPr>
        <w:rPr>
          <w:color w:val="45B0E1" w:themeColor="accent1" w:themeTint="99"/>
        </w:rPr>
      </w:pPr>
      <w:r w:rsidRPr="00375A81">
        <w:rPr>
          <w:color w:val="45B0E1" w:themeColor="accent1" w:themeTint="99"/>
        </w:rPr>
        <w:t>Thanks!</w:t>
      </w:r>
      <w:r>
        <w:rPr>
          <w:color w:val="45B0E1" w:themeColor="accent1" w:themeTint="99"/>
        </w:rPr>
        <w:t xml:space="preserve"> We will clarify in the text this issue. </w:t>
      </w:r>
      <w:r w:rsidR="00A63DFC">
        <w:rPr>
          <w:color w:val="45B0E1" w:themeColor="accent1" w:themeTint="99"/>
        </w:rPr>
        <w:t xml:space="preserve">The MI approach, as noted in the literature adds noise to estimates on purpose. </w:t>
      </w:r>
    </w:p>
    <w:p w14:paraId="69AAF9C9" w14:textId="75497A35" w:rsidR="00A63DFC" w:rsidRDefault="00A63DFC" w:rsidP="00861B9F">
      <w:pPr>
        <w:rPr>
          <w:color w:val="45B0E1" w:themeColor="accent1" w:themeTint="99"/>
        </w:rPr>
      </w:pPr>
      <w:r>
        <w:rPr>
          <w:color w:val="45B0E1" w:themeColor="accent1" w:themeTint="99"/>
        </w:rPr>
        <w:t xml:space="preserve">What imputations following MI literature obtain is a variance measure not necessarily an MSE estimate, se Corral, Molina and Nguyen (2022) for a discussion. </w:t>
      </w:r>
    </w:p>
    <w:p w14:paraId="5BDF0317" w14:textId="77C8B3E9" w:rsidR="00375A81" w:rsidRPr="00375A81" w:rsidRDefault="00375A81" w:rsidP="00861B9F">
      <w:pPr>
        <w:rPr>
          <w:color w:val="45B0E1" w:themeColor="accent1" w:themeTint="99"/>
        </w:rPr>
      </w:pPr>
      <w:r>
        <w:rPr>
          <w:color w:val="45B0E1" w:themeColor="accent1" w:themeTint="99"/>
        </w:rPr>
        <w:t>The problem arises because the MSE is the sum of the variance and the squared bias. Thus, if the estimates are biased, the second term will be larger and will underestimate the MSE.</w:t>
      </w:r>
    </w:p>
    <w:p w14:paraId="2BA0F13F" w14:textId="77777777" w:rsidR="00861B9F" w:rsidRDefault="00861B9F" w:rsidP="00861B9F"/>
    <w:p w14:paraId="5853D0FB" w14:textId="77777777" w:rsidR="00861B9F" w:rsidRDefault="00861B9F" w:rsidP="00861B9F">
      <w:r>
        <w:t>The paper rightly observes that the average estimated MSEs from both MI and BLUP are systematically larger than the empirical MSE because they are computed from smaller samples. In that case, the difference should not be interpreted as a bias—so MI or BLUP do not truly “overestimate” MSE. Instead, the result reflects a scale difference between population- and sample-based variances, which is not problematic.</w:t>
      </w:r>
    </w:p>
    <w:p w14:paraId="228517E2" w14:textId="77777777" w:rsidR="00861B9F" w:rsidRDefault="00861B9F" w:rsidP="00861B9F"/>
    <w:p w14:paraId="36A0175B" w14:textId="77777777" w:rsidR="00A63DFC" w:rsidRDefault="00861B9F" w:rsidP="00861B9F">
      <w:r>
        <w:t>Finally, MI and parametric bootstrap inherently differ because MI incorporates the uncertainty of coefficient and variance estimates, whereas the parametric bootstrap treats them as fixed. The latter is appropriate when OLS estimates are consistent and the sample is large, as parameter uncertainty vanishes asymptotically. When sample sizes are limited, however, the parametric bootstrap may underestimate total MSE. Hence, MI-based MSEs are expected to be larger, but this does not imply superiority of one approach over the other. Including a short theoretical discussion on the asymptotic and small-sample properties of MI and the parametric bootstrap would help readers interpret the simulation results more effectively.</w:t>
      </w:r>
    </w:p>
    <w:p w14:paraId="0B9C008D" w14:textId="77804189" w:rsidR="00A63DFC" w:rsidRPr="00A63DFC" w:rsidRDefault="00A63DFC" w:rsidP="00861B9F">
      <w:pPr>
        <w:rPr>
          <w:color w:val="45B0E1" w:themeColor="accent1" w:themeTint="99"/>
        </w:rPr>
      </w:pPr>
      <w:r w:rsidRPr="00A63DFC">
        <w:rPr>
          <w:color w:val="45B0E1" w:themeColor="accent1" w:themeTint="99"/>
        </w:rPr>
        <w:t xml:space="preserve">The sample size plays no role in the process. </w:t>
      </w:r>
    </w:p>
    <w:p w14:paraId="09AE9C6F" w14:textId="5F50B721" w:rsidR="00A63DFC" w:rsidRDefault="00590361" w:rsidP="00861B9F">
      <w:pPr>
        <w:rPr>
          <w:color w:val="45B0E1" w:themeColor="accent1" w:themeTint="99"/>
        </w:rPr>
      </w:pPr>
      <w:r>
        <w:rPr>
          <w:color w:val="45B0E1" w:themeColor="accent1" w:themeTint="99"/>
        </w:rPr>
        <w:t>Under the parametric bootstrap replicates the betas do vary</w:t>
      </w:r>
      <w:r w:rsidR="00A63DFC">
        <w:rPr>
          <w:color w:val="45B0E1" w:themeColor="accent1" w:themeTint="99"/>
        </w:rPr>
        <w:t>, this is a common misunderstanding</w:t>
      </w:r>
      <w:r>
        <w:rPr>
          <w:color w:val="45B0E1" w:themeColor="accent1" w:themeTint="99"/>
        </w:rPr>
        <w:t xml:space="preserve">. The survey’s betas are taken as the truth and are used to create multiple census data, where across the census data the only thing that varies </w:t>
      </w:r>
      <w:r w:rsidR="007C6A94">
        <w:rPr>
          <w:color w:val="45B0E1" w:themeColor="accent1" w:themeTint="99"/>
        </w:rPr>
        <w:t xml:space="preserve">are the simulated errors, but these still come from the sigmas estimated in the survey. </w:t>
      </w:r>
      <w:r w:rsidR="00A63DFC">
        <w:rPr>
          <w:color w:val="45B0E1" w:themeColor="accent1" w:themeTint="99"/>
        </w:rPr>
        <w:t>Thus across bootstrap replicates, the betas and distribution parameters vary.</w:t>
      </w:r>
    </w:p>
    <w:p w14:paraId="6DD38FFB" w14:textId="7FCA29B2" w:rsidR="00861B9F" w:rsidRDefault="007C6A94" w:rsidP="00861B9F">
      <w:r>
        <w:rPr>
          <w:color w:val="45B0E1" w:themeColor="accent1" w:themeTint="99"/>
        </w:rPr>
        <w:lastRenderedPageBreak/>
        <w:t xml:space="preserve">Across each of these censuses, the survey sample is extracted and the model is refit. This step leads to a variation in the parameters across each of the bootstrap estimates. Thus, the betas and sigmas across replicates vary. What the simulation undertaken in the paper is meant to show is how both methods actually lead to an overestimation of the imputation’s true MSE as approximated by the empirical MSE. We have clarified this further in the text. </w:t>
      </w:r>
    </w:p>
    <w:p w14:paraId="68478C56" w14:textId="77777777" w:rsidR="00861B9F" w:rsidRPr="007C6A94" w:rsidRDefault="00861B9F" w:rsidP="00861B9F">
      <w:pPr>
        <w:rPr>
          <w:color w:val="45B0E1" w:themeColor="accent1" w:themeTint="99"/>
        </w:rPr>
      </w:pPr>
      <w:r>
        <w:t>5. The paper shows that using the empirical distribution of residuals helps reduce bias in poverty estimates, particularly when the residuals deviate from normality. However, there is no guarantee that the residual distribution observed in the base period will remain the same in subsequent periods. If the true residual distribution changes over time, applying the empirical distribution from the training data could introduce bias. This raises an important methodological question: when the shape of the residual distribution in the target period is unknown, is it appropriate to use the empirical residual distribution from the base survey for imputation?</w:t>
      </w:r>
    </w:p>
    <w:p w14:paraId="041D8DF0" w14:textId="1AE0AE02" w:rsidR="007C6A94" w:rsidRPr="007C6A94" w:rsidRDefault="007C6A94" w:rsidP="00861B9F">
      <w:pPr>
        <w:rPr>
          <w:color w:val="45B0E1" w:themeColor="accent1" w:themeTint="99"/>
        </w:rPr>
      </w:pPr>
      <w:r w:rsidRPr="007C6A94">
        <w:rPr>
          <w:color w:val="45B0E1" w:themeColor="accent1" w:themeTint="99"/>
        </w:rPr>
        <w:t xml:space="preserve">This is accurate, and presents another reason as to why applying these methods over time is problematic and can lead to wrong predictions. </w:t>
      </w:r>
      <w:r w:rsidR="006B2793">
        <w:rPr>
          <w:color w:val="45B0E1" w:themeColor="accent1" w:themeTint="99"/>
        </w:rPr>
        <w:t>In related work (Stemmler et al 2026) we illustrate how when imputing over time the largest contributor to biased estimates is the model’s betas, not the distribution of the errors.</w:t>
      </w:r>
      <w:r w:rsidRPr="007C6A94">
        <w:rPr>
          <w:color w:val="45B0E1" w:themeColor="accent1" w:themeTint="99"/>
        </w:rPr>
        <w:t xml:space="preserve"> We will add this to the manuscript.</w:t>
      </w:r>
    </w:p>
    <w:p w14:paraId="1BDFBEB3" w14:textId="77777777" w:rsidR="00861B9F" w:rsidRDefault="00861B9F" w:rsidP="00861B9F"/>
    <w:p w14:paraId="2F7F3153" w14:textId="71A38B60" w:rsidR="00861B9F" w:rsidRDefault="00861B9F" w:rsidP="00861B9F">
      <w:r>
        <w:t>Given this uncertainty, relying on empirical distribution might not always be the most robust choice. Since the normal distribution serves as an asymptotic approximation for many residual processes under standard regularity conditions, assuming normality could, in some cases, be a safer and more generalizable option. In other words, while using empirical residuals can improve fit within the same period, its validity across time depends critically on the stability of the error distribution—something that cannot be verified when welfare data are unavailable in the target survey. In this sense also, it will be useful to include some empirical assessments on this issue.</w:t>
      </w:r>
    </w:p>
    <w:p w14:paraId="74321543" w14:textId="1EF3495C" w:rsidR="00435F44" w:rsidRPr="00435F44" w:rsidRDefault="00435F44" w:rsidP="00861B9F">
      <w:pPr>
        <w:rPr>
          <w:color w:val="45B0E1" w:themeColor="accent1" w:themeTint="99"/>
        </w:rPr>
      </w:pPr>
      <w:r w:rsidRPr="00435F44">
        <w:rPr>
          <w:color w:val="45B0E1" w:themeColor="accent1" w:themeTint="99"/>
        </w:rPr>
        <w:t>Thanks! We will highlight in the simulations where the errors are simulated as non-normal how the assumption of normality will lead to biased estimates, even if nothing else changes as in the simulations presented.</w:t>
      </w:r>
    </w:p>
    <w:sectPr w:rsidR="00435F44" w:rsidRPr="00435F44">
      <w:footerReference w:type="even" r:id="rId6"/>
      <w:footerReference w:type="default" r:id="rId7"/>
      <w:foot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03C45" w14:textId="77777777" w:rsidR="006A1C19" w:rsidRDefault="006A1C19" w:rsidP="00981075">
      <w:pPr>
        <w:spacing w:before="0" w:after="0" w:line="240" w:lineRule="auto"/>
      </w:pPr>
      <w:r>
        <w:separator/>
      </w:r>
    </w:p>
  </w:endnote>
  <w:endnote w:type="continuationSeparator" w:id="0">
    <w:p w14:paraId="5C0290E1" w14:textId="77777777" w:rsidR="006A1C19" w:rsidRDefault="006A1C19" w:rsidP="0098107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3C367" w14:textId="29BF2F30" w:rsidR="00981075" w:rsidRDefault="00981075">
    <w:pPr>
      <w:pStyle w:val="Footer"/>
    </w:pPr>
    <w:r>
      <w:rPr>
        <w:noProof/>
      </w:rPr>
      <mc:AlternateContent>
        <mc:Choice Requires="wps">
          <w:drawing>
            <wp:anchor distT="0" distB="0" distL="0" distR="0" simplePos="0" relativeHeight="251659264" behindDoc="0" locked="0" layoutInCell="1" allowOverlap="1" wp14:anchorId="2682125D" wp14:editId="0D02D30F">
              <wp:simplePos x="635" y="635"/>
              <wp:positionH relativeFrom="page">
                <wp:align>right</wp:align>
              </wp:positionH>
              <wp:positionV relativeFrom="page">
                <wp:align>bottom</wp:align>
              </wp:positionV>
              <wp:extent cx="1170305" cy="433705"/>
              <wp:effectExtent l="0" t="0" r="0" b="0"/>
              <wp:wrapNone/>
              <wp:docPr id="1579711053"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433705"/>
                      </a:xfrm>
                      <a:prstGeom prst="rect">
                        <a:avLst/>
                      </a:prstGeom>
                      <a:noFill/>
                      <a:ln>
                        <a:noFill/>
                      </a:ln>
                    </wps:spPr>
                    <wps:txbx>
                      <w:txbxContent>
                        <w:p w14:paraId="7A7E7ABE" w14:textId="6137D3FE" w:rsidR="00981075" w:rsidRPr="00981075" w:rsidRDefault="00981075" w:rsidP="00981075">
                          <w:pPr>
                            <w:spacing w:after="0"/>
                            <w:rPr>
                              <w:rFonts w:ascii="Aptos" w:eastAsia="Aptos" w:hAnsi="Aptos" w:cs="Aptos"/>
                              <w:noProof/>
                              <w:color w:val="000000"/>
                              <w:sz w:val="20"/>
                              <w:szCs w:val="20"/>
                            </w:rPr>
                          </w:pPr>
                          <w:r w:rsidRPr="00981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682125D" id="_x0000_t202" coordsize="21600,21600" o:spt="202" path="m,l,21600r21600,l21600,xe">
              <v:stroke joinstyle="miter"/>
              <v:path gradientshapeok="t" o:connecttype="rect"/>
            </v:shapetype>
            <v:shape id="Text Box 2" o:spid="_x0000_s1026" type="#_x0000_t202" alt="Official Use Only" style="position:absolute;left:0;text-align:left;margin-left:40.95pt;margin-top:0;width:92.15pt;height:34.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" filled="f" stroked="f">
              <v:textbox style="mso-fit-shape-to-text:t" inset="0,0,20pt,15pt">
                <w:txbxContent>
                  <w:p w14:paraId="7A7E7ABE" w14:textId="6137D3FE" w:rsidR="00981075" w:rsidRPr="00981075" w:rsidRDefault="00981075" w:rsidP="00981075">
                    <w:pPr>
                      <w:spacing w:after="0"/>
                      <w:rPr>
                        <w:rFonts w:ascii="Aptos" w:eastAsia="Aptos" w:hAnsi="Aptos" w:cs="Aptos"/>
                        <w:noProof/>
                        <w:color w:val="000000"/>
                        <w:sz w:val="20"/>
                        <w:szCs w:val="20"/>
                      </w:rPr>
                    </w:pPr>
                    <w:r w:rsidRPr="00981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DE3AD" w14:textId="637FF423" w:rsidR="00981075" w:rsidRDefault="00981075">
    <w:pPr>
      <w:pStyle w:val="Footer"/>
    </w:pPr>
    <w:r>
      <w:rPr>
        <w:noProof/>
      </w:rPr>
      <mc:AlternateContent>
        <mc:Choice Requires="wps">
          <w:drawing>
            <wp:anchor distT="0" distB="0" distL="0" distR="0" simplePos="0" relativeHeight="251660288" behindDoc="0" locked="0" layoutInCell="1" allowOverlap="1" wp14:anchorId="3EC5C3D3" wp14:editId="1E7D24AD">
              <wp:simplePos x="914400" y="9429750"/>
              <wp:positionH relativeFrom="page">
                <wp:align>right</wp:align>
              </wp:positionH>
              <wp:positionV relativeFrom="page">
                <wp:align>bottom</wp:align>
              </wp:positionV>
              <wp:extent cx="1170305" cy="433705"/>
              <wp:effectExtent l="0" t="0" r="0" b="0"/>
              <wp:wrapNone/>
              <wp:docPr id="1691456090"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433705"/>
                      </a:xfrm>
                      <a:prstGeom prst="rect">
                        <a:avLst/>
                      </a:prstGeom>
                      <a:noFill/>
                      <a:ln>
                        <a:noFill/>
                      </a:ln>
                    </wps:spPr>
                    <wps:txbx>
                      <w:txbxContent>
                        <w:p w14:paraId="5C4D3E0A" w14:textId="1A51FB6C" w:rsidR="00981075" w:rsidRPr="00981075" w:rsidRDefault="00981075" w:rsidP="00981075">
                          <w:pPr>
                            <w:spacing w:after="0"/>
                            <w:rPr>
                              <w:rFonts w:ascii="Aptos" w:eastAsia="Aptos" w:hAnsi="Aptos" w:cs="Aptos"/>
                              <w:noProof/>
                              <w:color w:val="000000"/>
                              <w:sz w:val="20"/>
                              <w:szCs w:val="20"/>
                            </w:rPr>
                          </w:pPr>
                          <w:r w:rsidRPr="00981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EC5C3D3" id="_x0000_t202" coordsize="21600,21600" o:spt="202" path="m,l,21600r21600,l21600,xe">
              <v:stroke joinstyle="miter"/>
              <v:path gradientshapeok="t" o:connecttype="rect"/>
            </v:shapetype>
            <v:shape id="Text Box 3" o:spid="_x0000_s1027" type="#_x0000_t202" alt="Official Use Only" style="position:absolute;left:0;text-align:left;margin-left:40.95pt;margin-top:0;width:92.15pt;height:34.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" filled="f" stroked="f">
              <v:textbox style="mso-fit-shape-to-text:t" inset="0,0,20pt,15pt">
                <w:txbxContent>
                  <w:p w14:paraId="5C4D3E0A" w14:textId="1A51FB6C" w:rsidR="00981075" w:rsidRPr="00981075" w:rsidRDefault="00981075" w:rsidP="00981075">
                    <w:pPr>
                      <w:spacing w:after="0"/>
                      <w:rPr>
                        <w:rFonts w:ascii="Aptos" w:eastAsia="Aptos" w:hAnsi="Aptos" w:cs="Aptos"/>
                        <w:noProof/>
                        <w:color w:val="000000"/>
                        <w:sz w:val="20"/>
                        <w:szCs w:val="20"/>
                      </w:rPr>
                    </w:pPr>
                    <w:r w:rsidRPr="00981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FAF99" w14:textId="11D08CC4" w:rsidR="00981075" w:rsidRDefault="00981075">
    <w:pPr>
      <w:pStyle w:val="Footer"/>
    </w:pPr>
    <w:r>
      <w:rPr>
        <w:noProof/>
      </w:rPr>
      <mc:AlternateContent>
        <mc:Choice Requires="wps">
          <w:drawing>
            <wp:anchor distT="0" distB="0" distL="0" distR="0" simplePos="0" relativeHeight="251658240" behindDoc="0" locked="0" layoutInCell="1" allowOverlap="1" wp14:anchorId="08B4EE4F" wp14:editId="02B79D2D">
              <wp:simplePos x="635" y="635"/>
              <wp:positionH relativeFrom="page">
                <wp:align>right</wp:align>
              </wp:positionH>
              <wp:positionV relativeFrom="page">
                <wp:align>bottom</wp:align>
              </wp:positionV>
              <wp:extent cx="1170305" cy="433705"/>
              <wp:effectExtent l="0" t="0" r="0" b="0"/>
              <wp:wrapNone/>
              <wp:docPr id="949623909"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433705"/>
                      </a:xfrm>
                      <a:prstGeom prst="rect">
                        <a:avLst/>
                      </a:prstGeom>
                      <a:noFill/>
                      <a:ln>
                        <a:noFill/>
                      </a:ln>
                    </wps:spPr>
                    <wps:txbx>
                      <w:txbxContent>
                        <w:p w14:paraId="2D1A43FC" w14:textId="63AEF7E8" w:rsidR="00981075" w:rsidRPr="00981075" w:rsidRDefault="00981075" w:rsidP="00981075">
                          <w:pPr>
                            <w:spacing w:after="0"/>
                            <w:rPr>
                              <w:rFonts w:ascii="Aptos" w:eastAsia="Aptos" w:hAnsi="Aptos" w:cs="Aptos"/>
                              <w:noProof/>
                              <w:color w:val="000000"/>
                              <w:sz w:val="20"/>
                              <w:szCs w:val="20"/>
                            </w:rPr>
                          </w:pPr>
                          <w:r w:rsidRPr="00981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8B4EE4F" id="_x0000_t202" coordsize="21600,21600" o:spt="202" path="m,l,21600r21600,l21600,xe">
              <v:stroke joinstyle="miter"/>
              <v:path gradientshapeok="t" o:connecttype="rect"/>
            </v:shapetype>
            <v:shape id="Text Box 1" o:spid="_x0000_s1028" type="#_x0000_t202" alt="Official Use Only" style="position:absolute;left:0;text-align:left;margin-left:40.95pt;margin-top:0;width:92.15pt;height:34.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" filled="f" stroked="f">
              <v:textbox style="mso-fit-shape-to-text:t" inset="0,0,20pt,15pt">
                <w:txbxContent>
                  <w:p w14:paraId="2D1A43FC" w14:textId="63AEF7E8" w:rsidR="00981075" w:rsidRPr="00981075" w:rsidRDefault="00981075" w:rsidP="00981075">
                    <w:pPr>
                      <w:spacing w:after="0"/>
                      <w:rPr>
                        <w:rFonts w:ascii="Aptos" w:eastAsia="Aptos" w:hAnsi="Aptos" w:cs="Aptos"/>
                        <w:noProof/>
                        <w:color w:val="000000"/>
                        <w:sz w:val="20"/>
                        <w:szCs w:val="20"/>
                      </w:rPr>
                    </w:pPr>
                    <w:r w:rsidRPr="00981075">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A38B7" w14:textId="77777777" w:rsidR="006A1C19" w:rsidRDefault="006A1C19" w:rsidP="00981075">
      <w:pPr>
        <w:spacing w:before="0" w:after="0" w:line="240" w:lineRule="auto"/>
      </w:pPr>
      <w:r>
        <w:separator/>
      </w:r>
    </w:p>
  </w:footnote>
  <w:footnote w:type="continuationSeparator" w:id="0">
    <w:p w14:paraId="64849A4A" w14:textId="77777777" w:rsidR="006A1C19" w:rsidRDefault="006A1C19" w:rsidP="00981075">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B9F"/>
    <w:rsid w:val="00017B1C"/>
    <w:rsid w:val="0004108F"/>
    <w:rsid w:val="00050E82"/>
    <w:rsid w:val="00084D10"/>
    <w:rsid w:val="000C11E4"/>
    <w:rsid w:val="001320A1"/>
    <w:rsid w:val="0015438E"/>
    <w:rsid w:val="0019495A"/>
    <w:rsid w:val="002008E5"/>
    <w:rsid w:val="002D024E"/>
    <w:rsid w:val="00361350"/>
    <w:rsid w:val="00375A81"/>
    <w:rsid w:val="00384D8A"/>
    <w:rsid w:val="004201C1"/>
    <w:rsid w:val="00435F44"/>
    <w:rsid w:val="00520618"/>
    <w:rsid w:val="0053360B"/>
    <w:rsid w:val="00554929"/>
    <w:rsid w:val="00590361"/>
    <w:rsid w:val="006A1C19"/>
    <w:rsid w:val="006B2793"/>
    <w:rsid w:val="007120EB"/>
    <w:rsid w:val="00744266"/>
    <w:rsid w:val="00775699"/>
    <w:rsid w:val="007B4FE0"/>
    <w:rsid w:val="007C6A94"/>
    <w:rsid w:val="00861B9F"/>
    <w:rsid w:val="00877B90"/>
    <w:rsid w:val="008A110A"/>
    <w:rsid w:val="008A4FC1"/>
    <w:rsid w:val="008B6B14"/>
    <w:rsid w:val="008E58A8"/>
    <w:rsid w:val="008E602F"/>
    <w:rsid w:val="00981075"/>
    <w:rsid w:val="00A0341F"/>
    <w:rsid w:val="00A04CA6"/>
    <w:rsid w:val="00A63DFC"/>
    <w:rsid w:val="00A70464"/>
    <w:rsid w:val="00B553C5"/>
    <w:rsid w:val="00B575E3"/>
    <w:rsid w:val="00B7151C"/>
    <w:rsid w:val="00B91191"/>
    <w:rsid w:val="00BA1305"/>
    <w:rsid w:val="00C00681"/>
    <w:rsid w:val="00C771C9"/>
    <w:rsid w:val="00D04A50"/>
    <w:rsid w:val="00E21440"/>
    <w:rsid w:val="00E63F1E"/>
    <w:rsid w:val="00E70BC0"/>
    <w:rsid w:val="00E72BB0"/>
    <w:rsid w:val="00E96BF9"/>
    <w:rsid w:val="00EB2772"/>
    <w:rsid w:val="00FE69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5D296"/>
  <w15:chartTrackingRefBased/>
  <w15:docId w15:val="{7DE77572-D016-4554-8A4D-1EC0CCD9A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D10"/>
    <w:pPr>
      <w:spacing w:before="120" w:after="120"/>
      <w:jc w:val="both"/>
    </w:pPr>
  </w:style>
  <w:style w:type="paragraph" w:styleId="Heading1">
    <w:name w:val="heading 1"/>
    <w:basedOn w:val="Normal"/>
    <w:next w:val="Normal"/>
    <w:link w:val="Heading1Char"/>
    <w:uiPriority w:val="9"/>
    <w:qFormat/>
    <w:rsid w:val="00861B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1B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B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B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B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B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B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B9F"/>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B9F"/>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B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1B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B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B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B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B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B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B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B9F"/>
    <w:rPr>
      <w:rFonts w:eastAsiaTheme="majorEastAsia" w:cstheme="majorBidi"/>
      <w:color w:val="272727" w:themeColor="text1" w:themeTint="D8"/>
    </w:rPr>
  </w:style>
  <w:style w:type="paragraph" w:styleId="Title">
    <w:name w:val="Title"/>
    <w:basedOn w:val="Normal"/>
    <w:next w:val="Normal"/>
    <w:link w:val="TitleChar"/>
    <w:uiPriority w:val="10"/>
    <w:qFormat/>
    <w:rsid w:val="00861B9F"/>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B9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B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B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1B9F"/>
    <w:rPr>
      <w:i/>
      <w:iCs/>
      <w:color w:val="404040" w:themeColor="text1" w:themeTint="BF"/>
    </w:rPr>
  </w:style>
  <w:style w:type="paragraph" w:styleId="ListParagraph">
    <w:name w:val="List Paragraph"/>
    <w:basedOn w:val="Normal"/>
    <w:uiPriority w:val="34"/>
    <w:qFormat/>
    <w:rsid w:val="00861B9F"/>
    <w:pPr>
      <w:ind w:left="720"/>
      <w:contextualSpacing/>
    </w:pPr>
  </w:style>
  <w:style w:type="character" w:styleId="IntenseEmphasis">
    <w:name w:val="Intense Emphasis"/>
    <w:basedOn w:val="DefaultParagraphFont"/>
    <w:uiPriority w:val="21"/>
    <w:qFormat/>
    <w:rsid w:val="00861B9F"/>
    <w:rPr>
      <w:i/>
      <w:iCs/>
      <w:color w:val="0F4761" w:themeColor="accent1" w:themeShade="BF"/>
    </w:rPr>
  </w:style>
  <w:style w:type="paragraph" w:styleId="IntenseQuote">
    <w:name w:val="Intense Quote"/>
    <w:basedOn w:val="Normal"/>
    <w:next w:val="Normal"/>
    <w:link w:val="IntenseQuoteChar"/>
    <w:uiPriority w:val="30"/>
    <w:qFormat/>
    <w:rsid w:val="00861B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B9F"/>
    <w:rPr>
      <w:i/>
      <w:iCs/>
      <w:color w:val="0F4761" w:themeColor="accent1" w:themeShade="BF"/>
    </w:rPr>
  </w:style>
  <w:style w:type="character" w:styleId="IntenseReference">
    <w:name w:val="Intense Reference"/>
    <w:basedOn w:val="DefaultParagraphFont"/>
    <w:uiPriority w:val="32"/>
    <w:qFormat/>
    <w:rsid w:val="00861B9F"/>
    <w:rPr>
      <w:b/>
      <w:bCs/>
      <w:smallCaps/>
      <w:color w:val="0F4761" w:themeColor="accent1" w:themeShade="BF"/>
      <w:spacing w:val="5"/>
    </w:rPr>
  </w:style>
  <w:style w:type="paragraph" w:styleId="Footer">
    <w:name w:val="footer"/>
    <w:basedOn w:val="Normal"/>
    <w:link w:val="FooterChar"/>
    <w:uiPriority w:val="99"/>
    <w:unhideWhenUsed/>
    <w:rsid w:val="0098107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810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951</TotalTime>
  <Pages>8</Pages>
  <Words>3500</Words>
  <Characters>18796</Characters>
  <Application>Microsoft Office Word</Application>
  <DocSecurity>0</DocSecurity>
  <Lines>289</Lines>
  <Paragraphs>79</Paragraphs>
  <ScaleCrop>false</ScaleCrop>
  <HeadingPairs>
    <vt:vector size="2" baseType="variant">
      <vt:variant>
        <vt:lpstr>Title</vt:lpstr>
      </vt:variant>
      <vt:variant>
        <vt:i4>1</vt:i4>
      </vt:variant>
    </vt:vector>
  </HeadingPairs>
  <TitlesOfParts>
    <vt:vector size="1" baseType="lpstr">
      <vt:lpstr/>
    </vt:vector>
  </TitlesOfParts>
  <Company>WBG</Company>
  <LinksUpToDate>false</LinksUpToDate>
  <CharactersWithSpaces>22217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Andres Corral Rodas</dc:creator>
  <cp:keywords/>
  <dc:description/>
  <cp:lastModifiedBy>Paul Andres Corral Rodas</cp:lastModifiedBy>
  <cp:revision>11</cp:revision>
  <dcterms:created xsi:type="dcterms:W3CDTF">2025-12-10T07:39:00Z</dcterms:created>
  <dcterms:modified xsi:type="dcterms:W3CDTF">2025-12-25T15:36:00Z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389a1c65,5e287a4d,64d1925a</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2025-12-10T08:12:50Z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7ff0ce5b-0e96-494f-ad2e-ebd35c6f3e32</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