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A3754" w14:textId="77777777" w:rsidR="00861B9F" w:rsidRDefault="00861B9F" w:rsidP="00861B9F">
      <w:r>
        <w:t>Reviewers' Comments to Author:</w:t>
      </w:r>
    </w:p>
    <w:p w14:paraId="78F96A61" w14:textId="77777777" w:rsidR="00861B9F" w:rsidRDefault="00861B9F" w:rsidP="00861B9F"/>
    <w:p w14:paraId="1372F56A" w14:textId="77777777" w:rsidR="00861B9F" w:rsidRDefault="00861B9F" w:rsidP="00861B9F">
      <w:pPr>
        <w:pStyle w:val="Heading2"/>
      </w:pPr>
      <w:r>
        <w:t>Referee: 1</w:t>
      </w:r>
    </w:p>
    <w:p w14:paraId="3C3DA5D2" w14:textId="77777777" w:rsidR="00861B9F" w:rsidRDefault="00861B9F" w:rsidP="00861B9F"/>
    <w:p w14:paraId="240F399D" w14:textId="77777777" w:rsidR="00861B9F" w:rsidRDefault="00861B9F" w:rsidP="00861B9F">
      <w:r>
        <w:t>Comments to the Author</w:t>
      </w:r>
    </w:p>
    <w:p w14:paraId="77220B15" w14:textId="77777777" w:rsidR="00861B9F" w:rsidRDefault="00861B9F" w:rsidP="00861B9F">
      <w:r>
        <w:t>Summary</w:t>
      </w:r>
    </w:p>
    <w:p w14:paraId="701016AB" w14:textId="77777777" w:rsidR="00861B9F" w:rsidRDefault="00861B9F" w:rsidP="00861B9F">
      <w:r>
        <w:t xml:space="preserve">This </w:t>
      </w:r>
      <w:proofErr w:type="gramStart"/>
      <w:r>
        <w:t>paper  evaluates</w:t>
      </w:r>
      <w:proofErr w:type="gramEnd"/>
      <w:r>
        <w:t xml:space="preserve"> various strategies to conduct survey-to-survey imputation methods to predict poverty, which have been applied to various data-poor contexts in the developing world. The paper presents the results from extensive simulation exercises under different error distributions, biases sample, and other conditions. The paper offers </w:t>
      </w:r>
      <w:proofErr w:type="gramStart"/>
      <w:r>
        <w:t>a number of</w:t>
      </w:r>
      <w:proofErr w:type="gramEnd"/>
      <w:r>
        <w:t xml:space="preserve"> recommendations to practitioners.</w:t>
      </w:r>
    </w:p>
    <w:p w14:paraId="344289A5" w14:textId="77777777" w:rsidR="00861B9F" w:rsidRDefault="00861B9F" w:rsidP="00861B9F"/>
    <w:p w14:paraId="77A74B97" w14:textId="77777777" w:rsidR="00861B9F" w:rsidRDefault="00861B9F" w:rsidP="00861B9F">
      <w:r>
        <w:t>Contributions</w:t>
      </w:r>
    </w:p>
    <w:p w14:paraId="680BD916" w14:textId="77777777" w:rsidR="00861B9F" w:rsidRDefault="00861B9F" w:rsidP="00861B9F">
      <w:r>
        <w:t xml:space="preserve">While I appreciate the purpose of the paper, the contribution of the paper is limited at best. There is no theoretical </w:t>
      </w:r>
      <w:proofErr w:type="gramStart"/>
      <w:r>
        <w:t>contribution</w:t>
      </w:r>
      <w:proofErr w:type="gramEnd"/>
      <w:r>
        <w:t xml:space="preserve"> and the practical relevance of the paper is debatable, which I </w:t>
      </w:r>
      <w:proofErr w:type="gramStart"/>
      <w:r>
        <w:t>elaborate</w:t>
      </w:r>
      <w:proofErr w:type="gramEnd"/>
      <w:r>
        <w:t xml:space="preserve"> </w:t>
      </w:r>
      <w:proofErr w:type="gramStart"/>
      <w:r>
        <w:t>in</w:t>
      </w:r>
      <w:proofErr w:type="gramEnd"/>
      <w:r>
        <w:t xml:space="preserve"> the next point.</w:t>
      </w:r>
    </w:p>
    <w:p w14:paraId="29941D4D" w14:textId="77777777" w:rsidR="00861B9F" w:rsidRDefault="00861B9F" w:rsidP="00861B9F"/>
    <w:p w14:paraId="3234D390" w14:textId="77777777" w:rsidR="00861B9F" w:rsidRDefault="00861B9F" w:rsidP="00861B9F">
      <w:r>
        <w:t>Essential Points</w:t>
      </w:r>
    </w:p>
    <w:p w14:paraId="2FA504D2" w14:textId="77777777" w:rsidR="00861B9F" w:rsidRDefault="00861B9F" w:rsidP="00861B9F">
      <w:r>
        <w:t>My biggest concern is the relevance of the DGP chosen. It is unclear to me how the authors came up with eq (6). As the choice of the DGP would affect the results, there should be some discussion on the justification of this choice.</w:t>
      </w:r>
    </w:p>
    <w:p w14:paraId="68B6A708" w14:textId="77777777" w:rsidR="00861B9F" w:rsidRDefault="00861B9F" w:rsidP="00861B9F"/>
    <w:p w14:paraId="4232C755" w14:textId="77777777" w:rsidR="00861B9F" w:rsidRDefault="00861B9F" w:rsidP="00861B9F">
      <w:r>
        <w:t xml:space="preserve">Even if the DGP is justifiable, it is also unclear to what extent the performance ranking based on this </w:t>
      </w:r>
      <w:proofErr w:type="gramStart"/>
      <w:r>
        <w:t>particular DGP</w:t>
      </w:r>
      <w:proofErr w:type="gramEnd"/>
      <w:r>
        <w:t xml:space="preserve"> is applicable to a wide range of contexts where survey-to-survey imputation is used. While the conclusions the authors draw in this paper are not unreasonable, the logical connection between the simulation results and the conclusions in Section 5 is weak.</w:t>
      </w:r>
    </w:p>
    <w:p w14:paraId="3115D129" w14:textId="77777777" w:rsidR="00861B9F" w:rsidRDefault="00861B9F" w:rsidP="00861B9F"/>
    <w:p w14:paraId="2D05DE19" w14:textId="77777777" w:rsidR="00861B9F" w:rsidRDefault="00861B9F" w:rsidP="00861B9F">
      <w:r>
        <w:t xml:space="preserve">Relatedly, it appears to me </w:t>
      </w:r>
      <w:proofErr w:type="gramStart"/>
      <w:r>
        <w:t>all of</w:t>
      </w:r>
      <w:proofErr w:type="gramEnd"/>
      <w:r>
        <w:t xml:space="preserve"> the seven recommendations in Section 5 are generic and can be derived without the extensive simulations conducted in the paper. The paper would be much more valuable if the simulations </w:t>
      </w:r>
      <w:proofErr w:type="gramStart"/>
      <w:r>
        <w:t>are</w:t>
      </w:r>
      <w:proofErr w:type="gramEnd"/>
      <w:r>
        <w:t xml:space="preserve"> done in a more realistic context and identify a set of particularly important pitfalls.</w:t>
      </w:r>
    </w:p>
    <w:p w14:paraId="55263481" w14:textId="77777777" w:rsidR="00861B9F" w:rsidRDefault="00861B9F" w:rsidP="00861B9F"/>
    <w:p w14:paraId="35B92762" w14:textId="77777777" w:rsidR="00861B9F" w:rsidRDefault="00861B9F" w:rsidP="00861B9F">
      <w:r>
        <w:t xml:space="preserve">I also have several other reservations. First, this paper almost exclusively </w:t>
      </w:r>
      <w:proofErr w:type="gramStart"/>
      <w:r>
        <w:t>focus</w:t>
      </w:r>
      <w:proofErr w:type="gramEnd"/>
      <w:r>
        <w:t xml:space="preserve"> on bias. However, I would argue that MSE is at least as important as bias. An unbiased but very noisy estimator is arguably not as good as precise but slightly biased estimator.  </w:t>
      </w:r>
    </w:p>
    <w:p w14:paraId="1B28B15F" w14:textId="77777777" w:rsidR="00861B9F" w:rsidRDefault="00861B9F" w:rsidP="00861B9F"/>
    <w:p w14:paraId="03294A07" w14:textId="77777777" w:rsidR="00861B9F" w:rsidRDefault="00861B9F" w:rsidP="00861B9F">
      <w:r>
        <w:lastRenderedPageBreak/>
        <w:t>Second, all the mathematical notations should be clearly defined and used coherently. For example, \bar{x} is not defined (PDF p.12/45, around l.12). I don’t know if this is the same as \bar{X} (around l.56 of the same page), which is also not adequately defined.</w:t>
      </w:r>
    </w:p>
    <w:p w14:paraId="6209B114" w14:textId="77777777" w:rsidR="00861B9F" w:rsidRDefault="00861B9F" w:rsidP="00861B9F"/>
    <w:p w14:paraId="28DB317F" w14:textId="77777777" w:rsidR="00861B9F" w:rsidRDefault="00861B9F" w:rsidP="00861B9F">
      <w:r>
        <w:t xml:space="preserve">Also, the interpretation of </w:t>
      </w:r>
      <w:proofErr w:type="gramStart"/>
      <w:r>
        <w:t>eq.(</w:t>
      </w:r>
      <w:proofErr w:type="gramEnd"/>
      <w:r>
        <w:t>5) does not seem correct. How could the population parameter be determined by parameter estimates? Also, \bar{X}_{target} looks like the sample mean but this ought to be the population mean if the LHS is supposed to be the population parameter.</w:t>
      </w:r>
    </w:p>
    <w:p w14:paraId="7C06AED3" w14:textId="77777777" w:rsidR="00861B9F" w:rsidRDefault="00861B9F" w:rsidP="00861B9F"/>
    <w:p w14:paraId="276DBEC1" w14:textId="77777777" w:rsidR="00861B9F" w:rsidRDefault="00861B9F" w:rsidP="00861B9F">
      <w:r>
        <w:t xml:space="preserve">Third, the sampling is quite problematic to me. If I understand correctly, both the source and target are 20 percent simple random </w:t>
      </w:r>
      <w:proofErr w:type="gramStart"/>
      <w:r>
        <w:t>sample</w:t>
      </w:r>
      <w:proofErr w:type="gramEnd"/>
      <w:r>
        <w:t xml:space="preserve"> of the data. This means that 20 percent of the source survey appears in the target survey and vice versa. This is highly unrealistic. In a practical setting, there is no overlap.</w:t>
      </w:r>
    </w:p>
    <w:p w14:paraId="383BAD62" w14:textId="77777777" w:rsidR="00861B9F" w:rsidRDefault="00861B9F" w:rsidP="00861B9F"/>
    <w:p w14:paraId="64775613" w14:textId="77777777" w:rsidR="00861B9F" w:rsidRDefault="00861B9F" w:rsidP="00861B9F">
      <w:r>
        <w:t>Finally, a very minor point.  + is repeated in Eq (10) before \</w:t>
      </w:r>
      <w:proofErr w:type="spellStart"/>
      <w:r>
        <w:t>eta_a</w:t>
      </w:r>
      <w:proofErr w:type="spellEnd"/>
      <w:r>
        <w:t>.</w:t>
      </w:r>
    </w:p>
    <w:p w14:paraId="512E1010" w14:textId="77777777" w:rsidR="00861B9F" w:rsidRDefault="00861B9F" w:rsidP="00861B9F"/>
    <w:p w14:paraId="6F2B04A2" w14:textId="77777777" w:rsidR="00861B9F" w:rsidRDefault="00861B9F" w:rsidP="00861B9F">
      <w:r>
        <w:t>Suggestions</w:t>
      </w:r>
    </w:p>
    <w:p w14:paraId="605DBE59" w14:textId="77777777" w:rsidR="00861B9F" w:rsidRDefault="00861B9F" w:rsidP="00861B9F">
      <w:r>
        <w:t xml:space="preserve">I suggest that the authors choose a realistic DGP in a particular country that ideally has at least two rounds of survey. Pick a parsimonious consumption model with five or so covariates (as with the current model). Ideally, these covariates are often chosen in consumption models elsewhere and mix </w:t>
      </w:r>
      <w:proofErr w:type="gramStart"/>
      <w:r>
        <w:t>discrete</w:t>
      </w:r>
      <w:proofErr w:type="gramEnd"/>
      <w:r>
        <w:t xml:space="preserve"> and continuous variables. Then, calibrate the DGP to mimic the empirical distribution of both covariates and outcomes. By doing this for two rounds, it would be possible to shed some light on some of the recommendations in the conclusion. Population and sample sizes should be calibrated at realistic levels (in the current setup, the sample size is ok, but the population size is way too small). In this way, the authors can still fully control data generation, but the results have at least some </w:t>
      </w:r>
      <w:proofErr w:type="gramStart"/>
      <w:r>
        <w:t>resemblance</w:t>
      </w:r>
      <w:proofErr w:type="gramEnd"/>
      <w:r>
        <w:t xml:space="preserve"> to the country that they chose.</w:t>
      </w:r>
    </w:p>
    <w:p w14:paraId="075C5425" w14:textId="77777777" w:rsidR="00861B9F" w:rsidRDefault="00861B9F" w:rsidP="00861B9F"/>
    <w:p w14:paraId="7C14D3EC" w14:textId="77777777" w:rsidR="00861B9F" w:rsidRDefault="00861B9F" w:rsidP="00861B9F">
      <w:r>
        <w:t>In the current simulation, all the covariates are independent of each other. This would be a natural starting point, but I would encourage the authors to consider allowing for some correlations between covariates. If two variables are highly correlated, omission of one of the two may not be as serious as the omission of some other covariates.</w:t>
      </w:r>
    </w:p>
    <w:p w14:paraId="461305B0" w14:textId="77777777" w:rsidR="00861B9F" w:rsidRDefault="00861B9F" w:rsidP="00861B9F"/>
    <w:p w14:paraId="51AEF125" w14:textId="62CDFBA4" w:rsidR="002008E5" w:rsidRDefault="00861B9F" w:rsidP="00861B9F">
      <w:r>
        <w:t>Finally, to highlight the contribution of the paper, the recommendations in Section 5 should clarify which points were not known previously and how the authors’ simulations bring about such recommendations.</w:t>
      </w:r>
    </w:p>
    <w:p w14:paraId="3C3E7E19" w14:textId="77777777" w:rsidR="00861B9F" w:rsidRDefault="00861B9F" w:rsidP="00861B9F"/>
    <w:p w14:paraId="3F777FA0" w14:textId="77777777" w:rsidR="00861B9F" w:rsidRDefault="00861B9F" w:rsidP="00861B9F">
      <w:pPr>
        <w:pStyle w:val="Heading2"/>
        <w:pageBreakBefore/>
      </w:pPr>
      <w:r>
        <w:lastRenderedPageBreak/>
        <w:t>Referee: 2</w:t>
      </w:r>
    </w:p>
    <w:p w14:paraId="6667EFEB" w14:textId="77777777" w:rsidR="00861B9F" w:rsidRDefault="00861B9F" w:rsidP="00861B9F"/>
    <w:p w14:paraId="3C6BFF8F" w14:textId="77777777" w:rsidR="00861B9F" w:rsidRDefault="00861B9F" w:rsidP="00861B9F">
      <w:r>
        <w:t>Comments to the Author</w:t>
      </w:r>
    </w:p>
    <w:p w14:paraId="1637EE17" w14:textId="77777777" w:rsidR="00861B9F" w:rsidRDefault="00861B9F" w:rsidP="00861B9F">
      <w:r>
        <w:t>Comments for Stress-Testing Survey-to-Survey Imputation: Understanding When Poverty Predictions can fail.</w:t>
      </w:r>
    </w:p>
    <w:p w14:paraId="7AB5935C" w14:textId="77777777" w:rsidR="00861B9F" w:rsidRDefault="00861B9F" w:rsidP="00861B9F"/>
    <w:p w14:paraId="22E33AAB" w14:textId="77777777" w:rsidR="00861B9F" w:rsidRDefault="00861B9F" w:rsidP="00861B9F">
      <w:r>
        <w:t>The paper “Stress-Testing Survey-to-Survey Imputation: Understanding When Poverty Predictions Can Fail” (Corral et al., 2025) evaluates the reliability of Survey-to-Survey (S2S) imputation, a method used to estimate poverty when recent surveys lack comprehensive consumption data. Using large-scale simulations, the authors systematically test how violations of core assumptions—such as parameter stability, distributional normality, variable comparability, and survey-design consistency—affect poverty and inequality estimates. In addition, the paper examines the performance of alternative methodologies for estimating noise, handling biased samples, and addressing non-normal distributions and heteroskedasticity.</w:t>
      </w:r>
    </w:p>
    <w:p w14:paraId="155A27B9" w14:textId="77777777" w:rsidR="00861B9F" w:rsidRDefault="00861B9F" w:rsidP="00861B9F">
      <w:r>
        <w:t>Although the idea that S2S imputation requires model stability to produce reliable poverty estimates is not new (see Stifel &amp; Christiaensen, 2007; Newhouse et al., 2014), this study makes a significant contribution by quantifying the magnitude of bias that even small changes in the variance or constant term can introduce. It further compares commonly used estimation strategies—such as multiple imputation (MI) and the parametric bootstrap—and demonstrates how methodological choices can affect bias and uncertainty in poverty estimates. The paper also highlights the clear limitations and risks associated with Predictive Mean Matching (PMM), which has been widely applied in practice. Together, these insights provide valuable guidance for practitioners in selecting and interpreting S2S methodologies for poverty measurement.</w:t>
      </w:r>
    </w:p>
    <w:p w14:paraId="65A7B313" w14:textId="621ADEC8" w:rsidR="00861B9F" w:rsidRDefault="00861B9F" w:rsidP="00861B9F">
      <w:r w:rsidRPr="00861B9F">
        <w:rPr>
          <w:color w:val="45B0E1" w:themeColor="accent1" w:themeTint="99"/>
        </w:rPr>
        <w:t>Thanks!</w:t>
      </w:r>
    </w:p>
    <w:p w14:paraId="3EB293CA" w14:textId="77777777" w:rsidR="00861B9F" w:rsidRDefault="00861B9F" w:rsidP="00861B9F">
      <w:r>
        <w:t>There are a few comments, clarifications, and suggestions to improve the quality of this paper further.</w:t>
      </w:r>
    </w:p>
    <w:p w14:paraId="63DC83F9" w14:textId="77777777" w:rsidR="00861B9F" w:rsidRDefault="00861B9F" w:rsidP="00861B9F"/>
    <w:p w14:paraId="62589BE8" w14:textId="3BE17E6A" w:rsidR="00861B9F" w:rsidRDefault="00861B9F" w:rsidP="00861B9F">
      <w:r>
        <w:t>1. One of the key strengths of this paper lies in its effort to quantify the impact of methodological choices and model instability through a carefully designed simulation framework. However, it remains unclear to what extent these findings can be generalized. How frequently do the core assumptions of the S2S framework fail in practice, leading to biased poverty estimates? If such violations are rare, the practical relevance of these results may be limited.</w:t>
      </w:r>
    </w:p>
    <w:p w14:paraId="43AC7FE4" w14:textId="390EE8B9" w:rsidR="00435F44" w:rsidRPr="00435F44" w:rsidRDefault="00435F44" w:rsidP="00861B9F">
      <w:pPr>
        <w:rPr>
          <w:color w:val="45B0E1" w:themeColor="accent1" w:themeTint="99"/>
        </w:rPr>
      </w:pPr>
      <w:r>
        <w:rPr>
          <w:color w:val="45B0E1" w:themeColor="accent1" w:themeTint="99"/>
        </w:rPr>
        <w:t>It is hard to determine how common it is. However, any type of imputation with a shock in between is bound to have problems in prediction. Households will accumulate assets during good times but will lag in selling these. During good times they may also accumulate education, but during bad times this will not be lost. Employment may turn during a shock, but it also does so with a lag. As also noted in the paper, many covariates may suffer from omitted variable bias, so during a shock it is likely that many models will fail.</w:t>
      </w:r>
    </w:p>
    <w:p w14:paraId="7C61FCA1" w14:textId="77777777" w:rsidR="00861B9F" w:rsidRDefault="00861B9F" w:rsidP="00861B9F">
      <w:r>
        <w:t xml:space="preserve">For example, the simulation in Section 4.5.3—where the inclusion of egg consumption introduces bias in poverty estimates—raises the question of how common such scenarios are. In this setup, a </w:t>
      </w:r>
      <w:r>
        <w:lastRenderedPageBreak/>
        <w:t>positive shock improves household welfare (</w:t>
      </w:r>
      <w:proofErr w:type="gramStart"/>
      <w:r>
        <w:t>mean</w:t>
      </w:r>
      <w:proofErr w:type="gramEnd"/>
      <w:r>
        <w:t xml:space="preserve"> log expenditure, ln y, rises from 3.98 to 4.03 as the mean shock declines from 0.4 to 0.2), yet the share of households consuming eggs falls from 0.30 to 0.28. Consequently, the model predicts a higher poverty rate despite an actual improvement in welfare.</w:t>
      </w:r>
    </w:p>
    <w:p w14:paraId="56259529" w14:textId="77777777" w:rsidR="00861B9F" w:rsidRDefault="00861B9F" w:rsidP="00861B9F">
      <w:r>
        <w:t>In this example, eggs behave as an inferior good: as total expenditure increases, consumption declines. Yet most goods are normal goods—their consumption rises with income. Since inferior goods are relatively uncommon, the case demonstrated in Section 4.5.3 might not occur so frequently. Also, even if it occurs, if they compare trends of other items with the egg, practitioners could likely recognize that this item is a special case and avoid using it to proxy an unobservable and omitted shock variable.</w:t>
      </w:r>
    </w:p>
    <w:p w14:paraId="591FAC06" w14:textId="263BDA70" w:rsidR="0015438E" w:rsidRPr="0015438E" w:rsidRDefault="0015438E" w:rsidP="0015438E">
      <w:pPr>
        <w:rPr>
          <w:color w:val="45B0E1" w:themeColor="accent1" w:themeTint="99"/>
        </w:rPr>
      </w:pPr>
      <w:r w:rsidRPr="0015438E">
        <w:rPr>
          <w:color w:val="45B0E1" w:themeColor="accent1" w:themeTint="99"/>
        </w:rPr>
        <w:t xml:space="preserve">The example in Section 4.5.3 does not rely on eggs being an inferior good, nor does the simulation assert or require that household incomes causally reduce egg consumption. In the data-generating process, egg purchases and total expenditure remain positively correlated, consistent with a normal good. The key mechanism instead operates through the correlation between the omitted shock (e.g., conflict) and the probability of purchasing eggs. Conflict is negatively correlated with the decision to buy eggs, but the </w:t>
      </w:r>
      <w:r>
        <w:rPr>
          <w:color w:val="45B0E1" w:themeColor="accent1" w:themeTint="99"/>
        </w:rPr>
        <w:t xml:space="preserve">decision </w:t>
      </w:r>
      <w:r w:rsidRPr="0015438E">
        <w:rPr>
          <w:color w:val="45B0E1" w:themeColor="accent1" w:themeTint="99"/>
        </w:rPr>
        <w:t>itself is also influenced by multiple external factors captured in x. When these factors change over time—even as average welfare rises—the share of households purchasing eggs may move in either direction independently of welfare trends. This is consistent with well-documented empirical patterns: supply-side disruptions (avian influenza outbreaks, changes in feed prices), market access constraints, local mobility restrictions, or short-term availability shocks can all reduce observed consumption of specific items despite rising incomes.</w:t>
      </w:r>
    </w:p>
    <w:p w14:paraId="7AD83CA7" w14:textId="17BA5BA3" w:rsidR="00861B9F" w:rsidRPr="0015438E" w:rsidRDefault="0015438E" w:rsidP="0015438E">
      <w:pPr>
        <w:rPr>
          <w:color w:val="45B0E1" w:themeColor="accent1" w:themeTint="99"/>
        </w:rPr>
      </w:pPr>
      <w:r w:rsidRPr="0015438E">
        <w:rPr>
          <w:color w:val="45B0E1" w:themeColor="accent1" w:themeTint="99"/>
        </w:rPr>
        <w:t>The purpose of the example is therefore not to illustrate an inferior good but to demonstrate how a variable</w:t>
      </w:r>
      <w:r w:rsidR="00E63F1E">
        <w:rPr>
          <w:color w:val="45B0E1" w:themeColor="accent1" w:themeTint="99"/>
        </w:rPr>
        <w:t xml:space="preserve"> that is often recommended and included in these models because it can help capture the shock may fail. </w:t>
      </w:r>
      <w:r w:rsidRPr="0015438E">
        <w:rPr>
          <w:color w:val="45B0E1" w:themeColor="accent1" w:themeTint="99"/>
        </w:rPr>
        <w:t xml:space="preserve">Practitioners cannot reliably detect such </w:t>
      </w:r>
      <w:r w:rsidR="00E63F1E">
        <w:rPr>
          <w:color w:val="45B0E1" w:themeColor="accent1" w:themeTint="99"/>
        </w:rPr>
        <w:t>a problem</w:t>
      </w:r>
      <w:r w:rsidRPr="0015438E">
        <w:rPr>
          <w:color w:val="45B0E1" w:themeColor="accent1" w:themeTint="99"/>
        </w:rPr>
        <w:t xml:space="preserve"> ex ante, and comparing trends across items does not necessarily reveal the problem if multiple goods are simultaneously affected by the same omitted shocks. We have clarified this point in the revised manuscript to underscore that the central issue is model instability due to omitted-variable dynamics.</w:t>
      </w:r>
    </w:p>
    <w:p w14:paraId="549BCF0C" w14:textId="77777777" w:rsidR="00861B9F" w:rsidRDefault="00861B9F" w:rsidP="00861B9F">
      <w:r>
        <w:t xml:space="preserve">Empirical evidence from multiple studies—such as Stifel and Christiaensen (2007), Christiaensen et al. (2012), </w:t>
      </w:r>
      <w:proofErr w:type="spellStart"/>
      <w:r>
        <w:t>Douidich</w:t>
      </w:r>
      <w:proofErr w:type="spellEnd"/>
      <w:r>
        <w:t xml:space="preserve"> et al. (2013), and Yoshida et al. (2022)—shows that S2S models can closely replicate direct survey-based poverty estimates. More recently, Dang et al. (2025) demonstrate that, even under a randomized experimental design, an S2S model trained on pre-pandemic data accurately predicted post-pandemic poverty rates. These studies suggest that violations of core assumptions may not occur frequently, implying that concerns about model instability could be less critical in most practical applications.</w:t>
      </w:r>
    </w:p>
    <w:p w14:paraId="62FF9CDE" w14:textId="7026E226" w:rsidR="00981075" w:rsidRPr="00981075" w:rsidRDefault="00981075" w:rsidP="00861B9F">
      <w:pPr>
        <w:rPr>
          <w:color w:val="45B0E1" w:themeColor="accent1" w:themeTint="99"/>
        </w:rPr>
      </w:pPr>
      <w:r w:rsidRPr="00981075">
        <w:rPr>
          <w:color w:val="45B0E1" w:themeColor="accent1" w:themeTint="99"/>
        </w:rPr>
        <w:t>The point is that this issue arises specifically when a shock occurs as noted in the draft.</w:t>
      </w:r>
    </w:p>
    <w:p w14:paraId="7862ED47" w14:textId="77777777" w:rsidR="00861B9F" w:rsidRDefault="00861B9F" w:rsidP="00861B9F"/>
    <w:p w14:paraId="0635A88B" w14:textId="77777777" w:rsidR="00861B9F" w:rsidRDefault="00861B9F" w:rsidP="00861B9F">
      <w:r>
        <w:t xml:space="preserve">Nevertheless, the likelihood of such problematic cases remains an open empirical question. Because the analysis in this paper relies on specific data-generating processes (DGPs), it is difficult to assess how often these risks materialize in real data. To enhance robustness and external validity, future research could complement the simulation analysis with empirical assessments using household survey data from multiple countries. Such evidence would help determine whether the </w:t>
      </w:r>
      <w:r>
        <w:lastRenderedPageBreak/>
        <w:t>patterns observed in the simulations persist in real-world settings where the true DGP and model structure are unknown.</w:t>
      </w:r>
    </w:p>
    <w:p w14:paraId="538F97C3" w14:textId="77777777" w:rsidR="00861B9F" w:rsidRDefault="00861B9F" w:rsidP="00861B9F"/>
    <w:p w14:paraId="46BE07AE" w14:textId="77777777" w:rsidR="00861B9F" w:rsidRDefault="00861B9F" w:rsidP="00861B9F">
      <w:r>
        <w:t xml:space="preserve">2. This paper suggests that S2S fails if the model stability is violated, but is this true? Even if one parameter changes over time, the changes in other parameters can offset it, and as a result, a model trained in one round of survey can predict poverty rates accurately in later rounds. An empirical assessment </w:t>
      </w:r>
      <w:proofErr w:type="gramStart"/>
      <w:r>
        <w:t>on</w:t>
      </w:r>
      <w:proofErr w:type="gramEnd"/>
      <w:r>
        <w:t xml:space="preserve"> this is shown in Yoshida et al. 2022 (Table 5). Even though the percentage of stable coefficients is less than 70 percent, the model can predict poverty rates well in the testing data. This does not reduce the value of the analysis in this paper, but it will be useful to add caveats when it discusses the relationship between the </w:t>
      </w:r>
      <w:proofErr w:type="gramStart"/>
      <w:r>
        <w:t>model stability</w:t>
      </w:r>
      <w:proofErr w:type="gramEnd"/>
      <w:r>
        <w:t xml:space="preserve"> and the accuracy of the S2S.</w:t>
      </w:r>
    </w:p>
    <w:p w14:paraId="13F1AAE1" w14:textId="070A4B33" w:rsidR="00375A81" w:rsidRPr="00B575E3" w:rsidRDefault="00375A81" w:rsidP="00861B9F">
      <w:pPr>
        <w:rPr>
          <w:color w:val="45B0E1" w:themeColor="accent1" w:themeTint="99"/>
        </w:rPr>
      </w:pPr>
      <w:r w:rsidRPr="00B575E3">
        <w:rPr>
          <w:color w:val="45B0E1" w:themeColor="accent1" w:themeTint="99"/>
        </w:rPr>
        <w:t xml:space="preserve">Thanks! </w:t>
      </w:r>
      <w:r w:rsidR="00B575E3" w:rsidRPr="00B575E3">
        <w:rPr>
          <w:color w:val="45B0E1" w:themeColor="accent1" w:themeTint="99"/>
        </w:rPr>
        <w:t xml:space="preserve">These studies fail to indicate how many models </w:t>
      </w:r>
      <w:proofErr w:type="gramStart"/>
      <w:r w:rsidR="00B575E3" w:rsidRPr="00B575E3">
        <w:rPr>
          <w:color w:val="45B0E1" w:themeColor="accent1" w:themeTint="99"/>
        </w:rPr>
        <w:t>were fit</w:t>
      </w:r>
      <w:proofErr w:type="gramEnd"/>
      <w:r w:rsidR="00B575E3" w:rsidRPr="00B575E3">
        <w:rPr>
          <w:color w:val="45B0E1" w:themeColor="accent1" w:themeTint="99"/>
        </w:rPr>
        <w:t xml:space="preserve"> until the right one was obtained. In upcoming </w:t>
      </w:r>
      <w:proofErr w:type="gramStart"/>
      <w:r w:rsidR="00B575E3" w:rsidRPr="00B575E3">
        <w:rPr>
          <w:color w:val="45B0E1" w:themeColor="accent1" w:themeTint="99"/>
        </w:rPr>
        <w:t>work</w:t>
      </w:r>
      <w:proofErr w:type="gramEnd"/>
      <w:r w:rsidR="00B575E3" w:rsidRPr="00B575E3">
        <w:rPr>
          <w:color w:val="45B0E1" w:themeColor="accent1" w:themeTint="99"/>
        </w:rPr>
        <w:t xml:space="preserve"> we highlight how these methods fail to predict changes in poverty in </w:t>
      </w:r>
      <w:proofErr w:type="gramStart"/>
      <w:r w:rsidR="00B575E3" w:rsidRPr="00B575E3">
        <w:rPr>
          <w:color w:val="45B0E1" w:themeColor="accent1" w:themeTint="99"/>
        </w:rPr>
        <w:t>the Peru</w:t>
      </w:r>
      <w:proofErr w:type="gramEnd"/>
      <w:r w:rsidR="00B575E3" w:rsidRPr="00B575E3">
        <w:rPr>
          <w:color w:val="45B0E1" w:themeColor="accent1" w:themeTint="99"/>
        </w:rPr>
        <w:t xml:space="preserve">. The simulations presented here are useful to illustrate how easy it is for these methods to fail. </w:t>
      </w:r>
    </w:p>
    <w:p w14:paraId="03397103" w14:textId="77777777" w:rsidR="00861B9F" w:rsidRDefault="00861B9F" w:rsidP="00861B9F"/>
    <w:p w14:paraId="4DB1288D" w14:textId="77777777" w:rsidR="00861B9F" w:rsidRDefault="00861B9F" w:rsidP="00861B9F">
      <w:r>
        <w:t>3. In this paper, comparisons of alternative methodologies in the paper rely primarily on point estimates of bias. For instance, Figure 5 reports the bias in the FGT₀ index under a two-fold DGP, but each value shown represents only a single point estimate. Even if these point estimates appear biased, the deviations may not be statistically significant once their sampling variability is considered. This concern is particularly relevant because the reported biases are extremely small in nearly all analyses. For example, Figure 5 indicates that all approaches exhibit biases below 0.06 percentage points. Given such small magnitudes, it is plausible that none of these biases would be statistically distinguishable from zero if standard errors were computed. Hence, while point estimates are informative descriptively, they may overstate the apparent differences in performance across methods unless statistical uncertainty is explicitly reported.</w:t>
      </w:r>
    </w:p>
    <w:p w14:paraId="50BFF7B2" w14:textId="2E6AB2D2" w:rsidR="00375A81" w:rsidRPr="00375A81" w:rsidRDefault="00375A81" w:rsidP="00861B9F">
      <w:pPr>
        <w:rPr>
          <w:color w:val="45B0E1" w:themeColor="accent1" w:themeTint="99"/>
        </w:rPr>
      </w:pPr>
      <w:r w:rsidRPr="00375A81">
        <w:rPr>
          <w:color w:val="45B0E1" w:themeColor="accent1" w:themeTint="99"/>
        </w:rPr>
        <w:t xml:space="preserve">Thanks! We’ll clarify in the text. The purpose of the figure is to illustrate that the clustered nature of the DGP has little impact on the bias of the estimates when ignoring the nested nature of the DGP. </w:t>
      </w:r>
    </w:p>
    <w:p w14:paraId="206D865D" w14:textId="77777777" w:rsidR="00861B9F" w:rsidRDefault="00861B9F" w:rsidP="00861B9F"/>
    <w:p w14:paraId="24C85FCD" w14:textId="77777777" w:rsidR="00861B9F" w:rsidRDefault="00861B9F" w:rsidP="00861B9F">
      <w:r>
        <w:t>4. Section 4.3 would benefit from additional clarification to make the argument clearer. First, the definitions and interpretations of empirical MSE and average estimated MSE should be stated explicitly. It would also help to specify that “BLUP” refers to the variance estimated using the parametric bootstrap approach, following the small-area estimation literature.</w:t>
      </w:r>
    </w:p>
    <w:p w14:paraId="795C7196" w14:textId="3F209256" w:rsidR="00375A81" w:rsidRPr="00375A81" w:rsidRDefault="00375A81" w:rsidP="00861B9F">
      <w:pPr>
        <w:rPr>
          <w:color w:val="45B0E1" w:themeColor="accent1" w:themeTint="99"/>
        </w:rPr>
      </w:pPr>
      <w:r w:rsidRPr="00375A81">
        <w:rPr>
          <w:color w:val="45B0E1" w:themeColor="accent1" w:themeTint="99"/>
        </w:rPr>
        <w:t xml:space="preserve">The MSE is estimated </w:t>
      </w:r>
      <w:proofErr w:type="gramStart"/>
      <w:r w:rsidRPr="00375A81">
        <w:rPr>
          <w:color w:val="45B0E1" w:themeColor="accent1" w:themeTint="99"/>
        </w:rPr>
        <w:t>following</w:t>
      </w:r>
      <w:proofErr w:type="gramEnd"/>
      <w:r w:rsidRPr="00375A81">
        <w:rPr>
          <w:color w:val="45B0E1" w:themeColor="accent1" w:themeTint="99"/>
        </w:rPr>
        <w:t xml:space="preserve"> standard statistical literature. The parametric bootstrap yields an estimate of the MSE. What figure 8 illustrates is </w:t>
      </w:r>
      <w:proofErr w:type="gramStart"/>
      <w:r w:rsidRPr="00375A81">
        <w:rPr>
          <w:color w:val="45B0E1" w:themeColor="accent1" w:themeTint="99"/>
        </w:rPr>
        <w:t>that in reality, the</w:t>
      </w:r>
      <w:proofErr w:type="gramEnd"/>
      <w:r w:rsidRPr="00375A81">
        <w:rPr>
          <w:color w:val="45B0E1" w:themeColor="accent1" w:themeTint="99"/>
        </w:rPr>
        <w:t xml:space="preserve"> typical noise measure used in MI as well as the noise estimated via a parametric bootstrap yield an upward biased estimate of the noise, in this case noted by the empirical MSE.</w:t>
      </w:r>
    </w:p>
    <w:p w14:paraId="360FEFEC" w14:textId="77777777" w:rsidR="00861B9F" w:rsidRDefault="00861B9F" w:rsidP="00861B9F"/>
    <w:p w14:paraId="1C741045" w14:textId="77777777" w:rsidR="00861B9F" w:rsidRDefault="00861B9F" w:rsidP="00861B9F">
      <w:r>
        <w:t xml:space="preserve">The results suggest that MSEs obtained under the MI framework differ more from the true (empirical) MSE than those estimated by the parametric bootstrap. However, the last sentence of Section 4.3 states that “the variance estimated following Rubin’s rules will yield a downward-biased estimate of </w:t>
      </w:r>
      <w:r>
        <w:lastRenderedPageBreak/>
        <w:t>the true noise,” which seems inconsistent. A short explanation would clarify under which conditions Rubin’s rules underestimate or overestimate noise.</w:t>
      </w:r>
    </w:p>
    <w:p w14:paraId="5BDF0317" w14:textId="130DA065" w:rsidR="00375A81" w:rsidRPr="00375A81" w:rsidRDefault="00375A81" w:rsidP="00861B9F">
      <w:pPr>
        <w:rPr>
          <w:color w:val="45B0E1" w:themeColor="accent1" w:themeTint="99"/>
        </w:rPr>
      </w:pPr>
      <w:r w:rsidRPr="00375A81">
        <w:rPr>
          <w:color w:val="45B0E1" w:themeColor="accent1" w:themeTint="99"/>
        </w:rPr>
        <w:t>Thanks!</w:t>
      </w:r>
      <w:r>
        <w:rPr>
          <w:color w:val="45B0E1" w:themeColor="accent1" w:themeTint="99"/>
        </w:rPr>
        <w:t xml:space="preserve"> We will clarify in the text this issue. The problem arises because the MSE is the sum of the variance and the squared bias. Thus, if the estimates are biased, the second term will be larger and will underestimate the MSE.</w:t>
      </w:r>
    </w:p>
    <w:p w14:paraId="2BA0F13F" w14:textId="77777777" w:rsidR="00861B9F" w:rsidRDefault="00861B9F" w:rsidP="00861B9F"/>
    <w:p w14:paraId="5853D0FB" w14:textId="77777777" w:rsidR="00861B9F" w:rsidRDefault="00861B9F" w:rsidP="00861B9F">
      <w:r>
        <w:t>The paper rightly observes that the average estimated MSEs from both MI and BLUP are systematically larger than the empirical MSE because they are computed from smaller samples. In that case, the difference should not be interpreted as a bias—so MI or BLUP do not truly “overestimate” MSE. Instead, the result reflects a scale difference between population- and sample-based variances, which is not problematic.</w:t>
      </w:r>
    </w:p>
    <w:p w14:paraId="228517E2" w14:textId="77777777" w:rsidR="00861B9F" w:rsidRDefault="00861B9F" w:rsidP="00861B9F"/>
    <w:p w14:paraId="66F205C0" w14:textId="77777777" w:rsidR="00861B9F" w:rsidRDefault="00861B9F" w:rsidP="00861B9F">
      <w:r>
        <w:t xml:space="preserve">Finally, MI and parametric </w:t>
      </w:r>
      <w:proofErr w:type="gramStart"/>
      <w:r>
        <w:t>bootstrap</w:t>
      </w:r>
      <w:proofErr w:type="gramEnd"/>
      <w:r>
        <w:t xml:space="preserve"> inherently differ because MI incorporates the uncertainty of coefficient and variance estimates, whereas the parametric bootstrap treats them as fixed. The latter is appropriate when OLS estimates are consistent and the sample is large, as parameter uncertainty vanishes asymptotically. When sample sizes are limited, however, the parametric bootstrap may underestimate total MSE. Hence, MI-based MSEs are expected to be larger, but this does not imply superiority of one approach over the other. Including a short theoretical discussion on the asymptotic and small-sample properties of MI and the parametric bootstrap would help readers interpret the simulation results more effectively.</w:t>
      </w:r>
    </w:p>
    <w:p w14:paraId="6DD38FFB" w14:textId="7ABA7C47" w:rsidR="00861B9F" w:rsidRDefault="00590361" w:rsidP="00861B9F">
      <w:r>
        <w:rPr>
          <w:color w:val="45B0E1" w:themeColor="accent1" w:themeTint="99"/>
        </w:rPr>
        <w:t xml:space="preserve">Under the parametric bootstrap replicates the betas do vary. The survey’s betas are taken as the truth and are used to create multiple census data, where across the census data the only thing that varies </w:t>
      </w:r>
      <w:proofErr w:type="gramStart"/>
      <w:r w:rsidR="007C6A94">
        <w:rPr>
          <w:color w:val="45B0E1" w:themeColor="accent1" w:themeTint="99"/>
        </w:rPr>
        <w:t>are</w:t>
      </w:r>
      <w:proofErr w:type="gramEnd"/>
      <w:r w:rsidR="007C6A94">
        <w:rPr>
          <w:color w:val="45B0E1" w:themeColor="accent1" w:themeTint="99"/>
        </w:rPr>
        <w:t xml:space="preserve"> the simulated errors, but these still come from the </w:t>
      </w:r>
      <w:proofErr w:type="spellStart"/>
      <w:r w:rsidR="007C6A94">
        <w:rPr>
          <w:color w:val="45B0E1" w:themeColor="accent1" w:themeTint="99"/>
        </w:rPr>
        <w:t>sigmas</w:t>
      </w:r>
      <w:proofErr w:type="spellEnd"/>
      <w:r w:rsidR="007C6A94">
        <w:rPr>
          <w:color w:val="45B0E1" w:themeColor="accent1" w:themeTint="99"/>
        </w:rPr>
        <w:t xml:space="preserve"> estimated in the survey. Across each of these censuses, the survey sample is </w:t>
      </w:r>
      <w:proofErr w:type="gramStart"/>
      <w:r w:rsidR="007C6A94">
        <w:rPr>
          <w:color w:val="45B0E1" w:themeColor="accent1" w:themeTint="99"/>
        </w:rPr>
        <w:t>extracted</w:t>
      </w:r>
      <w:proofErr w:type="gramEnd"/>
      <w:r w:rsidR="007C6A94">
        <w:rPr>
          <w:color w:val="45B0E1" w:themeColor="accent1" w:themeTint="99"/>
        </w:rPr>
        <w:t xml:space="preserve"> and the model is </w:t>
      </w:r>
      <w:proofErr w:type="gramStart"/>
      <w:r w:rsidR="007C6A94">
        <w:rPr>
          <w:color w:val="45B0E1" w:themeColor="accent1" w:themeTint="99"/>
        </w:rPr>
        <w:t>refit</w:t>
      </w:r>
      <w:proofErr w:type="gramEnd"/>
      <w:r w:rsidR="007C6A94">
        <w:rPr>
          <w:color w:val="45B0E1" w:themeColor="accent1" w:themeTint="99"/>
        </w:rPr>
        <w:t xml:space="preserve">. This step leads to a variation in the parameters across each of the bootstrap estimates. Thus, the betas and </w:t>
      </w:r>
      <w:proofErr w:type="spellStart"/>
      <w:r w:rsidR="007C6A94">
        <w:rPr>
          <w:color w:val="45B0E1" w:themeColor="accent1" w:themeTint="99"/>
        </w:rPr>
        <w:t>sigmas</w:t>
      </w:r>
      <w:proofErr w:type="spellEnd"/>
      <w:r w:rsidR="007C6A94">
        <w:rPr>
          <w:color w:val="45B0E1" w:themeColor="accent1" w:themeTint="99"/>
        </w:rPr>
        <w:t xml:space="preserve"> across replicates vary. What the simulation undertaken in the paper is meant to show is how both methods </w:t>
      </w:r>
      <w:proofErr w:type="gramStart"/>
      <w:r w:rsidR="007C6A94">
        <w:rPr>
          <w:color w:val="45B0E1" w:themeColor="accent1" w:themeTint="99"/>
        </w:rPr>
        <w:t>actually lead</w:t>
      </w:r>
      <w:proofErr w:type="gramEnd"/>
      <w:r w:rsidR="007C6A94">
        <w:rPr>
          <w:color w:val="45B0E1" w:themeColor="accent1" w:themeTint="99"/>
        </w:rPr>
        <w:t xml:space="preserve"> to an overestimation of the imputation’s true MSE as approximated by the empirical MSE. We have clarified this further in the text. </w:t>
      </w:r>
    </w:p>
    <w:p w14:paraId="68478C56" w14:textId="77777777" w:rsidR="00861B9F" w:rsidRPr="007C6A94" w:rsidRDefault="00861B9F" w:rsidP="00861B9F">
      <w:pPr>
        <w:rPr>
          <w:color w:val="45B0E1" w:themeColor="accent1" w:themeTint="99"/>
        </w:rPr>
      </w:pPr>
      <w:r>
        <w:t>5. The paper shows that using the empirical distribution of residuals helps reduce bias in poverty estimates, particularly when the residuals deviate from normality. However, there is no guarantee that the residual distribution observed in the base period will remain the same in subsequent periods. If the true residual distribution changes over time, applying the empirical distribution from the training data could introduce bias. This raises an important methodological question: when the shape of the residual distribution in the target period is unknown, is it appropriate to use the empirical residual distribution from the base survey for imputation?</w:t>
      </w:r>
    </w:p>
    <w:p w14:paraId="041D8DF0" w14:textId="6D6DD632" w:rsidR="007C6A94" w:rsidRPr="007C6A94" w:rsidRDefault="007C6A94" w:rsidP="00861B9F">
      <w:pPr>
        <w:rPr>
          <w:color w:val="45B0E1" w:themeColor="accent1" w:themeTint="99"/>
        </w:rPr>
      </w:pPr>
      <w:r w:rsidRPr="007C6A94">
        <w:rPr>
          <w:color w:val="45B0E1" w:themeColor="accent1" w:themeTint="99"/>
        </w:rPr>
        <w:t xml:space="preserve">This is </w:t>
      </w:r>
      <w:proofErr w:type="gramStart"/>
      <w:r w:rsidRPr="007C6A94">
        <w:rPr>
          <w:color w:val="45B0E1" w:themeColor="accent1" w:themeTint="99"/>
        </w:rPr>
        <w:t>accurate, and</w:t>
      </w:r>
      <w:proofErr w:type="gramEnd"/>
      <w:r w:rsidRPr="007C6A94">
        <w:rPr>
          <w:color w:val="45B0E1" w:themeColor="accent1" w:themeTint="99"/>
        </w:rPr>
        <w:t xml:space="preserve"> presents another reason as to why applying these methods over time is problematic and can lead to wrong predictions. The same thing can be said about assuming normally distributed errors as is commonly done in </w:t>
      </w:r>
      <w:proofErr w:type="gramStart"/>
      <w:r w:rsidRPr="007C6A94">
        <w:rPr>
          <w:color w:val="45B0E1" w:themeColor="accent1" w:themeTint="99"/>
        </w:rPr>
        <w:t>the literature</w:t>
      </w:r>
      <w:proofErr w:type="gramEnd"/>
      <w:r w:rsidRPr="007C6A94">
        <w:rPr>
          <w:color w:val="45B0E1" w:themeColor="accent1" w:themeTint="99"/>
        </w:rPr>
        <w:t>. We will add this to the manuscript.</w:t>
      </w:r>
    </w:p>
    <w:p w14:paraId="1BDFBEB3" w14:textId="77777777" w:rsidR="00861B9F" w:rsidRDefault="00861B9F" w:rsidP="00861B9F"/>
    <w:p w14:paraId="2F7F3153" w14:textId="71A38B60" w:rsidR="00861B9F" w:rsidRDefault="00861B9F" w:rsidP="00861B9F">
      <w:r>
        <w:lastRenderedPageBreak/>
        <w:t xml:space="preserve">Given this uncertainty, relying on empirical distribution might not always be the most robust choice. Since the normal distribution serves as an asymptotic approximation for many residual processes under standard regularity conditions, assuming normality could, in some cases, be a safer and more generalizable option. In other words, while using empirical residuals can improve fit within the same period, its validity across time depends critically on the stability of the error </w:t>
      </w:r>
      <w:proofErr w:type="gramStart"/>
      <w:r>
        <w:t>distribution—</w:t>
      </w:r>
      <w:proofErr w:type="gramEnd"/>
      <w:r>
        <w:t>something that cannot be verified when welfare data are unavailable in the target survey. In this sense also, it will be useful to include some empirical assessments on this issue.</w:t>
      </w:r>
    </w:p>
    <w:p w14:paraId="74321543" w14:textId="1EF3495C" w:rsidR="00435F44" w:rsidRPr="00435F44" w:rsidRDefault="00435F44" w:rsidP="00861B9F">
      <w:pPr>
        <w:rPr>
          <w:color w:val="45B0E1" w:themeColor="accent1" w:themeTint="99"/>
        </w:rPr>
      </w:pPr>
      <w:r w:rsidRPr="00435F44">
        <w:rPr>
          <w:color w:val="45B0E1" w:themeColor="accent1" w:themeTint="99"/>
        </w:rPr>
        <w:t>Thanks! We will highlight in the simulations where the errors are simulated as non-normal how the assumption of normality will lead to biased estimates, even if nothing else changes as in the simulations presented.</w:t>
      </w:r>
    </w:p>
    <w:sectPr w:rsidR="00435F44" w:rsidRPr="00435F44">
      <w:footerReference w:type="even" r:id="rId6"/>
      <w:footerReference w:type="default" r:id="rId7"/>
      <w:footerReference w:type="firs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7DA04" w14:textId="77777777" w:rsidR="00E70BC0" w:rsidRDefault="00E70BC0" w:rsidP="00981075">
      <w:pPr>
        <w:spacing w:before="0" w:after="0" w:line="240" w:lineRule="auto"/>
      </w:pPr>
      <w:r>
        <w:separator/>
      </w:r>
    </w:p>
  </w:endnote>
  <w:endnote w:type="continuationSeparator" w:id="0">
    <w:p w14:paraId="7E8CF9A6" w14:textId="77777777" w:rsidR="00E70BC0" w:rsidRDefault="00E70BC0" w:rsidP="0098107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3C367" w14:textId="29BF2F30" w:rsidR="00981075" w:rsidRDefault="00981075">
    <w:pPr>
      <w:pStyle w:val="Footer"/>
    </w:pPr>
    <w:r>
      <w:rPr>
        <w:noProof/>
      </w:rPr>
      <mc:AlternateContent>
        <mc:Choice Requires="wps">
          <w:drawing>
            <wp:anchor distT="0" distB="0" distL="0" distR="0" simplePos="0" relativeHeight="251659264" behindDoc="0" locked="0" layoutInCell="1" allowOverlap="1" wp14:anchorId="2682125D" wp14:editId="0D02D30F">
              <wp:simplePos x="635" y="635"/>
              <wp:positionH relativeFrom="page">
                <wp:align>right</wp:align>
              </wp:positionH>
              <wp:positionV relativeFrom="page">
                <wp:align>bottom</wp:align>
              </wp:positionV>
              <wp:extent cx="1170305" cy="433705"/>
              <wp:effectExtent l="0" t="0" r="0" b="0"/>
              <wp:wrapNone/>
              <wp:docPr id="1579711053"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433705"/>
                      </a:xfrm>
                      <a:prstGeom prst="rect">
                        <a:avLst/>
                      </a:prstGeom>
                      <a:noFill/>
                      <a:ln>
                        <a:noFill/>
                      </a:ln>
                    </wps:spPr>
                    <wps:txbx>
                      <w:txbxContent>
                        <w:p w14:paraId="7A7E7ABE" w14:textId="6137D3FE"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682125D" id="_x0000_t202" coordsize="21600,21600" o:spt="202" path="m,l,21600r21600,l21600,xe">
              <v:stroke joinstyle="miter"/>
              <v:path gradientshapeok="t" o:connecttype="rect"/>
            </v:shapetype>
            <v:shape id="Text Box 2" o:spid="_x0000_s1026" type="#_x0000_t202" alt="Official Use Only" style="position:absolute;left:0;text-align:left;margin-left:40.95pt;margin-top:0;width:92.15pt;height:34.1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" filled="f" stroked="f">
              <v:fill o:detectmouseclick="t"/>
              <v:textbox style="mso-fit-shape-to-text:t" inset="0,0,20pt,15pt">
                <w:txbxContent>
                  <w:p w14:paraId="7A7E7ABE" w14:textId="6137D3FE"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DE3AD" w14:textId="637FF423" w:rsidR="00981075" w:rsidRDefault="00981075">
    <w:pPr>
      <w:pStyle w:val="Footer"/>
    </w:pPr>
    <w:r>
      <w:rPr>
        <w:noProof/>
      </w:rPr>
      <mc:AlternateContent>
        <mc:Choice Requires="wps">
          <w:drawing>
            <wp:anchor distT="0" distB="0" distL="0" distR="0" simplePos="0" relativeHeight="251660288" behindDoc="0" locked="0" layoutInCell="1" allowOverlap="1" wp14:anchorId="3EC5C3D3" wp14:editId="1E7D24AD">
              <wp:simplePos x="914400" y="9429750"/>
              <wp:positionH relativeFrom="page">
                <wp:align>right</wp:align>
              </wp:positionH>
              <wp:positionV relativeFrom="page">
                <wp:align>bottom</wp:align>
              </wp:positionV>
              <wp:extent cx="1170305" cy="433705"/>
              <wp:effectExtent l="0" t="0" r="0" b="0"/>
              <wp:wrapNone/>
              <wp:docPr id="169145609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433705"/>
                      </a:xfrm>
                      <a:prstGeom prst="rect">
                        <a:avLst/>
                      </a:prstGeom>
                      <a:noFill/>
                      <a:ln>
                        <a:noFill/>
                      </a:ln>
                    </wps:spPr>
                    <wps:txbx>
                      <w:txbxContent>
                        <w:p w14:paraId="5C4D3E0A" w14:textId="1A51FB6C"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EC5C3D3" id="_x0000_t202" coordsize="21600,21600" o:spt="202" path="m,l,21600r21600,l21600,xe">
              <v:stroke joinstyle="miter"/>
              <v:path gradientshapeok="t" o:connecttype="rect"/>
            </v:shapetype>
            <v:shape id="Text Box 3" o:spid="_x0000_s1027" type="#_x0000_t202" alt="Official Use Only" style="position:absolute;left:0;text-align:left;margin-left:40.95pt;margin-top:0;width:92.15pt;height:34.1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" filled="f" stroked="f">
              <v:fill o:detectmouseclick="t"/>
              <v:textbox style="mso-fit-shape-to-text:t" inset="0,0,20pt,15pt">
                <w:txbxContent>
                  <w:p w14:paraId="5C4D3E0A" w14:textId="1A51FB6C"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FAF99" w14:textId="11D08CC4" w:rsidR="00981075" w:rsidRDefault="00981075">
    <w:pPr>
      <w:pStyle w:val="Footer"/>
    </w:pPr>
    <w:r>
      <w:rPr>
        <w:noProof/>
      </w:rPr>
      <mc:AlternateContent>
        <mc:Choice Requires="wps">
          <w:drawing>
            <wp:anchor distT="0" distB="0" distL="0" distR="0" simplePos="0" relativeHeight="251658240" behindDoc="0" locked="0" layoutInCell="1" allowOverlap="1" wp14:anchorId="08B4EE4F" wp14:editId="02B79D2D">
              <wp:simplePos x="635" y="635"/>
              <wp:positionH relativeFrom="page">
                <wp:align>right</wp:align>
              </wp:positionH>
              <wp:positionV relativeFrom="page">
                <wp:align>bottom</wp:align>
              </wp:positionV>
              <wp:extent cx="1170305" cy="433705"/>
              <wp:effectExtent l="0" t="0" r="0" b="0"/>
              <wp:wrapNone/>
              <wp:docPr id="949623909"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433705"/>
                      </a:xfrm>
                      <a:prstGeom prst="rect">
                        <a:avLst/>
                      </a:prstGeom>
                      <a:noFill/>
                      <a:ln>
                        <a:noFill/>
                      </a:ln>
                    </wps:spPr>
                    <wps:txbx>
                      <w:txbxContent>
                        <w:p w14:paraId="2D1A43FC" w14:textId="63AEF7E8"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8B4EE4F" id="_x0000_t202" coordsize="21600,21600" o:spt="202" path="m,l,21600r21600,l21600,xe">
              <v:stroke joinstyle="miter"/>
              <v:path gradientshapeok="t" o:connecttype="rect"/>
            </v:shapetype>
            <v:shape id="Text Box 1" o:spid="_x0000_s1028" type="#_x0000_t202" alt="Official Use Only" style="position:absolute;left:0;text-align:left;margin-left:40.95pt;margin-top:0;width:92.15pt;height:34.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" filled="f" stroked="f">
              <v:fill o:detectmouseclick="t"/>
              <v:textbox style="mso-fit-shape-to-text:t" inset="0,0,20pt,15pt">
                <w:txbxContent>
                  <w:p w14:paraId="2D1A43FC" w14:textId="63AEF7E8"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E3448" w14:textId="77777777" w:rsidR="00E70BC0" w:rsidRDefault="00E70BC0" w:rsidP="00981075">
      <w:pPr>
        <w:spacing w:before="0" w:after="0" w:line="240" w:lineRule="auto"/>
      </w:pPr>
      <w:r>
        <w:separator/>
      </w:r>
    </w:p>
  </w:footnote>
  <w:footnote w:type="continuationSeparator" w:id="0">
    <w:p w14:paraId="168855B2" w14:textId="77777777" w:rsidR="00E70BC0" w:rsidRDefault="00E70BC0" w:rsidP="00981075">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B9F"/>
    <w:rsid w:val="00050E82"/>
    <w:rsid w:val="00084D10"/>
    <w:rsid w:val="001320A1"/>
    <w:rsid w:val="0015438E"/>
    <w:rsid w:val="002008E5"/>
    <w:rsid w:val="002D024E"/>
    <w:rsid w:val="00375A81"/>
    <w:rsid w:val="00435F44"/>
    <w:rsid w:val="00520618"/>
    <w:rsid w:val="0053360B"/>
    <w:rsid w:val="00590361"/>
    <w:rsid w:val="007B4FE0"/>
    <w:rsid w:val="007C6A94"/>
    <w:rsid w:val="00861B9F"/>
    <w:rsid w:val="008A4FC1"/>
    <w:rsid w:val="008E58A8"/>
    <w:rsid w:val="008E602F"/>
    <w:rsid w:val="00981075"/>
    <w:rsid w:val="00A04CA6"/>
    <w:rsid w:val="00B575E3"/>
    <w:rsid w:val="00B7151C"/>
    <w:rsid w:val="00B91191"/>
    <w:rsid w:val="00C00681"/>
    <w:rsid w:val="00E63F1E"/>
    <w:rsid w:val="00E70BC0"/>
    <w:rsid w:val="00E72BB0"/>
    <w:rsid w:val="00E96BF9"/>
    <w:rsid w:val="00EB27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5D296"/>
  <w15:chartTrackingRefBased/>
  <w15:docId w15:val="{7DE77572-D016-4554-8A4D-1EC0CCD9A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4D10"/>
    <w:pPr>
      <w:spacing w:before="120" w:after="120"/>
      <w:jc w:val="both"/>
    </w:pPr>
  </w:style>
  <w:style w:type="paragraph" w:styleId="Heading1">
    <w:name w:val="heading 1"/>
    <w:basedOn w:val="Normal"/>
    <w:next w:val="Normal"/>
    <w:link w:val="Heading1Char"/>
    <w:uiPriority w:val="9"/>
    <w:qFormat/>
    <w:rsid w:val="00861B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1B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B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B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B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B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B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B9F"/>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B9F"/>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B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1B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B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B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B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B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B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B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B9F"/>
    <w:rPr>
      <w:rFonts w:eastAsiaTheme="majorEastAsia" w:cstheme="majorBidi"/>
      <w:color w:val="272727" w:themeColor="text1" w:themeTint="D8"/>
    </w:rPr>
  </w:style>
  <w:style w:type="paragraph" w:styleId="Title">
    <w:name w:val="Title"/>
    <w:basedOn w:val="Normal"/>
    <w:next w:val="Normal"/>
    <w:link w:val="TitleChar"/>
    <w:uiPriority w:val="10"/>
    <w:qFormat/>
    <w:rsid w:val="00861B9F"/>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B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B9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B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B9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1B9F"/>
    <w:rPr>
      <w:i/>
      <w:iCs/>
      <w:color w:val="404040" w:themeColor="text1" w:themeTint="BF"/>
    </w:rPr>
  </w:style>
  <w:style w:type="paragraph" w:styleId="ListParagraph">
    <w:name w:val="List Paragraph"/>
    <w:basedOn w:val="Normal"/>
    <w:uiPriority w:val="34"/>
    <w:qFormat/>
    <w:rsid w:val="00861B9F"/>
    <w:pPr>
      <w:ind w:left="720"/>
      <w:contextualSpacing/>
    </w:pPr>
  </w:style>
  <w:style w:type="character" w:styleId="IntenseEmphasis">
    <w:name w:val="Intense Emphasis"/>
    <w:basedOn w:val="DefaultParagraphFont"/>
    <w:uiPriority w:val="21"/>
    <w:qFormat/>
    <w:rsid w:val="00861B9F"/>
    <w:rPr>
      <w:i/>
      <w:iCs/>
      <w:color w:val="0F4761" w:themeColor="accent1" w:themeShade="BF"/>
    </w:rPr>
  </w:style>
  <w:style w:type="paragraph" w:styleId="IntenseQuote">
    <w:name w:val="Intense Quote"/>
    <w:basedOn w:val="Normal"/>
    <w:next w:val="Normal"/>
    <w:link w:val="IntenseQuoteChar"/>
    <w:uiPriority w:val="30"/>
    <w:qFormat/>
    <w:rsid w:val="00861B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B9F"/>
    <w:rPr>
      <w:i/>
      <w:iCs/>
      <w:color w:val="0F4761" w:themeColor="accent1" w:themeShade="BF"/>
    </w:rPr>
  </w:style>
  <w:style w:type="character" w:styleId="IntenseReference">
    <w:name w:val="Intense Reference"/>
    <w:basedOn w:val="DefaultParagraphFont"/>
    <w:uiPriority w:val="32"/>
    <w:qFormat/>
    <w:rsid w:val="00861B9F"/>
    <w:rPr>
      <w:b/>
      <w:bCs/>
      <w:smallCaps/>
      <w:color w:val="0F4761" w:themeColor="accent1" w:themeShade="BF"/>
      <w:spacing w:val="5"/>
    </w:rPr>
  </w:style>
  <w:style w:type="paragraph" w:styleId="Footer">
    <w:name w:val="footer"/>
    <w:basedOn w:val="Normal"/>
    <w:link w:val="FooterChar"/>
    <w:uiPriority w:val="99"/>
    <w:unhideWhenUsed/>
    <w:rsid w:val="00981075"/>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9810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7</Pages>
  <Words>2914</Words>
  <Characters>15357</Characters>
  <Application>Microsoft Office Word</Application>
  <DocSecurity>0</DocSecurity>
  <Lines>255</Lines>
  <Paragraphs>106</Paragraphs>
  <ScaleCrop>false</ScaleCrop>
  <HeadingPairs>
    <vt:vector size="2" baseType="variant">
      <vt:variant>
        <vt:lpstr>Title</vt:lpstr>
      </vt:variant>
      <vt:variant>
        <vt:i4>1</vt:i4>
      </vt:variant>
    </vt:vector>
  </HeadingPairs>
  <TitlesOfParts>
    <vt:vector size="1" baseType="lpstr">
      <vt:lpstr/>
    </vt:vector>
  </TitlesOfParts>
  <Company>WBG</Company>
  <LinksUpToDate>false</LinksUpToDate>
  <CharactersWithSpaces>18165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Andres Corral Rodas</dc:creator>
  <cp:keywords/>
  <dc:description/>
  <cp:lastModifiedBy>Paul Andres Corral Rodas</cp:lastModifiedBy>
  <cp:revision>3</cp:revision>
  <dcterms:created xsi:type="dcterms:W3CDTF">2025-12-10T07:39:00Z</dcterms:created>
  <dcterms:modified xsi:type="dcterms:W3CDTF">2025-12-10T14:51:00Z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389a1c65,5e287a4d,64d1925a</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2025-12-10T08:12:50Z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7ff0ce5b-0e96-494f-ad2e-ebd35c6f3e32</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