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6640E719" w14:textId="59F0137A" w:rsidR="009A42FE" w:rsidRDefault="00B110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84757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_Toc531884757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2EE9D9F" w14:textId="0E69C74A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8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9A42FE" w:rsidRPr="00A51DB8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_Toc531884758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721BA0B" w14:textId="382F2CFE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9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_Toc531884759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3EB3DAB" w14:textId="7A7EF246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0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_Toc531884760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52A9A4C2" w14:textId="7B0A5AD6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1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_Toc531884761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512285EF" w14:textId="2D1916B1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2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_Toc531884762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34790B66" w14:textId="4E390294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3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Procuras implementadas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_Toc531884763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22B71F46" w14:textId="227E003F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4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_Toc531884764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6378463" w14:textId="1A71DFC7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5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ILDS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_Toc531884765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5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ADEC080" w14:textId="68C67325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6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Procura alternativa – DDS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_Toc531884766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6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4E8BD5FA" w14:textId="3E8B4916" w:rsidR="009A42FE" w:rsidRDefault="00DB524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7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_Toc531884767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59CABD0" w14:textId="1A3D7184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8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_Toc531884768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46783C27" w14:textId="5C0E0FE8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9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_Toc531884769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0DA88C19" w14:textId="134EF2DE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0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_Toc531884770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16134C17" w14:textId="62724438" w:rsidR="009A42FE" w:rsidRDefault="00DB52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1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_Toc531884771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ABA4E42" w14:textId="0B52101D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Heading1"/>
        <w:rPr>
          <w:rFonts w:ascii="Times New Roman" w:hAnsi="Times New Roman" w:cs="Times New Roman"/>
        </w:rPr>
      </w:pPr>
      <w:bookmarkStart w:id="0" w:name="_Toc53188475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1" w:name="_Toc531884758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499F79D4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2" w:name="_Toc53188475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3" w:name="_Toc53188476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73976818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 xml:space="preserve">incluindo a verificação de restrições. </w:t>
      </w:r>
      <w:r w:rsidR="001868D8"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916A511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 Todos estes estados-filhos são devolvidos apenas após</w:t>
      </w:r>
      <w:r w:rsidR="008F28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validação das restrições</w:t>
      </w:r>
      <w:r w:rsidR="00427F75">
        <w:rPr>
          <w:rFonts w:ascii="Times New Roman" w:hAnsi="Times New Roman" w:cs="Times New Roman"/>
        </w:rPr>
        <w:t>, e todos eles respeitam todas as restrições</w:t>
      </w:r>
      <w:r>
        <w:rPr>
          <w:rFonts w:ascii="Times New Roman" w:hAnsi="Times New Roman" w:cs="Times New Roman"/>
        </w:rPr>
        <w:t>.</w:t>
      </w:r>
    </w:p>
    <w:p w14:paraId="3B0D2BA6" w14:textId="6C05C5EF" w:rsidR="0018063D" w:rsidRPr="000F6244" w:rsidRDefault="0018063D" w:rsidP="00B02C3A">
      <w:pPr>
        <w:pStyle w:val="Heading2"/>
        <w:rPr>
          <w:rFonts w:ascii="Times New Roman" w:hAnsi="Times New Roman" w:cs="Times New Roman"/>
        </w:rPr>
      </w:pPr>
      <w:bookmarkStart w:id="4" w:name="_Toc53188476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3A333E60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Heading2"/>
        <w:rPr>
          <w:rFonts w:ascii="Times New Roman" w:hAnsi="Times New Roman" w:cs="Times New Roman"/>
        </w:rPr>
      </w:pPr>
      <w:bookmarkStart w:id="5" w:name="_Toc531884762"/>
      <w:r w:rsidRPr="000F6244">
        <w:rPr>
          <w:rFonts w:ascii="Times New Roman" w:hAnsi="Times New Roman" w:cs="Times New Roman"/>
        </w:rPr>
        <w:t>Heurísticas</w:t>
      </w:r>
      <w:bookmarkEnd w:id="5"/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3D41F486" w14:textId="1A49966A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6" w:name="_Toc531884763"/>
      <w:r w:rsidRPr="000F6244">
        <w:rPr>
          <w:rFonts w:ascii="Times New Roman" w:hAnsi="Times New Roman" w:cs="Times New Roman"/>
        </w:rPr>
        <w:t>Procuras</w:t>
      </w:r>
      <w:r w:rsidR="00ED5538">
        <w:rPr>
          <w:rFonts w:ascii="Times New Roman" w:hAnsi="Times New Roman" w:cs="Times New Roman"/>
        </w:rPr>
        <w:t xml:space="preserve"> implementadas</w:t>
      </w:r>
      <w:bookmarkEnd w:id="6"/>
    </w:p>
    <w:p w14:paraId="264E9C7D" w14:textId="753DC3E0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7" w:name="_Toc531884764"/>
      <w:r w:rsidRPr="000F6244">
        <w:rPr>
          <w:rFonts w:ascii="Times New Roman" w:hAnsi="Times New Roman" w:cs="Times New Roman"/>
        </w:rPr>
        <w:t>Sondagem iterativa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9A42FE" w:rsidRDefault="00ED5538" w:rsidP="00037E32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ISP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node):</w:t>
            </w:r>
          </w:p>
          <w:p w14:paraId="10DF7E81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6904C259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A0C5F7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S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9A42FE">
              <w:rPr>
                <w:rFonts w:ascii="Courier New" w:hAnsi="Courier New" w:cs="Courier New"/>
                <w:lang w:val="en-US"/>
              </w:rPr>
              <w:t>(node)</w:t>
            </w:r>
          </w:p>
          <w:p w14:paraId="10D79BAE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index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A7C1AEF" w14:textId="77777777" w:rsidR="00ED5538" w:rsidRPr="00055F1C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77777777" w:rsidR="00ED5538" w:rsidRPr="00055F1C" w:rsidRDefault="00ED5538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5BBF9477" w14:textId="77777777" w:rsidR="00ED5538" w:rsidRDefault="00ED5538" w:rsidP="00ED5538">
      <w:pPr>
        <w:pStyle w:val="ListParagraph"/>
        <w:jc w:val="center"/>
        <w:rPr>
          <w:rFonts w:ascii="Courier New" w:hAnsi="Courier New" w:cs="Courier New"/>
        </w:rPr>
      </w:pPr>
    </w:p>
    <w:p w14:paraId="5FAF911D" w14:textId="77777777" w:rsidR="00ED5538" w:rsidRDefault="00ED553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Foi implementado a versão</w:t>
      </w:r>
      <w:r w:rsidRPr="00A27264">
        <w:rPr>
          <w:rFonts w:ascii="Times New Roman" w:hAnsi="Times New Roman" w:cs="Times New Roman"/>
          <w:i/>
          <w:color w:val="000000"/>
        </w:rPr>
        <w:t xml:space="preserve"> 1-samp </w:t>
      </w:r>
      <w:r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6C8E415E" w:rsidR="00ED5538" w:rsidRDefault="00ED5538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1, o parâmetro</w:t>
      </w:r>
      <w:r w:rsidRPr="008B7925">
        <w:rPr>
          <w:rFonts w:ascii="Times New Roman" w:hAnsi="Times New Roman" w:cs="Times New Roman"/>
          <w:i/>
        </w:rPr>
        <w:t xml:space="preserve"> node</w:t>
      </w:r>
      <w:r>
        <w:rPr>
          <w:rFonts w:ascii="Times New Roman" w:hAnsi="Times New Roman" w:cs="Times New Roman"/>
        </w:rPr>
        <w:t xml:space="preserve"> é o estado que está a ser de momento explorado. Na linha 1, se o estado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D66EBD">
        <w:rPr>
          <w:rFonts w:ascii="Times New Roman" w:hAnsi="Times New Roman" w:cs="Times New Roman"/>
          <w:b/>
          <w:i/>
        </w:rPr>
        <w:t>generate-successors</w:t>
      </w:r>
      <w:proofErr w:type="spellEnd"/>
      <w:r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>
        <w:rPr>
          <w:rFonts w:ascii="Times New Roman" w:hAnsi="Times New Roman" w:cs="Times New Roman"/>
        </w:rPr>
        <w:t xml:space="preserve">função  </w:t>
      </w:r>
      <w:proofErr w:type="spellStart"/>
      <w:r w:rsidRPr="00D66EBD">
        <w:rPr>
          <w:rFonts w:ascii="Times New Roman" w:hAnsi="Times New Roman" w:cs="Times New Roman"/>
          <w:b/>
          <w:i/>
        </w:rPr>
        <w:t>generate</w:t>
      </w:r>
      <w:proofErr w:type="gramEnd"/>
      <w:r w:rsidRPr="00D66EBD">
        <w:rPr>
          <w:rFonts w:ascii="Times New Roman" w:hAnsi="Times New Roman" w:cs="Times New Roman"/>
          <w:b/>
          <w:i/>
        </w:rPr>
        <w:t>-random-number</w:t>
      </w:r>
      <w:proofErr w:type="spellEnd"/>
      <w:r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5EDCEB63" w14:textId="5C3F1D7D" w:rsidR="00E62DCC" w:rsidRDefault="00E62DCC" w:rsidP="00ED5538">
      <w:pPr>
        <w:rPr>
          <w:rFonts w:ascii="Times New Roman" w:hAnsi="Times New Roman" w:cs="Times New Roman"/>
        </w:rPr>
      </w:pPr>
    </w:p>
    <w:p w14:paraId="7C5B2D28" w14:textId="3605052A" w:rsidR="00E62DCC" w:rsidRDefault="00E62DCC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 experimentados vários valores para o número de sondas usadas no algoritmo. Em baixo, o gráfico demonstra o comportamento obtido para diferentes valores:</w:t>
      </w:r>
    </w:p>
    <w:p w14:paraId="49880E40" w14:textId="0333029F" w:rsidR="003A7EA3" w:rsidRPr="000F6244" w:rsidRDefault="00D066FF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F85265" wp14:editId="5D8B3276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F92F8F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0D62FCB" w14:textId="1459680B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8" w:name="_Toc531884765"/>
      <w:r w:rsidRPr="000F6244">
        <w:rPr>
          <w:rFonts w:ascii="Times New Roman" w:hAnsi="Times New Roman" w:cs="Times New Roman"/>
        </w:rPr>
        <w:t>ILDS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484BD9" w14:paraId="05216220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2FCCC7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037E3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1572C6E" w14:textId="77777777" w:rsidR="00484BD9" w:rsidRDefault="00484BD9" w:rsidP="00484B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877"/>
      </w:tblGrid>
      <w:tr w:rsidR="004C53F6" w:rsidRPr="00E62DCC" w14:paraId="1304FF79" w14:textId="77777777" w:rsidTr="0098533C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037E32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037E32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037E32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037E32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037E32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037E32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037E32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037E32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037E32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037E32"/>
        </w:tc>
        <w:tc>
          <w:tcPr>
            <w:tcW w:w="7877" w:type="dxa"/>
          </w:tcPr>
          <w:p w14:paraId="21D54445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037E32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037E32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037E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037E32">
        <w:tc>
          <w:tcPr>
            <w:tcW w:w="8494" w:type="dxa"/>
            <w:gridSpan w:val="2"/>
          </w:tcPr>
          <w:p w14:paraId="75A6FBCC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proofErr w:type="spellStart"/>
      <w:r>
        <w:rPr>
          <w:color w:val="000000"/>
          <w:sz w:val="22"/>
          <w:szCs w:val="22"/>
          <w:lang w:val="pt-PT"/>
        </w:rPr>
        <w:t>exactamente</w:t>
      </w:r>
      <w:proofErr w:type="spellEnd"/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lastRenderedPageBreak/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proofErr w:type="spellStart"/>
      <w:r>
        <w:rPr>
          <w:color w:val="000000"/>
          <w:sz w:val="22"/>
          <w:szCs w:val="22"/>
          <w:lang w:val="pt-PT"/>
        </w:rPr>
        <w:t>actual</w:t>
      </w:r>
      <w:proofErr w:type="spellEnd"/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33011EFA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284EED1E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FE63360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61ED0793" w14:textId="5D4877C7" w:rsidR="004C53F6" w:rsidRPr="004C53F6" w:rsidRDefault="0018063D" w:rsidP="004C53F6">
      <w:pPr>
        <w:pStyle w:val="Heading2"/>
        <w:rPr>
          <w:rFonts w:ascii="Times New Roman" w:hAnsi="Times New Roman" w:cs="Times New Roman"/>
        </w:rPr>
      </w:pPr>
      <w:bookmarkStart w:id="9" w:name="_Toc531884766"/>
      <w:r w:rsidRPr="000F6244">
        <w:rPr>
          <w:rFonts w:ascii="Times New Roman" w:hAnsi="Times New Roman" w:cs="Times New Roman"/>
        </w:rPr>
        <w:t>Procura alternativa – DDS</w:t>
      </w:r>
      <w:bookmarkEnd w:id="9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055F1C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B00CB0" w:rsidR="004C53F6" w:rsidRPr="00055F1C" w:rsidRDefault="004C53F6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C5BE05C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BBB1193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729DFA75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bookmarkStart w:id="10" w:name="_GoBack"/>
            <w:bookmarkEnd w:id="10"/>
          </w:p>
          <w:p w14:paraId="319E5457" w14:textId="77777777" w:rsidR="004C53F6" w:rsidRPr="00D12716" w:rsidRDefault="004C53F6" w:rsidP="00037E32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037E32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037E32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037E32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77777777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4418D5" w14:textId="77777777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contrário do ILDS,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calculada durante a procura.</w:t>
      </w:r>
    </w:p>
    <w:p w14:paraId="2B82FF8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Começa por fazer discrepâncias perto da </w:t>
      </w:r>
      <w:proofErr w:type="spellStart"/>
      <w:r>
        <w:rPr>
          <w:rFonts w:ascii="Times New Roman" w:hAnsi="Times New Roman" w:cs="Times New Roman"/>
        </w:rPr>
        <w:t>raíz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5B92030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proofErr w:type="spellStart"/>
      <w:r>
        <w:rPr>
          <w:rFonts w:ascii="Times New Roman" w:hAnsi="Times New Roman" w:cs="Times New Roman"/>
        </w:rPr>
        <w:t>disciprancias</w:t>
      </w:r>
      <w:proofErr w:type="spellEnd"/>
      <w:r>
        <w:rPr>
          <w:rFonts w:ascii="Times New Roman" w:hAnsi="Times New Roman" w:cs="Times New Roman"/>
        </w:rPr>
        <w:t xml:space="preserve"> ocorrem na profundidade i ou menos. Tem-se o cuidado de não revisitar </w:t>
      </w:r>
      <w:proofErr w:type="spellStart"/>
      <w:r>
        <w:rPr>
          <w:rFonts w:ascii="Times New Roman" w:hAnsi="Times New Roman" w:cs="Times New Roman"/>
        </w:rPr>
        <w:t>nõs</w:t>
      </w:r>
      <w:proofErr w:type="spellEnd"/>
      <w:r>
        <w:rPr>
          <w:rFonts w:ascii="Times New Roman" w:hAnsi="Times New Roman" w:cs="Times New Roman"/>
        </w:rPr>
        <w:t xml:space="preserve"> folha </w:t>
      </w:r>
      <w:proofErr w:type="spellStart"/>
      <w:r>
        <w:rPr>
          <w:rFonts w:ascii="Times New Roman" w:hAnsi="Times New Roman" w:cs="Times New Roman"/>
        </w:rPr>
        <w:t>vistados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proofErr w:type="spellStart"/>
      <w:r>
        <w:rPr>
          <w:rFonts w:ascii="Times New Roman" w:hAnsi="Times New Roman" w:cs="Times New Roman"/>
        </w:rPr>
        <w:t>profudndiade</w:t>
      </w:r>
      <w:proofErr w:type="spellEnd"/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78B4EA1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4FB84DF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0510465A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5469CD58" w14:textId="6C9401A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1" w:name="_Toc531884767"/>
      <w:r w:rsidRPr="000F6244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</w:p>
    <w:p w14:paraId="474FC9CD" w14:textId="71C4D09A" w:rsidR="00C012DE" w:rsidRPr="000F6244" w:rsidRDefault="0018063D" w:rsidP="00C012DE">
      <w:pPr>
        <w:pStyle w:val="Heading1"/>
        <w:rPr>
          <w:rFonts w:ascii="Times New Roman" w:hAnsi="Times New Roman" w:cs="Times New Roman"/>
        </w:rPr>
      </w:pPr>
      <w:bookmarkStart w:id="12" w:name="_Toc531884768"/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028C8829" w14:textId="17E4F9AA" w:rsidR="00C012DE" w:rsidRPr="000F6244" w:rsidRDefault="0018063D" w:rsidP="009813A5">
      <w:pPr>
        <w:pStyle w:val="Heading1"/>
        <w:rPr>
          <w:rFonts w:ascii="Times New Roman" w:hAnsi="Times New Roman" w:cs="Times New Roman"/>
        </w:rPr>
      </w:pPr>
      <w:bookmarkStart w:id="13" w:name="_Toc531884769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3B01C9A8" w:rsidR="00A46AD1" w:rsidRPr="000F6244" w:rsidRDefault="00A46AD1" w:rsidP="00A46AD1">
      <w:pPr>
        <w:pStyle w:val="Heading1"/>
        <w:rPr>
          <w:rFonts w:ascii="Times New Roman" w:hAnsi="Times New Roman" w:cs="Times New Roman"/>
        </w:rPr>
      </w:pPr>
      <w:bookmarkStart w:id="14" w:name="_Toc531884770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372A58A7" w:rsidR="00C73014" w:rsidRPr="000F6244" w:rsidRDefault="00C73014" w:rsidP="00C73014">
      <w:pPr>
        <w:pStyle w:val="Heading1"/>
        <w:rPr>
          <w:rFonts w:ascii="Times New Roman" w:hAnsi="Times New Roman" w:cs="Times New Roman"/>
        </w:rPr>
      </w:pPr>
      <w:bookmarkStart w:id="15" w:name="_Toc531884771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2718B72" w14:textId="41F06C81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p w14:paraId="3F7F6C20" w14:textId="77777777" w:rsidR="00B11067" w:rsidRPr="00B64A76" w:rsidRDefault="00B11067" w:rsidP="00B11067">
      <w:pPr>
        <w:rPr>
          <w:rFonts w:ascii="Times New Roman" w:hAnsi="Times New Roman" w:cs="Times New Roman"/>
          <w:color w:val="000000"/>
          <w:lang w:val="en-US"/>
        </w:rPr>
      </w:pPr>
    </w:p>
    <w:sectPr w:rsidR="00B11067" w:rsidRPr="00B64A7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9302D" w14:textId="77777777" w:rsidR="00DB524A" w:rsidRDefault="00DB524A" w:rsidP="0030761E">
      <w:pPr>
        <w:spacing w:after="0" w:line="240" w:lineRule="auto"/>
      </w:pPr>
      <w:r>
        <w:separator/>
      </w:r>
    </w:p>
  </w:endnote>
  <w:endnote w:type="continuationSeparator" w:id="0">
    <w:p w14:paraId="2AB4E6F9" w14:textId="77777777" w:rsidR="00DB524A" w:rsidRDefault="00DB524A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AA43" w14:textId="77777777" w:rsidR="00DB524A" w:rsidRDefault="00DB524A" w:rsidP="0030761E">
      <w:pPr>
        <w:spacing w:after="0" w:line="240" w:lineRule="auto"/>
      </w:pPr>
      <w:r>
        <w:separator/>
      </w:r>
    </w:p>
  </w:footnote>
  <w:footnote w:type="continuationSeparator" w:id="0">
    <w:p w14:paraId="08E680C4" w14:textId="77777777" w:rsidR="00DB524A" w:rsidRDefault="00DB524A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5F0D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3A7EA3"/>
    <w:rsid w:val="00427F75"/>
    <w:rsid w:val="00462813"/>
    <w:rsid w:val="0046583B"/>
    <w:rsid w:val="00484BD9"/>
    <w:rsid w:val="004867F8"/>
    <w:rsid w:val="004A6F3A"/>
    <w:rsid w:val="004C53F6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65FE5"/>
    <w:rsid w:val="00674161"/>
    <w:rsid w:val="0068306E"/>
    <w:rsid w:val="006B4D5D"/>
    <w:rsid w:val="006D5A56"/>
    <w:rsid w:val="006E3CC6"/>
    <w:rsid w:val="006E5583"/>
    <w:rsid w:val="006E5F91"/>
    <w:rsid w:val="00702625"/>
    <w:rsid w:val="00745AEB"/>
    <w:rsid w:val="007D503B"/>
    <w:rsid w:val="007E218B"/>
    <w:rsid w:val="007E5AC0"/>
    <w:rsid w:val="007F3B8F"/>
    <w:rsid w:val="008668DB"/>
    <w:rsid w:val="00894B7E"/>
    <w:rsid w:val="008B1D81"/>
    <w:rsid w:val="008B7380"/>
    <w:rsid w:val="008F282A"/>
    <w:rsid w:val="009351D5"/>
    <w:rsid w:val="009469B5"/>
    <w:rsid w:val="009813A5"/>
    <w:rsid w:val="0098533C"/>
    <w:rsid w:val="009A0732"/>
    <w:rsid w:val="009A42FE"/>
    <w:rsid w:val="009E33A8"/>
    <w:rsid w:val="00A37A1D"/>
    <w:rsid w:val="00A46AD1"/>
    <w:rsid w:val="00A86224"/>
    <w:rsid w:val="00AA1F52"/>
    <w:rsid w:val="00AF0073"/>
    <w:rsid w:val="00AF4B1E"/>
    <w:rsid w:val="00B02C3A"/>
    <w:rsid w:val="00B10C2B"/>
    <w:rsid w:val="00B11067"/>
    <w:rsid w:val="00B64A76"/>
    <w:rsid w:val="00B65740"/>
    <w:rsid w:val="00B73579"/>
    <w:rsid w:val="00B97737"/>
    <w:rsid w:val="00BA388B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066FF"/>
    <w:rsid w:val="00D1505C"/>
    <w:rsid w:val="00D15F9B"/>
    <w:rsid w:val="00D175E6"/>
    <w:rsid w:val="00D31481"/>
    <w:rsid w:val="00D37AB7"/>
    <w:rsid w:val="00D47067"/>
    <w:rsid w:val="00D74DDE"/>
    <w:rsid w:val="00D77075"/>
    <w:rsid w:val="00DB524A"/>
    <w:rsid w:val="00DD7275"/>
    <w:rsid w:val="00E10A22"/>
    <w:rsid w:val="00E1684C"/>
    <w:rsid w:val="00E23537"/>
    <w:rsid w:val="00E23BCA"/>
    <w:rsid w:val="00E465BD"/>
    <w:rsid w:val="00E54BBC"/>
    <w:rsid w:val="00E62DCC"/>
    <w:rsid w:val="00E74502"/>
    <w:rsid w:val="00E87476"/>
    <w:rsid w:val="00ED5538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97-4E88-B7E7-614C1E1D08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EB00-4BE2-4551-BF00-D29A5587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1626</Words>
  <Characters>9271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103</cp:revision>
  <dcterms:created xsi:type="dcterms:W3CDTF">2018-12-04T14:12:00Z</dcterms:created>
  <dcterms:modified xsi:type="dcterms:W3CDTF">2018-12-06T20:26:00Z</dcterms:modified>
</cp:coreProperties>
</file>