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1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ght"/>
      </w:pPr>
      <w:r>
        <w:drawing>
          <wp:inline distT="0" distB="0" distL="0" distR="0">
            <wp:extent cx="7560197" cy="301676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197" cy="3016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432" w:lineRule="exact"/>
      </w:pPr>
      <w:r>
        <w:rPr>
          <w:sz w:val="2"/>
          <w:szCs w:val="2"/>
        </w:rPr>
        <w:t xml:space="preserve"/>
      </w:r>
    </w:p>
    <w:p>
      <w:pPr>
        <w:spacing w:after="0" w:before="0" w:line="200" w:lineRule="auto"/>
        <w:jc w:val="center"/>
      </w:pPr>
      <w:r>
        <w:rPr>
          <w:rFonts w:ascii="Poppins" w:cs="Poppins" w:eastAsia="Poppins" w:hAnsi="Poppins"/>
          <w:b/>
          <w:bCs/>
          <w:color w:val="143548"/>
          <w:sz w:val="63"/>
          <w:szCs w:val="63"/>
        </w:rPr>
        <w:t xml:space="preserve">DECRETO 51/2025,</w:t>
      </w:r>
      <w:r>
        <w:br/>
      </w:r>
      <w:r>
        <w:rPr>
          <w:rFonts w:ascii="Poppins" w:cs="Poppins" w:eastAsia="Poppins" w:hAnsi="Poppins"/>
          <w:b/>
          <w:bCs/>
          <w:color w:val="143548"/>
          <w:sz w:val="63"/>
          <w:szCs w:val="63"/>
        </w:rPr>
        <w:t xml:space="preserve">DE 24 DE FEBRERO</w:t>
      </w:r>
    </w:p>
    <w:p>
      <w:pPr>
        <w:spacing w:after="58" w:before="0"/>
        <w:jc w:val="center"/>
      </w:pPr>
      <w:r>
        <w:drawing>
          <wp:inline distT="0" distB="0" distL="0" distR="0">
            <wp:extent cx="2230578" cy="21940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578" cy="219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8" w:before="0" w:line="240" w:lineRule="auto"/>
        <w:ind w:left="1627" w:right="1627"/>
        <w:jc w:val="center"/>
      </w:pPr>
      <w:r>
        <w:rPr>
          <w:rFonts w:ascii="Poppins" w:cs="Poppins" w:eastAsia="Poppins" w:hAnsi="Poppins"/>
          <w:color w:val="3A4A55"/>
          <w:sz w:val="21"/>
          <w:szCs w:val="21"/>
        </w:rPr>
        <w:t xml:space="preserve">Por el que se regula la planificación y ordenación del empleo público, y el ingreso, promoción interna y provisión de puestos de trabajo del personal de la Administración General de la Junta de Andalucía.</w:t>
      </w:r>
    </w:p>
    <w:p>
      <w:pPr>
        <w:tabs>
          <w:tab w:val="left" w:pos="3084"/>
          <w:tab w:val="left" w:pos="4773"/>
          <w:tab w:val="left" w:pos="7254"/>
        </w:tabs>
        <w:spacing w:after="173" w:before="0" w:line="240" w:lineRule="auto"/>
      </w:pPr>
      <w:r>
        <w:drawing>
          <wp:anchor distT="0" distB="0" distL="0" distR="0" simplePos="0" allowOverlap="1" behindDoc="1" locked="1" layoutInCell="1" relativeHeight="265110">
            <wp:simplePos x="0" y="0"/>
            <wp:positionH relativeFrom="page">
              <wp:posOffset>1803260</wp:posOffset>
            </wp:positionH>
            <wp:positionV relativeFrom="paragraph">
              <wp:posOffset>-51608</wp:posOffset>
            </wp:positionV>
            <wp:extent cx="999189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9189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	</w:t>
      </w:r>
      <w:r>
        <w:rPr>
          <w:rFonts w:ascii="Poppins" w:cs="Poppins" w:eastAsia="Poppins" w:hAnsi="Poppins"/>
          <w:color w:val="4B4F53"/>
          <w:sz w:val="17"/>
          <w:szCs w:val="17"/>
        </w:rPr>
        <w:t xml:space="preserve">Planificación</w:t>
      </w:r>
      <w:r>
        <w:drawing>
          <wp:anchor distT="0" distB="0" distL="0" distR="0" simplePos="0" allowOverlap="1" behindDoc="1" locked="1" layoutInCell="1" relativeHeight="265110">
            <wp:simplePos x="0" y="0"/>
            <wp:positionH relativeFrom="page">
              <wp:posOffset>2875616</wp:posOffset>
            </wp:positionH>
            <wp:positionV relativeFrom="paragraph">
              <wp:posOffset>-51608</wp:posOffset>
            </wp:positionV>
            <wp:extent cx="1501984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1984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	</w:t>
      </w:r>
      <w:r>
        <w:rPr>
          <w:rFonts w:ascii="Poppins" w:cs="Poppins" w:eastAsia="Poppins" w:hAnsi="Poppins"/>
          <w:color w:val="4B4F53"/>
          <w:sz w:val="17"/>
          <w:szCs w:val="17"/>
        </w:rPr>
        <w:t xml:space="preserve">Selección de personal</w:t>
      </w:r>
      <w:r>
        <w:drawing>
          <wp:anchor distT="0" distB="0" distL="0" distR="0" simplePos="0" allowOverlap="1" behindDoc="1" locked="1" layoutInCell="1" relativeHeight="265110">
            <wp:simplePos x="0" y="0"/>
            <wp:positionH relativeFrom="page">
              <wp:posOffset>4450783</wp:posOffset>
            </wp:positionH>
            <wp:positionV relativeFrom="paragraph">
              <wp:posOffset>-51608</wp:posOffset>
            </wp:positionV>
            <wp:extent cx="1306351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351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	</w:t>
      </w:r>
      <w:r>
        <w:rPr>
          <w:rFonts w:ascii="Poppins" w:cs="Poppins" w:eastAsia="Poppins" w:hAnsi="Poppins"/>
          <w:color w:val="4B4F53"/>
          <w:sz w:val="17"/>
          <w:szCs w:val="17"/>
        </w:rPr>
        <w:t xml:space="preserve">Promoción interna</w:t>
      </w:r>
    </w:p>
    <w:p>
      <w:pPr>
        <w:tabs>
          <w:tab w:val="left" w:pos="1597"/>
          <w:tab w:val="left" w:pos="4878"/>
          <w:tab w:val="left" w:pos="6303"/>
        </w:tabs>
        <w:spacing w:after="0" w:before="0" w:line="240" w:lineRule="auto"/>
      </w:pPr>
      <w:r>
        <w:drawing>
          <wp:anchor distT="0" distB="0" distL="0" distR="0" simplePos="0" allowOverlap="1" behindDoc="1" locked="1" layoutInCell="1" relativeHeight="265110">
            <wp:simplePos x="0" y="0"/>
            <wp:positionH relativeFrom="page">
              <wp:posOffset>858434</wp:posOffset>
            </wp:positionH>
            <wp:positionV relativeFrom="paragraph">
              <wp:posOffset>-51608</wp:posOffset>
            </wp:positionV>
            <wp:extent cx="2010263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263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	</w:t>
      </w:r>
      <w:r>
        <w:rPr>
          <w:rFonts w:ascii="Poppins" w:cs="Poppins" w:eastAsia="Poppins" w:hAnsi="Poppins"/>
          <w:color w:val="4B4F53"/>
          <w:sz w:val="17"/>
          <w:szCs w:val="17"/>
        </w:rPr>
        <w:t xml:space="preserve">Provisión de puestos de trabajo</w:t>
      </w:r>
      <w:r>
        <w:drawing>
          <wp:anchor distT="0" distB="0" distL="0" distR="0" simplePos="0" allowOverlap="1" behindDoc="1" locked="1" layoutInCell="1" relativeHeight="265110">
            <wp:simplePos x="0" y="0"/>
            <wp:positionH relativeFrom="page">
              <wp:posOffset>2941896</wp:posOffset>
            </wp:positionH>
            <wp:positionV relativeFrom="paragraph">
              <wp:posOffset>-51608</wp:posOffset>
            </wp:positionV>
            <wp:extent cx="831896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1896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	</w:t>
      </w:r>
      <w:r>
        <w:rPr>
          <w:rFonts w:ascii="Poppins" w:cs="Poppins" w:eastAsia="Poppins" w:hAnsi="Poppins"/>
          <w:color w:val="4B4F53"/>
          <w:sz w:val="17"/>
          <w:szCs w:val="17"/>
        </w:rPr>
        <w:t xml:space="preserve">Movilidad</w:t>
      </w:r>
      <w:r>
        <w:drawing>
          <wp:anchor distT="0" distB="0" distL="0" distR="0" simplePos="0" allowOverlap="1" behindDoc="1" locked="1" layoutInCell="1" relativeHeight="265110">
            <wp:simplePos x="0" y="0"/>
            <wp:positionH relativeFrom="page">
              <wp:posOffset>3846954</wp:posOffset>
            </wp:positionH>
            <wp:positionV relativeFrom="paragraph">
              <wp:posOffset>-51608</wp:posOffset>
            </wp:positionV>
            <wp:extent cx="2854957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957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	</w:t>
      </w:r>
      <w:r>
        <w:rPr>
          <w:rFonts w:ascii="Poppins" w:cs="Poppins" w:eastAsia="Poppins" w:hAnsi="Poppins"/>
          <w:color w:val="4B4F53"/>
          <w:sz w:val="17"/>
          <w:szCs w:val="17"/>
        </w:rPr>
        <w:t xml:space="preserve">Adquisición y pérdida de la relación de servicio</w:t>
      </w:r>
    </w:p>
    <w:p>
      <w:pPr>
        <w:spacing w:after="0" w:before="317"/>
        <w:jc w:val="center"/>
      </w:pPr>
      <w:r>
        <w:drawing>
          <wp:inline distT="0" distB="0" distL="0" distR="0">
            <wp:extent cx="530219" cy="50279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19" cy="50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7"/>
          <w:footerReference w:type="first" r:id="rId8"/>
          <w:pgSz w:w="11906" w:h="16838" w:orient="portrait"/>
          <w:pgMar w:top="0" w:right="0" w:bottom="4319" w:left="0" w:header="0" w:footer="0" w:gutter="0"/>
          <w:pgNumType/>
          <w:titlePg/>
          <w:docGrid w:linePitch="360"/>
        </w:sectPr>
      </w:pPr>
    </w:p>
    <w:p>
      <w:pPr>
        <w:spacing w:after="0" w:before="0" w:line="691" w:lineRule="exact"/>
      </w:pPr>
      <w:r>
        <w:drawing>
          <wp:anchor distT="0" distB="0" distL="0" distR="0" simplePos="0" allowOverlap="1" behindDoc="1" locked="1" layoutInCell="1" relativeHeight="1572375">
            <wp:simplePos x="0" y="0"/>
            <wp:positionH relativeFrom="page">
              <wp:posOffset>484526</wp:posOffset>
            </wp:positionH>
            <wp:positionV relativeFrom="paragraph">
              <wp:posOffset>0</wp:posOffset>
            </wp:positionV>
            <wp:extent cx="6371775" cy="15723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775" cy="1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"/>
          <w:szCs w:val="2"/>
        </w:rPr>
        <w:t xml:space="preserve"/>
      </w:r>
    </w:p>
    <w:p>
      <w:pPr>
        <w:spacing w:after="432" w:before="0" w:line="240" w:lineRule="auto"/>
        <w:ind w:left="432" w:right="489"/>
      </w:pPr>
      <w:r>
        <w:rPr>
          <w:rFonts w:ascii="Poppins" w:cs="Poppins" w:eastAsia="Poppins" w:hAnsi="Poppins"/>
          <w:b/>
          <w:bCs/>
          <w:color w:val="143548"/>
          <w:sz w:val="24"/>
          <w:szCs w:val="24"/>
        </w:rPr>
        <w:t xml:space="preserve">Decreto 51/2025, de 24 de febrero, por el que se regula la planificación y ordenación del empleo público, y el ingreso, promoción interna y provisión de puestos de trabajo del personal de la Administración General de la Junta de Andalucía.</w:t>
      </w:r>
    </w:p>
    <w:p>
      <w:pPr>
        <w:spacing w:after="0" w:before="0" w:line="173" w:lineRule="exact"/>
      </w:pPr>
      <w:r>
        <w:rPr>
          <w:sz w:val="2"/>
          <w:szCs w:val="2"/>
        </w:rPr>
        <w:t xml:space="preserve"/>
      </w:r>
    </w:p>
    <w:p>
      <w:pPr>
        <w:spacing w:after="0" w:before="0" w:line="475" w:lineRule="exact"/>
        <w:ind w:left="317"/>
      </w:pPr>
      <w:r>
        <w:drawing>
          <wp:anchor distT="0" distB="0" distL="0" distR="0" simplePos="0" allowOverlap="1" behindDoc="1" locked="1" layoutInCell="1" relativeHeight="301677">
            <wp:simplePos x="0" y="0"/>
            <wp:positionH relativeFrom="page">
              <wp:posOffset>722218</wp:posOffset>
            </wp:positionH>
            <wp:positionV relativeFrom="paragraph">
              <wp:posOffset>0</wp:posOffset>
            </wp:positionV>
            <wp:extent cx="1343832" cy="301677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832" cy="3016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FFFFFF"/>
          <w:spacing w:val="42"/>
          <w:position w:val="5"/>
          <w:sz w:val="17"/>
          <w:szCs w:val="17"/>
        </w:rPr>
        <w:t xml:space="preserve">ESTRUCTURA</w:t>
      </w:r>
    </w:p>
    <w:p>
      <w:pPr>
        <w:spacing w:after="0" w:before="0" w:line="115" w:lineRule="exact"/>
      </w:pPr>
      <w:r>
        <w:rPr>
          <w:sz w:val="2"/>
          <w:szCs w:val="2"/>
        </w:rPr>
        <w:t xml:space="preserve"/>
      </w:r>
    </w:p>
    <w:tbl>
      <w:tblPr>
        <w:tblW w:type="dxa" w:w="963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5"/>
        <w:gridCol w:w="475"/>
        <w:gridCol w:w="8681"/>
      </w:tblGrid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ight"/>
              <w:jc w:val="center"/>
            </w:pPr>
            <w:r>
              <w:drawing>
                <wp:inline distT="0" distB="0" distL="0" distR="0">
                  <wp:extent cx="402235" cy="22854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2285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PRELIMINAR</w:t>
            </w:r>
          </w:p>
          <w:p>
            <w:pPr>
              <w:spacing w:after="0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Disposiciones generales</w:t>
            </w:r>
          </w:p>
          <w:p>
            <w:pPr>
              <w:spacing w:after="0" w:before="0" w:line="86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ight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</w:t>
            </w:r>
          </w:p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Planificación y ordenación del empleo público</w:t>
            </w:r>
          </w:p>
          <w:p>
            <w:pPr>
              <w:tabs>
                <w:tab w:val="left" w:pos="216"/>
                <w:tab w:val="left" w:pos="4145"/>
              </w:tabs>
              <w:spacing w:after="86" w:before="0" w:line="240" w:lineRule="auto"/>
            </w:pPr>
            <w:r>
              <w:drawing>
                <wp:anchor distT="0" distB="0" distL="0" distR="0" simplePos="0" allowOverlap="1" behindDoc="1" locked="1" layoutInCell="1" relativeHeight="17369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-15421</wp:posOffset>
                  </wp:positionV>
                  <wp:extent cx="2439923" cy="173693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9923" cy="173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	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Capítulo I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</w:rPr>
              <w:t xml:space="preserve">Planificación de recursos humanos</w:t>
            </w:r>
            <w:r>
              <w:drawing>
                <wp:anchor distT="0" distB="0" distL="0" distR="0" simplePos="0" allowOverlap="1" behindDoc="1" locked="1" layoutInCell="1" relativeHeight="173693">
                  <wp:simplePos x="0" y="0"/>
                  <wp:positionH relativeFrom="column">
                    <wp:posOffset>2494852</wp:posOffset>
                  </wp:positionH>
                  <wp:positionV relativeFrom="paragraph">
                    <wp:posOffset>-15421</wp:posOffset>
                  </wp:positionV>
                  <wp:extent cx="2896095" cy="173693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095" cy="173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	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Capítulo II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</w:rPr>
              <w:t xml:space="preserve">Planes de ordenación de recursos humanos</w:t>
            </w:r>
          </w:p>
          <w:p>
            <w:pPr>
              <w:tabs>
                <w:tab w:val="left" w:pos="216"/>
              </w:tabs>
              <w:spacing w:after="0" w:before="0" w:line="240" w:lineRule="auto"/>
            </w:pPr>
            <w:r>
              <w:drawing>
                <wp:anchor distT="0" distB="0" distL="0" distR="0" simplePos="0" allowOverlap="1" behindDoc="1" locked="1" layoutInCell="1" relativeHeight="17369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-15421</wp:posOffset>
                  </wp:positionV>
                  <wp:extent cx="2043173" cy="173693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3173" cy="173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	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Capítulo III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</w:rPr>
              <w:t xml:space="preserve">Oferta de empleo público</w:t>
            </w:r>
          </w:p>
          <w:p>
            <w:pPr>
              <w:spacing w:after="0" w:before="0" w:line="86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ight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II</w:t>
            </w:r>
          </w:p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Selección de personal</w:t>
            </w:r>
          </w:p>
          <w:p>
            <w:pPr>
              <w:tabs>
                <w:tab w:val="left" w:pos="216"/>
                <w:tab w:val="left" w:pos="2891"/>
              </w:tabs>
              <w:spacing w:after="86" w:before="0" w:line="240" w:lineRule="auto"/>
            </w:pPr>
            <w:r>
              <w:drawing>
                <wp:anchor distT="0" distB="0" distL="0" distR="0" simplePos="0" allowOverlap="1" behindDoc="1" locked="1" layoutInCell="1" relativeHeight="17369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-15421</wp:posOffset>
                  </wp:positionV>
                  <wp:extent cx="1643680" cy="173693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3680" cy="173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	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Capítulo I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</w:rPr>
              <w:t xml:space="preserve">Normas generales</w:t>
            </w:r>
            <w:r>
              <w:drawing>
                <wp:anchor distT="0" distB="0" distL="0" distR="0" simplePos="0" allowOverlap="1" behindDoc="1" locked="1" layoutInCell="1" relativeHeight="173693">
                  <wp:simplePos x="0" y="0"/>
                  <wp:positionH relativeFrom="column">
                    <wp:posOffset>1698584</wp:posOffset>
                  </wp:positionH>
                  <wp:positionV relativeFrom="paragraph">
                    <wp:posOffset>-15421</wp:posOffset>
                  </wp:positionV>
                  <wp:extent cx="1807317" cy="173693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7317" cy="173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	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Capítulo II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</w:rPr>
              <w:t xml:space="preserve">Sistema de selección</w:t>
            </w:r>
          </w:p>
          <w:p>
            <w:pPr>
              <w:tabs>
                <w:tab w:val="left" w:pos="216"/>
                <w:tab w:val="left" w:pos="4908"/>
              </w:tabs>
              <w:spacing w:after="86" w:before="0" w:line="240" w:lineRule="auto"/>
            </w:pPr>
            <w:r>
              <w:drawing>
                <wp:anchor distT="0" distB="0" distL="0" distR="0" simplePos="0" allowOverlap="1" behindDoc="1" locked="1" layoutInCell="1" relativeHeight="17369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-15421</wp:posOffset>
                  </wp:positionV>
                  <wp:extent cx="2924434" cy="173693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4434" cy="173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	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Capítulo III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</w:rPr>
              <w:t xml:space="preserve">Inicio y desarrollo de los procesos selectivos</w:t>
            </w:r>
            <w:r>
              <w:drawing>
                <wp:anchor distT="0" distB="0" distL="0" distR="0" simplePos="0" allowOverlap="1" behindDoc="1" locked="1" layoutInCell="1" relativeHeight="173693">
                  <wp:simplePos x="0" y="0"/>
                  <wp:positionH relativeFrom="column">
                    <wp:posOffset>2979378</wp:posOffset>
                  </wp:positionH>
                  <wp:positionV relativeFrom="paragraph">
                    <wp:posOffset>-15421</wp:posOffset>
                  </wp:positionV>
                  <wp:extent cx="2435353" cy="173693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5353" cy="173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	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Capítulo IV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</w:rPr>
              <w:t xml:space="preserve">Personal funcionario en prácticas</w:t>
            </w:r>
          </w:p>
          <w:p>
            <w:pPr>
              <w:tabs>
                <w:tab w:val="left" w:pos="216"/>
              </w:tabs>
              <w:spacing w:after="86" w:before="0" w:line="240" w:lineRule="auto"/>
            </w:pPr>
            <w:r>
              <w:drawing>
                <wp:anchor distT="0" distB="0" distL="0" distR="0" simplePos="0" allowOverlap="1" behindDoc="1" locked="1" layoutInCell="1" relativeHeight="17369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-15421</wp:posOffset>
                  </wp:positionV>
                  <wp:extent cx="1994722" cy="173693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4722" cy="173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	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Capítulo V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</w:rPr>
              <w:t xml:space="preserve">Comisiones de selección</w:t>
            </w:r>
          </w:p>
          <w:p>
            <w:pPr>
              <w:tabs>
                <w:tab w:val="left" w:pos="216"/>
              </w:tabs>
              <w:spacing w:after="0" w:before="0" w:line="240" w:lineRule="auto"/>
            </w:pPr>
            <w:r>
              <w:drawing>
                <wp:anchor distT="0" distB="0" distL="0" distR="0" simplePos="0" allowOverlap="1" behindDoc="1" locked="1" layoutInCell="1" relativeHeight="17369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-15421</wp:posOffset>
                  </wp:positionV>
                  <wp:extent cx="4189648" cy="173693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9648" cy="173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	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Capítulo VI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</w:rPr>
              <w:t xml:space="preserve">Selección de personal funcionario interino y personal laboral temporal</w:t>
            </w:r>
          </w:p>
          <w:p>
            <w:pPr>
              <w:spacing w:after="0" w:before="0" w:line="86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ight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III</w:t>
            </w:r>
          </w:p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Promoción interna del personal funcionario de carrera y del personal laboral</w:t>
            </w:r>
          </w:p>
          <w:p>
            <w:pPr>
              <w:tabs>
                <w:tab w:val="left" w:pos="216"/>
              </w:tabs>
              <w:spacing w:after="86" w:before="0" w:line="240" w:lineRule="auto"/>
            </w:pPr>
            <w:r>
              <w:drawing>
                <wp:anchor distT="0" distB="0" distL="0" distR="0" simplePos="0" allowOverlap="1" behindDoc="1" locked="1" layoutInCell="1" relativeHeight="17369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-15421</wp:posOffset>
                  </wp:positionV>
                  <wp:extent cx="1643680" cy="173693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3680" cy="173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	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Capítulo I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</w:rPr>
              <w:t xml:space="preserve">Normas generales</w:t>
            </w:r>
          </w:p>
          <w:p>
            <w:pPr>
              <w:tabs>
                <w:tab w:val="left" w:pos="216"/>
              </w:tabs>
              <w:spacing w:after="86" w:before="0" w:line="240" w:lineRule="auto"/>
            </w:pPr>
            <w:r>
              <w:drawing>
                <wp:anchor distT="0" distB="0" distL="0" distR="0" simplePos="0" allowOverlap="1" behindDoc="1" locked="1" layoutInCell="1" relativeHeight="17369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-15421</wp:posOffset>
                  </wp:positionV>
                  <wp:extent cx="3759987" cy="173693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59987" cy="173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	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Capítulo II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</w:rPr>
              <w:t xml:space="preserve">Promoción interna vertical del personal funcionario de carrera</w:t>
            </w:r>
          </w:p>
          <w:p>
            <w:pPr>
              <w:tabs>
                <w:tab w:val="left" w:pos="216"/>
              </w:tabs>
              <w:spacing w:after="0" w:before="0" w:line="240" w:lineRule="auto"/>
            </w:pPr>
            <w:r>
              <w:drawing>
                <wp:anchor distT="0" distB="0" distL="0" distR="0" simplePos="0" allowOverlap="1" behindDoc="1" locked="1" layoutInCell="1" relativeHeight="17369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-15421</wp:posOffset>
                  </wp:positionV>
                  <wp:extent cx="3904426" cy="173693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04426" cy="173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	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Capítulo III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</w:rPr>
              <w:t xml:space="preserve">Promoción interna horizontal del personal funcionario de carrera</w:t>
            </w:r>
          </w:p>
          <w:p>
            <w:pPr>
              <w:spacing w:after="0" w:before="0" w:line="86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ight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IV</w:t>
            </w:r>
          </w:p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Provisión de puestos de trabajo y movilidad del personal funcionario y laboral</w:t>
            </w:r>
          </w:p>
          <w:p>
            <w:pPr>
              <w:tabs>
                <w:tab w:val="left" w:pos="216"/>
              </w:tabs>
              <w:spacing w:after="86" w:before="0" w:line="240" w:lineRule="auto"/>
            </w:pPr>
            <w:r>
              <w:drawing>
                <wp:anchor distT="0" distB="0" distL="0" distR="0" simplePos="0" allowOverlap="1" behindDoc="1" locked="1" layoutInCell="1" relativeHeight="17369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-15421</wp:posOffset>
                  </wp:positionV>
                  <wp:extent cx="1643680" cy="173693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3680" cy="173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	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Capítulo I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</w:rPr>
              <w:t xml:space="preserve">Normas generales</w:t>
            </w:r>
          </w:p>
          <w:p>
            <w:pPr>
              <w:tabs>
                <w:tab w:val="left" w:pos="216"/>
              </w:tabs>
              <w:spacing w:after="86" w:before="0" w:line="240" w:lineRule="auto"/>
            </w:pPr>
            <w:r>
              <w:drawing>
                <wp:anchor distT="0" distB="0" distL="0" distR="0" simplePos="0" allowOverlap="1" behindDoc="1" locked="1" layoutInCell="1" relativeHeight="17369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-15421</wp:posOffset>
                  </wp:positionV>
                  <wp:extent cx="4335915" cy="173693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35915" cy="173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	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Capítulo II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</w:rPr>
              <w:t xml:space="preserve">Procedimientos ordinarios de provisión de personal funcionario de carrera</w:t>
            </w:r>
          </w:p>
          <w:p>
            <w:pPr>
              <w:tabs>
                <w:tab w:val="left" w:pos="216"/>
              </w:tabs>
              <w:spacing w:after="0" w:before="0" w:line="240" w:lineRule="auto"/>
            </w:pPr>
            <w:r>
              <w:drawing>
                <wp:anchor distT="0" distB="0" distL="0" distR="0" simplePos="0" allowOverlap="1" behindDoc="1" locked="1" layoutInCell="1" relativeHeight="17369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-15421</wp:posOffset>
                  </wp:positionV>
                  <wp:extent cx="3451911" cy="173693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51911" cy="173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	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Capítulo III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</w:rPr>
              <w:t xml:space="preserve">Procedimientos de provisión de carácter extraordinario</w:t>
            </w:r>
          </w:p>
          <w:p>
            <w:pPr>
              <w:spacing w:after="0" w:before="0" w:line="86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ight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V</w:t>
            </w:r>
          </w:p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Adquisición y pérdida de la relación de servicio</w:t>
            </w:r>
          </w:p>
          <w:p>
            <w:pPr>
              <w:tabs>
                <w:tab w:val="left" w:pos="216"/>
              </w:tabs>
              <w:spacing w:after="86" w:before="0" w:line="240" w:lineRule="auto"/>
            </w:pPr>
            <w:r>
              <w:drawing>
                <wp:anchor distT="0" distB="0" distL="0" distR="0" simplePos="0" allowOverlap="1" behindDoc="1" locked="1" layoutInCell="1" relativeHeight="17369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-15421</wp:posOffset>
                  </wp:positionV>
                  <wp:extent cx="4244498" cy="173693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44498" cy="173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	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Capítulo I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</w:rPr>
              <w:t xml:space="preserve">Adquisición y pérdida de la condición de personal funcionario de carrera</w:t>
            </w:r>
          </w:p>
          <w:p>
            <w:pPr>
              <w:tabs>
                <w:tab w:val="left" w:pos="216"/>
              </w:tabs>
              <w:spacing w:after="86" w:before="0" w:line="240" w:lineRule="auto"/>
            </w:pPr>
            <w:r>
              <w:drawing>
                <wp:anchor distT="0" distB="0" distL="0" distR="0" simplePos="0" allowOverlap="1" behindDoc="1" locked="1" layoutInCell="1" relativeHeight="17369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-15421</wp:posOffset>
                  </wp:positionV>
                  <wp:extent cx="3918139" cy="173693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18139" cy="173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	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Capítulo II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</w:rPr>
              <w:t xml:space="preserve">Rehabilitación de la condición de personal funcionario de carrera</w:t>
            </w:r>
          </w:p>
          <w:p>
            <w:pPr>
              <w:tabs>
                <w:tab w:val="left" w:pos="216"/>
              </w:tabs>
              <w:spacing w:after="0" w:before="0" w:line="240" w:lineRule="auto"/>
            </w:pPr>
            <w:r>
              <w:drawing>
                <wp:anchor distT="0" distB="0" distL="0" distR="0" simplePos="0" allowOverlap="1" behindDoc="1" locked="1" layoutInCell="1" relativeHeight="17369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-15421</wp:posOffset>
                  </wp:positionV>
                  <wp:extent cx="3735304" cy="173693"/>
                  <wp:effectExtent t="0" r="0" b="0" l="0"/>
                  <wp:wrapNone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5304" cy="173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 xml:space="preserve">	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Capítulo III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</w:rPr>
              <w:t xml:space="preserve">Adquisición y pérdida de la condición de personal laboral fijo</w:t>
            </w:r>
          </w:p>
          <w:p>
            <w:pPr>
              <w:spacing w:after="0" w:before="0" w:line="29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0" w:before="0" w:line="144" w:lineRule="exact"/>
      </w:pPr>
      <w:r>
        <w:rPr>
          <w:sz w:val="2"/>
          <w:szCs w:val="2"/>
        </w:rPr>
        <w:t xml:space="preserve"/>
      </w:r>
    </w:p>
    <w:p>
      <w:pPr>
        <w:spacing w:after="0" w:before="0"/>
      </w:pPr>
      <w:r>
        <w:drawing>
          <wp:anchor distT="0" distB="0" distL="0" distR="0" simplePos="0" allowOverlap="1" behindDoc="1" locked="1" layoutInCell="1" relativeHeight="45709">
            <wp:simplePos x="0" y="0"/>
            <wp:positionH relativeFrom="page">
              <wp:posOffset>3129307</wp:posOffset>
            </wp:positionH>
            <wp:positionV relativeFrom="paragraph">
              <wp:posOffset>187411</wp:posOffset>
            </wp:positionV>
            <wp:extent cx="555816" cy="4570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16" cy="457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inline distT="0" distB="0" distL="0" distR="0">
            <wp:extent cx="201118" cy="21025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18" cy="21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  Este decreto desarrolla los Títulos </w:t>
      </w:r>
      <w:r>
        <w:rPr>
          <w:rFonts w:ascii="Poppins" w:cs="Poppins" w:eastAsia="Poppins" w:hAnsi="Poppins"/>
          <w:b/>
          <w:bCs/>
          <w:color w:val="143548"/>
          <w:sz w:val="22"/>
          <w:szCs w:val="22"/>
        </w:rPr>
        <w:t xml:space="preserve">8, 9 y 10</w:t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 de la </w:t>
      </w:r>
      <w:r>
        <w:rPr>
          <w:rFonts w:ascii="Poppins" w:cs="Poppins" w:eastAsia="Poppins" w:hAnsi="Poppins"/>
          <w:b/>
          <w:bCs/>
          <w:color w:val="143548"/>
          <w:sz w:val="20"/>
          <w:szCs w:val="20"/>
        </w:rPr>
        <w:t xml:space="preserve">LFPA</w:t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.</w:t>
      </w:r>
    </w:p>
    <w:p>
      <w:pPr>
        <w:pageBreakBefore/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pStyle w:val="tight"/>
      </w:pPr>
      <w:r>
        <w:drawing>
          <wp:inline distT="0" distB="0" distL="0" distR="0">
            <wp:extent cx="6115998" cy="438816"/>
            <wp:effectExtent l="0" t="0" r="0" b="0"/>
            <wp:docPr id="5001" name="Forma 50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15998" cy="438816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143548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b/>
                            <w:bCs/>
                            <w:color w:val="FFFFFF"/>
                            <w:sz w:val="30"/>
                            <w:szCs w:val="30"/>
                          </w:rPr>
                          <w:t xml:space="preserve">Título preliminar: Disposiciones generales</w:t>
                        </w:r>
                      </w:p>
                    </w:txbxContent>
                  </wps:txbx>
                  <wps:bodyPr rot="0" vert="horz" wrap="square" lIns="91420" tIns="0" rIns="91420" bIns="0" anchor="ctr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0" w:before="0" w:line="144" w:lineRule="exact"/>
      </w:pPr>
      <w:r>
        <w:rPr>
          <w:sz w:val="2"/>
          <w:szCs w:val="2"/>
        </w:rPr>
        <w:t xml:space="preserve"/>
      </w:r>
    </w:p>
    <w:tbl>
      <w:tblPr>
        <w:tblW w:type="dxa" w:w="96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5"/>
        <w:gridCol w:w="1612"/>
        <w:gridCol w:w="4333"/>
        <w:gridCol w:w="2146"/>
      </w:tblGrid>
      <w:tr>
        <w:tc>
          <w:tcPr>
            <w:tcW w:type="dxa" w:w="155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1 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Objeto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Desarrollo LFPA en materia de: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tbl>
            <w:tblPr>
              <w:tblW w:type="dxa" w:w="6277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139"/>
              <w:gridCol w:w="3139"/>
            </w:tblGrid>
            <w:tr>
              <w:tc>
                <w:tcPr>
                  <w:tcW w:type="dxa" w:w="313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1"/>
                  </w:tcMar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Planificación y ordenación del empleo público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Acceso al empleo público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Promoción interna</w:t>
                  </w:r>
                </w:p>
              </w:tc>
              <w:tc>
                <w:tcPr>
                  <w:tcW w:type="dxa" w:w="313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1"/>
                  </w:tcMar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Provisión de puestos de trabajo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Adquisición y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7BB9"/>
                      <w:sz w:val="16"/>
                      <w:szCs w:val="16"/>
                    </w:rPr>
                    <w:t xml:space="preserve">pérdida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 de la relación de servicio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Movilidad del personal funcionario de la AJA</w:t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1555"/>
            <w:vMerge w:val="restart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2 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Ámbito de aplicación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funcionario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En las Consejerías,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Delegaciones del Gobierno,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Delegaciones Territoriales o Provinciales,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otros órganos dependientes o vinculados a la AJA,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y en las AA, ARE o APE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regirán por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D 51/25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funcionario de la DA1ª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de Letrados/as.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de Inspección de OTUyV,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de Subinspección de OTUyV.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Facultativo de Instit. Sanitarias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Especialidad Investigación Agraria y Pesquera (…),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Ayudantes Técnicos (Medio Ambiente)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(y Técnico) de Interv. y Auditoría.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regirán por su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normativa específica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72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todo no previsto en la misma, se rigen por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LFPA y D 51/25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;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laboral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Legislación laboral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EBEP y restantes legislación estatal de carácter básico aplicable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Preceptos de la LFPA y D 51/25 que así lo dispongan expresamente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Normas convencionales que sean de aplicación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del art 3.1 LFPA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Servicio Andaluz de Salud.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Admin. de Justicia.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Universidades públicas: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Funcionario docente universitario.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Funcionario y laboral de admin y servicios.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Administraciones locales.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Oficina Andaluza contra el Fraude y la Corrupción,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Consultivo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Audiovisual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Económico y Social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de Transparencia y Protección de Datos,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Otras entidades públicas con personalidad jurídica.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Personal investigador.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Personal eventual.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todo lo no previsto en su legislación específica, el D 51/25 tendrá carácter supletorio.</w:t>
            </w:r>
          </w:p>
        </w:tc>
      </w:tr>
      <w:tr>
        <w:tc>
          <w:tcPr>
            <w:tcW w:type="dxa" w:w="1555"/>
            <w:vMerge w:val="restart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3 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Principios en el acceso al empleo público y la provisión de puestos</w:t>
            </w:r>
          </w:p>
          <w:p>
            <w:pPr>
              <w:spacing w:after="0" w:before="86"/>
              <w:jc w:val="center"/>
            </w:pPr>
            <w:r>
              <w:rPr>
                <w:rFonts w:ascii="Arial" w:cs="Arial" w:eastAsia="Arial" w:hAnsi="Arial"/>
                <w:b/>
                <w:bCs/>
                <w:color w:val="143548"/>
                <w:spacing w:val="24"/>
                <w:sz w:val="12"/>
                <w:szCs w:val="12"/>
                <w:shd w:fill="9DDFEA" w:color="auto" w:val="clear"/>
              </w:rPr>
              <w:t xml:space="preserve"> ♥ ¡TEST! 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Acceso F y 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Procesos selectivos con respeto a los ppios CE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 y capacidad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Publicidad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Transparencia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Imparcialidad y profesionalidad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los miembros de los órganos de selección.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Independencia y discrecionalidad técnica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la actuación de los órganos de selección, así como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confidencialidad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su actuación.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Fiabilidad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validez predictiva de los instrumentos y procesos.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Adecuación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entre el contenido de los procesos selectivos y las funciones.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Agilidad y eficiencia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sin perjuicio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objetividad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en los procesos de selección.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Provisión FC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llevará a cabo mediante los ppios de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mérito, capacidad, publicidad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y en su caso, para puestos provistos por libre designación (PLD),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idoneidad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Interinos y Laboral Temporal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/>
                <w:bCs/>
                <w:color w:val="222222"/>
                <w:sz w:val="16"/>
                <w:szCs w:val="16"/>
              </w:rPr>
              <w:t xml:space="preserve">Procedimientos ágiles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que garanticen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mérito, capacidad, publicidad y celeridad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Discapacidad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= de oportunidades, no discriminación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accesibilidad universal.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Igualdad M y H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Medidas específicas para alcanzar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la = de oportunidades entre M y H.</w:t>
            </w:r>
          </w:p>
        </w:tc>
      </w:tr>
      <w:tr>
        <w:tc>
          <w:tcPr>
            <w:tcW w:type="dxa" w:w="155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4 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Fundamentos y criterios de actuación en los planes de ordenación de RRHH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Los planes de ordenación de RRHH deben basarse en los siguientes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fundamentos</w:t>
            </w: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 y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criterios de actuación</w:t>
            </w: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: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Transparencia y participación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Negociación colectiva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Eficacia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la prestación de los servicios públicos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Eficiencia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el empleo de los recursos económicos disponibles.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Buena administración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calidad e innovación de los servicios públicos.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Racionalidad organizativa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simplific. de procedimientos y mejora regulatoria.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Compromiso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con el personal y el empleo público.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oportunidades, no discriminación y accesibilidad universal.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Incorporación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perspectiva de género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todas las fases de la planificación.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Formación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cualificación profesional permanente.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Fomento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conciliación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la vida profesional con la personal y familiar.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Evaluación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ex post de su aplicación.</w:t>
            </w:r>
          </w:p>
        </w:tc>
      </w:tr>
    </w:tbl>
    <w:p>
      <w:pPr>
        <w:spacing w:after="0" w:before="0" w:line="29" w:lineRule="exact"/>
      </w:pPr>
      <w:r>
        <w:rPr>
          <w:sz w:val="2"/>
          <w:szCs w:val="2"/>
        </w:rPr>
        <w:t xml:space="preserve"/>
      </w:r>
    </w:p>
    <w:sectPr>
      <w:headerReference w:type="default" r:id="rId9"/>
      <w:footerReference w:type="default" r:id="rId10"/>
      <w:type w:val="nextPage"/>
      <w:pgSz w:w="11906" w:h="16838" w:orient="portrait"/>
      <w:pgMar w:top="576" w:right="1137" w:bottom="806" w:left="1137" w:header="0" w:footer="165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tight"/>
    </w:pPr>
    <w:r>
      <w:drawing>
        <wp:inline distT="0" distB="0" distL="0" distR="0">
          <wp:extent cx="7560197" cy="2742514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197" cy="274251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24262A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173" w:hanging="158"/>
      </w:pPr>
      <w:rPr>
        <w:rFonts w:ascii="Arial" w:cs="Arial" w:eastAsia="Arial" w:hAnsi="Arial"/>
        <w:color w:val="6FD0E0"/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43548"/>
        <w:sz w:val="20"/>
        <w:szCs w:val="20"/>
      </w:rPr>
    </w:rPrDefault>
    <w:pPrDefault>
      <w:pPr>
        <w:spacing w:after="0" w:before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ght">
    <w:name w:val="Ajustado"/>
    <w:basedOn w:val="Normal"/>
    <w:pPr>
      <w:spacing w:after="0" w:before="0" w:line="240" w:lineRule="auto"/>
    </w:pPr>
    <w:rPr>
      <w:sz w:val="2"/>
      <w:szCs w:val="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header" Target="header1.xml"/><Relationship Id="rId10" Type="http://schemas.openxmlformats.org/officeDocument/2006/relationships/footer" Target="footer3.xml"/><Relationship Id="rId11" Type="http://schemas.openxmlformats.org/officeDocument/2006/relationships/image" Target="media/72c5a61c863eea089c8b30b56cbdd74af2f59963.png"/><Relationship Id="rId12" Type="http://schemas.openxmlformats.org/officeDocument/2006/relationships/image" Target="media/7c8f234c9c8c96ba6ff5a333616cf07292d94036.png"/><Relationship Id="rId13" Type="http://schemas.openxmlformats.org/officeDocument/2006/relationships/image" Target="media/7e26a7b80e98ca0df6000cfc37001c903d459390.png"/><Relationship Id="rId14" Type="http://schemas.openxmlformats.org/officeDocument/2006/relationships/image" Target="media/968207f9e902281fac92cca29e1f98a6ebed1f7c.png"/><Relationship Id="rId15" Type="http://schemas.openxmlformats.org/officeDocument/2006/relationships/image" Target="media/68b2f086c5efc2a067c088129fc547b53da9e674.png"/><Relationship Id="rId16" Type="http://schemas.openxmlformats.org/officeDocument/2006/relationships/image" Target="media/73a42a6e0096a06e8cddf6cec3b1718733eff6aa.png"/><Relationship Id="rId17" Type="http://schemas.openxmlformats.org/officeDocument/2006/relationships/image" Target="media/b6265c215ed753e697c847426427ade6064549dd.png"/><Relationship Id="rId18" Type="http://schemas.openxmlformats.org/officeDocument/2006/relationships/image" Target="media/3b19679119a7fef386de0d2ef6772edb38ac27d5.png"/><Relationship Id="rId19" Type="http://schemas.openxmlformats.org/officeDocument/2006/relationships/image" Target="media/17f3a256eb089b114ea98864976e21c5e4c19675.png"/><Relationship Id="rId20" Type="http://schemas.openxmlformats.org/officeDocument/2006/relationships/image" Target="media/7d2f03e8a8c20c76817e58624f1573cb9cd57fd7.png"/><Relationship Id="rId21" Type="http://schemas.openxmlformats.org/officeDocument/2006/relationships/image" Target="media/0762be3159da237f3d4699bf68b01f2d2560d75e.png"/><Relationship Id="rId22" Type="http://schemas.openxmlformats.org/officeDocument/2006/relationships/image" Target="media/bf86fecc80381979cf07afd1529af716dd6ad5fd.png"/><Relationship Id="rId23" Type="http://schemas.openxmlformats.org/officeDocument/2006/relationships/image" Target="media/21ddbb95eb1455b753fce23c351035fd35b73e77.png"/><Relationship Id="rId24" Type="http://schemas.openxmlformats.org/officeDocument/2006/relationships/image" Target="media/f5a2bc74162a5b5919a8c8e6c6de852d42b9cc31.png"/><Relationship Id="rId25" Type="http://schemas.openxmlformats.org/officeDocument/2006/relationships/image" Target="media/af532c81546c51b90fe960b18e6334afa034066e.png"/><Relationship Id="rId26" Type="http://schemas.openxmlformats.org/officeDocument/2006/relationships/image" Target="media/23bb193f94e8a40efa945ec38eb0403e558519b0.png"/><Relationship Id="rId27" Type="http://schemas.openxmlformats.org/officeDocument/2006/relationships/image" Target="media/00de0c4e237c0116725d7b18d16671c1f32fc52f.png"/><Relationship Id="rId28" Type="http://schemas.openxmlformats.org/officeDocument/2006/relationships/image" Target="media/bced75ec19c8f797ca743939457df22536c74152.png"/><Relationship Id="rId29" Type="http://schemas.openxmlformats.org/officeDocument/2006/relationships/image" Target="media/b782298e71e64b8018b8480d17b3fb44af9b9c93.png"/><Relationship Id="rId30" Type="http://schemas.openxmlformats.org/officeDocument/2006/relationships/image" Target="media/3f9a0b4b7b9aca316dc3b1f1c6b011208c170f3a.png"/><Relationship Id="rId31" Type="http://schemas.openxmlformats.org/officeDocument/2006/relationships/image" Target="media/ea0e63a6df524e4d020fb3fa5bef39f48536b69e.png"/><Relationship Id="rId32" Type="http://schemas.openxmlformats.org/officeDocument/2006/relationships/image" Target="media/4ff41605a7f63525eabf3aa4f52c29a3381e8f7e.png"/><Relationship Id="rId33" Type="http://schemas.openxmlformats.org/officeDocument/2006/relationships/image" Target="media/a4196e56f3ff8542ced7b8cc085e9d17d123c7f6.png"/><Relationship Id="rId34" Type="http://schemas.openxmlformats.org/officeDocument/2006/relationships/image" Target="media/2cda36f89e06a643a12c8d8425dd9543869dc69e.png"/><Relationship Id="rId35" Type="http://schemas.openxmlformats.org/officeDocument/2006/relationships/image" Target="media/6ffc9d2b5a0f806fc155a230d00ec613a775e571.png"/><Relationship Id="rId36" Type="http://schemas.openxmlformats.org/officeDocument/2006/relationships/image" Target="media/a9ebee844b508a2201af6dcf3dc6d826f7c7c49c.png"/><Relationship Id="rId37" Type="http://schemas.openxmlformats.org/officeDocument/2006/relationships/image" Target="media/1732e5647359a32dd53b18319dd508afa67e146b.png"/><Relationship Id="rId38" Type="http://schemas.openxmlformats.org/officeDocument/2006/relationships/image" Target="media/a833345833843045b5e6ae10310b064f9f2e3124.png"/><Relationship Id="rId39" Type="http://schemas.openxmlformats.org/officeDocument/2006/relationships/image" Target="media/50b3d609f24c1dac5c65da7c227f5a281e2929ec.png"/><Relationship Id="rId40" Type="http://schemas.openxmlformats.org/officeDocument/2006/relationships/image" Target="media/39564bde02e0d69c46cf0d94be53b21ff376cc10.png"/><Relationship Id="rId41" Type="http://schemas.openxmlformats.org/officeDocument/2006/relationships/image" Target="media/c5d05ba92ec1e96d30ae257ed0bf182d8dd786a4.png"/><Relationship Id="rId42" Type="http://schemas.openxmlformats.org/officeDocument/2006/relationships/image" Target="media/db01f9074f9ac9a6b5740b4c2451ec443b635061.png"/><Relationship Id="rId43" Type="http://schemas.openxmlformats.org/officeDocument/2006/relationships/image" Target="media/b3f71a922d97791a7f9dba95f44adf4a1afbd36b.png"/><Relationship Id="rId44" Type="http://schemas.openxmlformats.org/officeDocument/2006/relationships/image" Target="media/8c08a42922810a5262e01e2572ba313bb563044f.png"/><Relationship Id="rId45" Type="http://schemas.openxmlformats.org/officeDocument/2006/relationships/image" Target="media/1aaada6219a2dd1923ac4b724b81574c4691a231.png"/><Relationship Id="rId46" Type="http://schemas.openxmlformats.org/officeDocument/2006/relationships/image" Target="media/24a42ff1bd2b76e36b9dc2fd19cce5c82c8faa04.png"/><Relationship Id="rId47" Type="http://schemas.openxmlformats.org/officeDocument/2006/relationships/image" Target="media/d91ba892978a2a94f0403c975bbd6d7aa1a606f2.png"/><Relationship Id="rId48" Type="http://schemas.openxmlformats.org/officeDocument/2006/relationships/image" Target="media/55dc54096790e352c6cb6bad4302895ef8ccfc0a.png"/><Relationship Id="rId49" Type="http://schemas.openxmlformats.org/officeDocument/2006/relationships/image" Target="media/613aba00efc056fe1a60147be3a92450563c136c.png"/><Relationship Id="rId50" Type="http://schemas.openxmlformats.org/officeDocument/2006/relationships/fontTable" Target="fontTable.xml"/><Relationship Id="rIdBADGE" Type="http://schemas.openxmlformats.org/officeDocument/2006/relationships/image" Target="media/librito_grupo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1c7dbea1f7e1cc12bb94a13c7e0f730644ae0ef5.png"/></Relationships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Decreto 51/2025, de 24 de febrero</dc:title>
  <dc:creator>Opovisual</dc:creator>
  <cp:lastModifiedBy>Un-named</cp:lastModifiedBy>
  <cp:revision>1</cp:revision>
  <dcterms:created xsi:type="dcterms:W3CDTF">2026-10-21T22:40:39.667Z</dcterms:created>
  <dcterms:modified xsi:type="dcterms:W3CDTF">2026-10-21T22:40:39.667Z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