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ght"/>
      </w:pPr>
      <w:r>
        <w:drawing>
          <wp:inline distT="0" distB="0" distL="0" distR="0">
            <wp:extent cx="7560197" cy="301676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197" cy="301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432" w:lineRule="exact"/>
      </w:pPr>
      <w:r>
        <w:rPr>
          <w:sz w:val="2"/>
          <w:szCs w:val="2"/>
        </w:rPr>
        <w:t xml:space="preserve"/>
      </w:r>
    </w:p>
    <w:p>
      <w:pPr>
        <w:spacing w:after="0" w:before="0" w:line="200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58" w:before="0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4" w:before="0" w:line="24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pStyle w:val="tight"/>
        <w:spacing w:after="0" w:before="0"/>
        <w:jc w:val="center"/>
      </w:pPr>
      <w:r>
        <w:drawing>
          <wp:inline distT="0" distB="0" distL="0" distR="0">
            <wp:extent cx="999221" cy="265118"/>
            <wp:effectExtent l="0" t="0" r="0" b="0"/>
            <wp:docPr id="5001" name="Forma 50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9221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Planificación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1502031" cy="265118"/>
            <wp:effectExtent l="0" t="0" r="0" b="0"/>
            <wp:docPr id="5002" name="Forma 50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02031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Selección de personal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1306392" cy="265118"/>
            <wp:effectExtent l="0" t="0" r="0" b="0"/>
            <wp:docPr id="5003" name="Forma 50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6392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Promoción interna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pStyle w:val="tight"/>
        <w:spacing w:after="0" w:before="86"/>
        <w:jc w:val="center"/>
      </w:pPr>
      <w:r>
        <w:drawing>
          <wp:inline distT="0" distB="0" distL="0" distR="0">
            <wp:extent cx="2010326" cy="265118"/>
            <wp:effectExtent l="0" t="0" r="0" b="0"/>
            <wp:docPr id="5004" name="Forma 50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10326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Provisión de puestos de trabajo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831922" cy="265118"/>
            <wp:effectExtent l="0" t="0" r="0" b="0"/>
            <wp:docPr id="5005" name="Forma 50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1922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Movilidad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2855047" cy="265118"/>
            <wp:effectExtent l="0" t="0" r="0" b="0"/>
            <wp:docPr id="5006" name="Forma 50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55047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Adquisición y pérdida de la relación de servicio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144"/>
        <w:jc w:val="center"/>
      </w:pPr>
      <w:r>
        <w:drawing>
          <wp:inline distT="0" distB="0" distL="0" distR="0">
            <wp:extent cx="530219" cy="50279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9" cy="5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footerReference w:type="first" r:id="rId8"/>
          <w:pgSz w:w="11906" w:h="16838" w:orient="portrait"/>
          <w:pgMar w:top="0" w:right="0" w:bottom="4319" w:left="0" w:header="0" w:footer="0" w:gutter="0"/>
          <w:pgNumType/>
          <w:titlePg/>
          <w:docGrid w:linePitch="360"/>
        </w:sectPr>
      </w:pPr>
    </w:p>
    <w:p>
      <w:pPr>
        <w:pStyle w:val="tight"/>
      </w:pPr>
      <w:r>
        <w:drawing>
          <wp:inline distT="0" distB="0" distL="0" distR="0">
            <wp:extent cx="6115998" cy="1554140"/>
            <wp:effectExtent l="0" t="0" r="0" b="0"/>
            <wp:docPr id="5007" name="Titular 5007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115998" cy="1554140"/>
                      <a:chOff x="0" y="0"/>
                      <a:chExt cx="6115998" cy="1554140"/>
                    </a:xfrm>
                  </wpg:grpSpPr>
                  <wps:wsp>
                    <wps:cNvPr id="5907" name="Bloque"/>
                    <wps:cNvSpPr/>
                    <wps:spPr>
                      <a:xfrm>
                        <a:off x="219408" y="219408"/>
                        <a:ext cx="5896590" cy="1334732"/>
                      </a:xfrm>
                      <a:prstGeom prst="roundRect">
                        <a:avLst>
                          <a:gd name="adj" fmla="val 11000"/>
                        </a:avLst>
                      </a:prstGeom>
                      <a:solidFill>
                        <a:srgbClr val="D1EDF9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76" w:lineRule="auto"/>
                            <w:jc w:val="left"/>
                          </w:pPr>
                          <w:r>
                            <w:rPr>
                              <w:rFonts w:ascii="Poppins" w:hAnsi="Poppins" w:cs="Poppins"/>
                              <w:b/>
                              <w:bCs/>
                              <w:color w:val="143548"/>
                              <w:sz w:val="24"/>
                              <w:szCs w:val="24"/>
                            </w:rPr>
                    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                    </w:r>
                        </w:p>
                      </w:txbxContent>
                    </wps:txbx>
                    <wps:bodyPr rot="0" vert="horz" wrap="square" lIns="274260" tIns="109704" rIns="237692" bIns="91420" anchor="ctr" anchorCtr="0">
                      <a:noAutofit/>
                    </wps:bodyPr>
                  </wps:wsp>
                  <pic:pic xmlns:pic="http://schemas.openxmlformats.org/drawingml/2006/picture">
                    <pic:nvPicPr>
                      <pic:cNvPr id="5908" name="Librito"/>
                      <pic:cNvPicPr/>
                    </pic:nvPicPr>
                    <pic:blipFill>
                      <a:blip r:embed="rIdBADGE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5384" cy="475384"/>
                      </a:xfrm>
                      <a:prstGeom prst="ellipse">
                        <a:avLst/>
                      </a:prstGeom>
                    </pic:spPr>
                  </pic:pic>
                </wpg:wgp>
              </a:graphicData>
            </a:graphic>
          </wp:inline>
        </w:drawing>
      </w:r>
    </w:p>
    <w:p>
      <w:pPr>
        <w:spacing w:after="0" w:before="0" w:line="173" w:lineRule="exact"/>
      </w:pPr>
      <w:r>
        <w:rPr>
          <w:sz w:val="2"/>
          <w:szCs w:val="2"/>
        </w:rPr>
        <w:t xml:space="preserve"/>
      </w:r>
    </w:p>
    <w:p>
      <w:pPr>
        <w:pStyle w:val="tight"/>
      </w:pPr>
      <w:r>
        <w:drawing>
          <wp:inline distT="0" distB="0" distL="0" distR="0">
            <wp:extent cx="1371300" cy="292544"/>
            <wp:effectExtent l="0" t="0" r="0" b="0"/>
            <wp:docPr id="5008" name="Forma 50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71300" cy="292544"/>
                    </a:xfrm>
                    <a:prstGeom prst="flowChartDelay">
                      <a:avLst/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pacing w:val="42"/>
                            <w:sz w:val="17"/>
                            <w:szCs w:val="17"/>
                          </w:rPr>
                          <w:t xml:space="preserve">ESTRUCTURA</w:t>
                        </w:r>
                      </w:p>
                    </w:txbxContent>
                  </wps:txbx>
                  <wps:bodyPr rot="0" vert="horz" wrap="square" lIns="54852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115" w:lineRule="exact"/>
      </w:pPr>
      <w:r>
        <w:rPr>
          <w:sz w:val="2"/>
          <w:szCs w:val="2"/>
        </w:rPr>
        <w:t xml:space="preserve"/>
      </w:r>
    </w:p>
    <w:tbl>
      <w:tblPr>
        <w:tblW w:type="dxa" w:w="963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5"/>
        <w:gridCol w:w="475"/>
        <w:gridCol w:w="8681"/>
      </w:tblGrid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22854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228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PRELIMINAR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Disposiciones generales</w:t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Planificación y ordenación del empleo público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2440000" cy="173698"/>
                  <wp:effectExtent l="0" t="0" r="0" b="0"/>
                  <wp:docPr id="5009" name="Forma 500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40000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Planificación de recursos humanos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pacing w:val="110"/>
                <w:sz w:val="2"/>
                <w:szCs w:val="2"/>
              </w:rPr>
              <w:t xml:space="preserve"> </w:t>
            </w:r>
            <w:r>
              <w:drawing>
                <wp:inline distT="0" distB="0" distL="0" distR="0">
                  <wp:extent cx="2896186" cy="173698"/>
                  <wp:effectExtent l="0" t="0" r="0" b="0"/>
                  <wp:docPr id="5010" name="Forma 50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896186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Planes de ordenación de recursos humanos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2043237" cy="173698"/>
                  <wp:effectExtent l="0" t="0" r="0" b="0"/>
                  <wp:docPr id="5011" name="Forma 50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043237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Oferta de empleo público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Selección de personal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1643732" cy="173698"/>
                  <wp:effectExtent l="0" t="0" r="0" b="0"/>
                  <wp:docPr id="5012" name="Forma 501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pacing w:val="110"/>
                <w:sz w:val="2"/>
                <w:szCs w:val="2"/>
              </w:rPr>
              <w:t xml:space="preserve"> </w:t>
            </w:r>
            <w:r>
              <w:drawing>
                <wp:inline distT="0" distB="0" distL="0" distR="0">
                  <wp:extent cx="1807373" cy="173698"/>
                  <wp:effectExtent l="0" t="0" r="0" b="0"/>
                  <wp:docPr id="5013" name="Forma 50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07373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Sistema de selección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2924526" cy="173698"/>
                  <wp:effectExtent l="0" t="0" r="0" b="0"/>
                  <wp:docPr id="5014" name="Forma 501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924526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Inicio y desarrollo de los procesos selectivos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pacing w:val="110"/>
                <w:sz w:val="2"/>
                <w:szCs w:val="2"/>
              </w:rPr>
              <w:t xml:space="preserve"> </w:t>
            </w:r>
            <w:r>
              <w:drawing>
                <wp:inline distT="0" distB="0" distL="0" distR="0">
                  <wp:extent cx="2435429" cy="173698"/>
                  <wp:effectExtent l="0" t="0" r="0" b="0"/>
                  <wp:docPr id="5015" name="Forma 501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35429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IV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Personal funcionario en prácticas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1994784" cy="173698"/>
                  <wp:effectExtent l="0" t="0" r="0" b="0"/>
                  <wp:docPr id="5016" name="Forma 501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994784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V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Comisiones de selección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4189779" cy="173698"/>
                  <wp:effectExtent l="0" t="0" r="0" b="0"/>
                  <wp:docPr id="5017" name="Forma 501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189779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VI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Selección de personal funcionario interino y personal laboral temporal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Promoción interna del personal funcionario de carrera y del personal laboral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1643732" cy="173698"/>
                  <wp:effectExtent l="0" t="0" r="0" b="0"/>
                  <wp:docPr id="5018" name="Forma 501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760105" cy="173698"/>
                  <wp:effectExtent l="0" t="0" r="0" b="0"/>
                  <wp:docPr id="5019" name="Forma 50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760105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Promoción interna vertical del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904548" cy="173698"/>
                  <wp:effectExtent l="0" t="0" r="0" b="0"/>
                  <wp:docPr id="5020" name="Forma 502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04548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Promoción interna horizontal del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IV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Provisión de puestos de trabajo y movilidad del personal funcionario y laboral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1643732" cy="173698"/>
                  <wp:effectExtent l="0" t="0" r="0" b="0"/>
                  <wp:docPr id="5021" name="Forma 50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4336051" cy="173698"/>
                  <wp:effectExtent l="0" t="0" r="0" b="0"/>
                  <wp:docPr id="5022" name="Forma 502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33605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Procedimientos ordinarios de provisión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452019" cy="173698"/>
                  <wp:effectExtent l="0" t="0" r="0" b="0"/>
                  <wp:docPr id="5023" name="Forma 502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452019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Procedimientos de provisión de carácter extraordinario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V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Adquisición y pérdida de la relación de servicio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4244631" cy="173698"/>
                  <wp:effectExtent l="0" t="0" r="0" b="0"/>
                  <wp:docPr id="5024" name="Forma 502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24463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Adquisición y pérdida de la condición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918261" cy="173698"/>
                  <wp:effectExtent l="0" t="0" r="0" b="0"/>
                  <wp:docPr id="5025" name="Forma 50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1826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Rehabilitación de la condición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735421" cy="173698"/>
                  <wp:effectExtent l="0" t="0" r="0" b="0"/>
                  <wp:docPr id="5026" name="Forma 502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73542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Adquisición y pérdida de la condición de personal laboral fijo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29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  <w:shd w:fill="9DDFEA" w:color="auto" w:val="clear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pageBreakBefore/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pStyle w:val="tight"/>
      </w:pPr>
      <w:r>
        <w:drawing>
          <wp:inline distT="0" distB="0" distL="0" distR="0">
            <wp:extent cx="6115998" cy="438816"/>
            <wp:effectExtent l="0" t="0" r="0" b="0"/>
            <wp:docPr id="5027" name="Forma 50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998" cy="438816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Título preliminar: Disposiciones generales</w:t>
                        </w:r>
                      </w:p>
                    </w:txbxContent>
                  </wps:txbx>
                  <wps:bodyPr rot="0" vert="horz" wrap="square" lIns="91420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9"/>
      <w:footerReference w:type="default" r:id="rId10"/>
      <w:type w:val="nextPage"/>
      <w:pgSz w:w="11906" w:h="16838" w:orient="portrait"/>
      <w:pgMar w:top="662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tight"/>
    </w:pPr>
    <w:r>
      <w:drawing>
        <wp:inline distT="0" distB="0" distL="0" distR="0">
          <wp:extent cx="7560197" cy="2742514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27425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ght">
    <w:name w:val="Ajustado"/>
    <w:basedOn w:val="Normal"/>
    <w:pPr>
      <w:spacing w:after="0" w:before="0" w:line="240" w:lineRule="auto"/>
    </w:pPr>
    <w:rPr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1.xml"/><Relationship Id="rId10" Type="http://schemas.openxmlformats.org/officeDocument/2006/relationships/footer" Target="footer3.xml"/><Relationship Id="rId11" Type="http://schemas.openxmlformats.org/officeDocument/2006/relationships/image" Target="media/72c5a61c863eea089c8b30b56cbdd74af2f59963.png"/><Relationship Id="rId12" Type="http://schemas.openxmlformats.org/officeDocument/2006/relationships/image" Target="media/7c8f234c9c8c96ba6ff5a333616cf07292d94036.png"/><Relationship Id="rId13" Type="http://schemas.openxmlformats.org/officeDocument/2006/relationships/image" Target="media/17f3a256eb089b114ea98864976e21c5e4c19675.png"/><Relationship Id="rId14" Type="http://schemas.openxmlformats.org/officeDocument/2006/relationships/image" Target="media/bf86fecc80381979cf07afd1529af716dd6ad5fd.png"/><Relationship Id="rId15" Type="http://schemas.openxmlformats.org/officeDocument/2006/relationships/image" Target="media/21ddbb95eb1455b753fce23c351035fd35b73e77.png"/><Relationship Id="rId16" Type="http://schemas.openxmlformats.org/officeDocument/2006/relationships/image" Target="media/00de0c4e237c0116725d7b18d16671c1f32fc52f.png"/><Relationship Id="rId17" Type="http://schemas.openxmlformats.org/officeDocument/2006/relationships/image" Target="media/2cda36f89e06a643a12c8d8425dd9543869dc69e.png"/><Relationship Id="rId18" Type="http://schemas.openxmlformats.org/officeDocument/2006/relationships/image" Target="media/1732e5647359a32dd53b18319dd508afa67e146b.png"/><Relationship Id="rId19" Type="http://schemas.openxmlformats.org/officeDocument/2006/relationships/image" Target="media/39564bde02e0d69c46cf0d94be53b21ff376cc10.png"/><Relationship Id="rId20" Type="http://schemas.openxmlformats.org/officeDocument/2006/relationships/image" Target="media/1aaada6219a2dd1923ac4b724b81574c4691a231.png"/><Relationship Id="rId21" Type="http://schemas.openxmlformats.org/officeDocument/2006/relationships/image" Target="media/24a42ff1bd2b76e36b9dc2fd19cce5c82c8faa04.png"/><Relationship Id="rId22" Type="http://schemas.openxmlformats.org/officeDocument/2006/relationships/image" Target="media/d91ba892978a2a94f0403c975bbd6d7aa1a606f2.png"/><Relationship Id="rId23" Type="http://schemas.openxmlformats.org/officeDocument/2006/relationships/image" Target="media/55dc54096790e352c6cb6bad4302895ef8ccfc0a.png"/><Relationship Id="rId24" Type="http://schemas.openxmlformats.org/officeDocument/2006/relationships/image" Target="media/613aba00efc056fe1a60147be3a92450563c136c.png"/><Relationship Id="rId25" Type="http://schemas.openxmlformats.org/officeDocument/2006/relationships/fontTable" Target="fontTable.xml"/><Relationship Id="rIdBADGE" Type="http://schemas.openxmlformats.org/officeDocument/2006/relationships/image" Target="media/librito_grupo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1c7dbea1f7e1cc12bb94a13c7e0f730644ae0ef5.png"/></Relationships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2026-10-21T22:27:31.586Z</dcterms:created>
  <dcterms:modified xsi:type="dcterms:W3CDTF">2026-10-21T22:27:31.586Z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