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ght"/>
      </w:pPr>
      <w:r>
        <w:drawing>
          <wp:inline distT="0" distB="0" distL="0" distR="0">
            <wp:extent cx="7560197" cy="30167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197" cy="30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32" w:lineRule="exact"/>
      </w:pPr>
      <w:r>
        <w:rPr>
          <w:sz w:val="2"/>
          <w:szCs w:val="2"/>
        </w:rPr>
        <w:t xml:space="preserve"/>
      </w:r>
    </w:p>
    <w:p>
      <w:pPr>
        <w:spacing w:after="0" w:before="0" w:line="200" w:lineRule="auto"/>
        <w:jc w:val="center"/>
      </w:pPr>
      <w:r>
        <w:rPr>
          <w:rFonts w:ascii="Poppins" w:cs="Poppins" w:eastAsia="Poppins" w:hAnsi="Poppins"/>
          <w:b/>
          <w:bCs/>
          <w:color w:val="143548"/>
          <w:sz w:val="63"/>
          <w:szCs w:val="63"/>
        </w:rPr>
        <w:t xml:space="preserve">DECRETO 51/2025,</w:t>
      </w:r>
      <w:r>
        <w:br/>
      </w:r>
      <w:r>
        <w:rPr>
          <w:rFonts w:ascii="Poppins" w:cs="Poppins" w:eastAsia="Poppins" w:hAnsi="Poppins"/>
          <w:b/>
          <w:bCs/>
          <w:color w:val="143548"/>
          <w:sz w:val="63"/>
          <w:szCs w:val="63"/>
        </w:rPr>
        <w:t xml:space="preserve">DE 24 DE FEBRERO</w:t>
      </w:r>
    </w:p>
    <w:p>
      <w:pPr>
        <w:spacing w:after="58" w:before="0"/>
        <w:jc w:val="center"/>
      </w:pPr>
      <w:r>
        <w:drawing>
          <wp:inline distT="0" distB="0" distL="0" distR="0">
            <wp:extent cx="2230578" cy="2194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78" cy="2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4" w:before="0" w:line="240" w:lineRule="auto"/>
        <w:ind w:left="1627" w:right="1627"/>
        <w:jc w:val="center"/>
      </w:pPr>
      <w:r>
        <w:rPr>
          <w:rFonts w:ascii="Poppins" w:cs="Poppins" w:eastAsia="Poppins" w:hAnsi="Poppins"/>
          <w:color w:val="3A4A55"/>
          <w:sz w:val="21"/>
          <w:szCs w:val="21"/>
        </w:rPr>
        <w:t xml:space="preserve">Por el que se regula la planificación y ordenación del empleo público, y el ingreso, promoción interna y provisión de puestos de trabajo del personal de la Administración General de la Junta de Andalucía.</w:t>
      </w:r>
    </w:p>
    <w:p>
      <w:pPr>
        <w:pStyle w:val="tight"/>
        <w:spacing w:after="0" w:before="0"/>
        <w:jc w:val="center"/>
      </w:pPr>
      <w:r>
        <w:drawing>
          <wp:inline distT="0" distB="0" distL="0" distR="0">
            <wp:extent cx="999221" cy="265118"/>
            <wp:effectExtent l="0" t="0" r="0" b="0"/>
            <wp:docPr id="5001" name="Forma 50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221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Planificación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  <w:r>
        <w:rPr>
          <w:spacing w:val="120"/>
          <w:sz w:val="2"/>
          <w:szCs w:val="2"/>
        </w:rPr>
        <w:t xml:space="preserve"> </w:t>
      </w:r>
      <w:r>
        <w:drawing>
          <wp:inline distT="0" distB="0" distL="0" distR="0">
            <wp:extent cx="1502031" cy="265118"/>
            <wp:effectExtent l="0" t="0" r="0" b="0"/>
            <wp:docPr id="5002" name="Forma 5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2031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Selección de personal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  <w:r>
        <w:rPr>
          <w:spacing w:val="120"/>
          <w:sz w:val="2"/>
          <w:szCs w:val="2"/>
        </w:rPr>
        <w:t xml:space="preserve"> </w:t>
      </w:r>
      <w:r>
        <w:drawing>
          <wp:inline distT="0" distB="0" distL="0" distR="0">
            <wp:extent cx="1306392" cy="265118"/>
            <wp:effectExtent l="0" t="0" r="0" b="0"/>
            <wp:docPr id="5003" name="Forma 5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6392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Promoción interna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</w:p>
    <w:p>
      <w:pPr>
        <w:pStyle w:val="tight"/>
        <w:spacing w:after="0" w:before="86"/>
        <w:jc w:val="center"/>
      </w:pPr>
      <w:r>
        <w:drawing>
          <wp:inline distT="0" distB="0" distL="0" distR="0">
            <wp:extent cx="2010326" cy="265118"/>
            <wp:effectExtent l="0" t="0" r="0" b="0"/>
            <wp:docPr id="5004" name="Forma 5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0326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Provisión de puestos de trabajo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  <w:r>
        <w:rPr>
          <w:spacing w:val="120"/>
          <w:sz w:val="2"/>
          <w:szCs w:val="2"/>
        </w:rPr>
        <w:t xml:space="preserve"> </w:t>
      </w:r>
      <w:r>
        <w:drawing>
          <wp:inline distT="0" distB="0" distL="0" distR="0">
            <wp:extent cx="831922" cy="265118"/>
            <wp:effectExtent l="0" t="0" r="0" b="0"/>
            <wp:docPr id="5005" name="Forma 5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1922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Movilidad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  <w:r>
        <w:rPr>
          <w:spacing w:val="120"/>
          <w:sz w:val="2"/>
          <w:szCs w:val="2"/>
        </w:rPr>
        <w:t xml:space="preserve"> </w:t>
      </w:r>
      <w:r>
        <w:drawing>
          <wp:inline distT="0" distB="0" distL="0" distR="0">
            <wp:extent cx="2855047" cy="265118"/>
            <wp:effectExtent l="0" t="0" r="0" b="0"/>
            <wp:docPr id="5006" name="Forma 5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5047" cy="265118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8A8F94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color w:val="4B4F53"/>
                            <w:sz w:val="17"/>
                            <w:szCs w:val="17"/>
                          </w:rPr>
                          <w:t xml:space="preserve">Adquisición y pérdida de la relación de servicio</w:t>
                        </w:r>
                      </w:p>
                    </w:txbxContent>
                  </wps:txbx>
                  <wps:bodyPr rot="0" vert="horz" wrap="square" lIns="36568" tIns="0" rIns="36568" bIns="0" anchor="ctr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after="0" w:before="144"/>
        <w:jc w:val="center"/>
      </w:pPr>
      <w:r>
        <w:drawing>
          <wp:inline distT="0" distB="0" distL="0" distR="0">
            <wp:extent cx="530219" cy="5027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9" cy="50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footerReference w:type="first" r:id="rId8"/>
          <w:pgSz w:w="11906" w:h="16838" w:orient="portrait"/>
          <w:pgMar w:top="0" w:right="0" w:bottom="4319" w:left="0" w:header="0" w:footer="0" w:gutter="0"/>
          <w:pgNumType/>
          <w:titlePg/>
          <w:docGrid w:linePitch="360"/>
        </w:sectPr>
      </w:pPr>
    </w:p>
    <w:p>
      <w:pPr>
        <w:spacing w:after="0" w:before="0" w:line="691" w:lineRule="exact"/>
      </w:pPr>
      <w:r>
        <w:drawing>
          <wp:anchor distT="0" distB="0" distL="0" distR="0" simplePos="0" allowOverlap="1" behindDoc="1" locked="1" layoutInCell="1" relativeHeight="1572375">
            <wp:simplePos x="0" y="0"/>
            <wp:positionH relativeFrom="page">
              <wp:posOffset>484526</wp:posOffset>
            </wp:positionH>
            <wp:positionV relativeFrom="paragraph">
              <wp:posOffset>0</wp:posOffset>
            </wp:positionV>
            <wp:extent cx="6371775" cy="1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775" cy="1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t xml:space="preserve"/>
      </w:r>
    </w:p>
    <w:p>
      <w:pPr>
        <w:spacing w:after="432" w:before="0" w:line="240" w:lineRule="auto"/>
        <w:ind w:left="432" w:right="489"/>
      </w:pPr>
      <w:r>
        <w:rPr>
          <w:rFonts w:ascii="Poppins" w:cs="Poppins" w:eastAsia="Poppins" w:hAnsi="Poppins"/>
          <w:b/>
          <w:bCs/>
          <w:color w:val="143548"/>
          <w:sz w:val="24"/>
          <w:szCs w:val="24"/>
        </w:rPr>
        <w:t xml:space="preserve">Decreto 51/2025, de 24 de febrero, por el que se regula la planificación y ordenación del empleo público, y el ingreso, promoción interna y provisión de puestos de trabajo del personal de la Administración General de la Junta de Andalucía.</w:t>
      </w:r>
    </w:p>
    <w:p>
      <w:pPr>
        <w:spacing w:after="0" w:before="0" w:line="173" w:lineRule="exact"/>
      </w:pPr>
      <w:r>
        <w:rPr>
          <w:sz w:val="2"/>
          <w:szCs w:val="2"/>
        </w:rPr>
        <w:t xml:space="preserve"/>
      </w:r>
    </w:p>
    <w:p>
      <w:pPr>
        <w:spacing w:after="0" w:before="0" w:line="475" w:lineRule="exact"/>
        <w:ind w:left="317"/>
      </w:pPr>
      <w:r>
        <w:drawing>
          <wp:anchor distT="0" distB="0" distL="0" distR="0" simplePos="0" allowOverlap="1" behindDoc="1" locked="1" layoutInCell="1" relativeHeight="301677">
            <wp:simplePos x="0" y="0"/>
            <wp:positionH relativeFrom="page">
              <wp:posOffset>722218</wp:posOffset>
            </wp:positionH>
            <wp:positionV relativeFrom="paragraph">
              <wp:posOffset>0</wp:posOffset>
            </wp:positionV>
            <wp:extent cx="1343832" cy="301677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832" cy="301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" w:cs="Poppins" w:eastAsia="Poppins" w:hAnsi="Poppins"/>
          <w:b/>
          <w:bCs/>
          <w:color w:val="FFFFFF"/>
          <w:spacing w:val="42"/>
          <w:position w:val="5"/>
          <w:sz w:val="17"/>
          <w:szCs w:val="17"/>
        </w:rPr>
        <w:t xml:space="preserve">ESTRUCTURA</w:t>
      </w:r>
    </w:p>
    <w:p>
      <w:pPr>
        <w:spacing w:after="0" w:before="0" w:line="115" w:lineRule="exact"/>
      </w:pPr>
      <w:r>
        <w:rPr>
          <w:sz w:val="2"/>
          <w:szCs w:val="2"/>
        </w:rPr>
        <w:t xml:space="preserve"/>
      </w:r>
    </w:p>
    <w:tbl>
      <w:tblPr>
        <w:tblW w:type="dxa" w:w="963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5"/>
        <w:gridCol w:w="475"/>
        <w:gridCol w:w="8681"/>
      </w:tblGrid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22854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22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PRELIMINAR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Disposiciones generales</w:t>
            </w:r>
          </w:p>
          <w:p>
            <w:pPr>
              <w:spacing w:after="0" w:before="0" w:line="86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single" w:color="9DDFEA" w:sz="1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single" w:color="9DDFEA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44794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4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9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I</w:t>
            </w:r>
          </w:p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Planificación y ordenación del empleo público</w:t>
            </w:r>
          </w:p>
          <w:p>
            <w:pPr>
              <w:pStyle w:val="tight"/>
              <w:spacing w:after="0" w:before="0"/>
            </w:pPr>
            <w:r>
              <w:drawing>
                <wp:inline distT="0" distB="0" distL="0" distR="0">
                  <wp:extent cx="2440000" cy="173698"/>
                  <wp:effectExtent l="0" t="0" r="0" b="0"/>
                  <wp:docPr id="5007" name="Forma 500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40000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Planificación de recursos humanos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  <w:r>
              <w:rPr>
                <w:spacing w:val="110"/>
                <w:sz w:val="2"/>
                <w:szCs w:val="2"/>
              </w:rPr>
              <w:t xml:space="preserve"> </w:t>
            </w:r>
            <w:r>
              <w:drawing>
                <wp:inline distT="0" distB="0" distL="0" distR="0">
                  <wp:extent cx="2896186" cy="173698"/>
                  <wp:effectExtent l="0" t="0" r="0" b="0"/>
                  <wp:docPr id="5008" name="Forma 500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896186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Planes de ordenación de recursos humanos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2043237" cy="173698"/>
                  <wp:effectExtent l="0" t="0" r="0" b="0"/>
                  <wp:docPr id="5009" name="Forma 500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43237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Oferta de empleo público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spacing w:after="0" w:before="0" w:line="86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single" w:color="9DDFEA" w:sz="1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single" w:color="9DDFEA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44794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4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9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II</w:t>
            </w:r>
          </w:p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Selección de personal</w:t>
            </w:r>
          </w:p>
          <w:p>
            <w:pPr>
              <w:pStyle w:val="tight"/>
              <w:spacing w:after="0" w:before="0"/>
            </w:pPr>
            <w:r>
              <w:drawing>
                <wp:inline distT="0" distB="0" distL="0" distR="0">
                  <wp:extent cx="1643732" cy="173698"/>
                  <wp:effectExtent l="0" t="0" r="0" b="0"/>
                  <wp:docPr id="5010" name="Forma 50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43732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Normas generales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  <w:r>
              <w:rPr>
                <w:spacing w:val="110"/>
                <w:sz w:val="2"/>
                <w:szCs w:val="2"/>
              </w:rPr>
              <w:t xml:space="preserve"> </w:t>
            </w:r>
            <w:r>
              <w:drawing>
                <wp:inline distT="0" distB="0" distL="0" distR="0">
                  <wp:extent cx="1807373" cy="173698"/>
                  <wp:effectExtent l="0" t="0" r="0" b="0"/>
                  <wp:docPr id="5011" name="Forma 50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07373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Sistema de selección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2924526" cy="173698"/>
                  <wp:effectExtent l="0" t="0" r="0" b="0"/>
                  <wp:docPr id="5012" name="Forma 50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24526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Inicio y desarrollo de los procesos selectivos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  <w:r>
              <w:rPr>
                <w:spacing w:val="110"/>
                <w:sz w:val="2"/>
                <w:szCs w:val="2"/>
              </w:rPr>
              <w:t xml:space="preserve"> </w:t>
            </w:r>
            <w:r>
              <w:drawing>
                <wp:inline distT="0" distB="0" distL="0" distR="0">
                  <wp:extent cx="2435429" cy="173698"/>
                  <wp:effectExtent l="0" t="0" r="0" b="0"/>
                  <wp:docPr id="5013" name="Forma 50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35429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IV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Personal funcionario en prácticas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1994784" cy="173698"/>
                  <wp:effectExtent l="0" t="0" r="0" b="0"/>
                  <wp:docPr id="5014" name="Forma 50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994784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V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Comisiones de selección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4189779" cy="173698"/>
                  <wp:effectExtent l="0" t="0" r="0" b="0"/>
                  <wp:docPr id="5015" name="Forma 50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89779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VI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Selección de personal funcionario interino y personal laboral temporal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spacing w:after="0" w:before="0" w:line="86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single" w:color="9DDFEA" w:sz="1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single" w:color="9DDFEA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44794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4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9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III</w:t>
            </w:r>
          </w:p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Promoción interna del personal funcionario de carrera y del personal laboral</w:t>
            </w:r>
          </w:p>
          <w:p>
            <w:pPr>
              <w:pStyle w:val="tight"/>
              <w:spacing w:after="0" w:before="0"/>
            </w:pPr>
            <w:r>
              <w:drawing>
                <wp:inline distT="0" distB="0" distL="0" distR="0">
                  <wp:extent cx="1643732" cy="173698"/>
                  <wp:effectExtent l="0" t="0" r="0" b="0"/>
                  <wp:docPr id="5016" name="Forma 50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43732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Normas generales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3760105" cy="173698"/>
                  <wp:effectExtent l="0" t="0" r="0" b="0"/>
                  <wp:docPr id="5017" name="Forma 50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60105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Promoción interna vertical del personal funcionario de carrera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3904548" cy="173698"/>
                  <wp:effectExtent l="0" t="0" r="0" b="0"/>
                  <wp:docPr id="5018" name="Forma 50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904548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Promoción interna horizontal del personal funcionario de carrera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spacing w:after="0" w:before="0" w:line="86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single" w:color="9DDFEA" w:sz="1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single" w:color="9DDFEA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44794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4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9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IV</w:t>
            </w:r>
          </w:p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Provisión de puestos de trabajo y movilidad del personal funcionario y laboral</w:t>
            </w:r>
          </w:p>
          <w:p>
            <w:pPr>
              <w:pStyle w:val="tight"/>
              <w:spacing w:after="0" w:before="0"/>
            </w:pPr>
            <w:r>
              <w:drawing>
                <wp:inline distT="0" distB="0" distL="0" distR="0">
                  <wp:extent cx="1643732" cy="173698"/>
                  <wp:effectExtent l="0" t="0" r="0" b="0"/>
                  <wp:docPr id="5019" name="Forma 50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43732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Normas generales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4336051" cy="173698"/>
                  <wp:effectExtent l="0" t="0" r="0" b="0"/>
                  <wp:docPr id="5020" name="Forma 50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36051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Procedimientos ordinarios de provisión de personal funcionario de carrera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3452019" cy="173698"/>
                  <wp:effectExtent l="0" t="0" r="0" b="0"/>
                  <wp:docPr id="5021" name="Forma 50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452019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Procedimientos de provisión de carácter extraordinario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spacing w:after="0" w:before="0" w:line="86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single" w:color="9DDFEA" w:sz="1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single" w:color="9DDFEA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9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ight"/>
              <w:jc w:val="center"/>
            </w:pPr>
            <w:r>
              <w:drawing>
                <wp:inline distT="0" distB="0" distL="0" distR="0">
                  <wp:extent cx="402235" cy="44794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35" cy="4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1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9"/>
              <w:left w:type="dxa" w:w="0"/>
              <w:bottom w:type="dxa" w:w="0"/>
              <w:right w:type="dxa" w:w="0"/>
            </w:tcMar>
          </w:tcPr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6F8290"/>
                <w:sz w:val="12"/>
                <w:szCs w:val="12"/>
              </w:rPr>
              <w:t xml:space="preserve">TÍTULO V</w:t>
            </w:r>
          </w:p>
          <w:p>
            <w:pPr>
              <w:spacing w:after="43" w:before="0"/>
            </w:pPr>
            <w:r>
              <w:rPr>
                <w:rFonts w:ascii="Poppins" w:cs="Poppins" w:eastAsia="Poppins" w:hAnsi="Poppins"/>
                <w:b/>
                <w:bCs/>
                <w:color w:val="143548"/>
                <w:sz w:val="21"/>
                <w:szCs w:val="21"/>
              </w:rPr>
              <w:t xml:space="preserve">Adquisición y pérdida de la relación de servicio</w:t>
            </w:r>
          </w:p>
          <w:p>
            <w:pPr>
              <w:pStyle w:val="tight"/>
              <w:spacing w:after="0" w:before="0"/>
            </w:pPr>
            <w:r>
              <w:drawing>
                <wp:inline distT="0" distB="0" distL="0" distR="0">
                  <wp:extent cx="4244631" cy="173698"/>
                  <wp:effectExtent l="0" t="0" r="0" b="0"/>
                  <wp:docPr id="5022" name="Forma 50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44631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Adquisición y pérdida de la condición de personal funcionario de carrera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3918261" cy="173698"/>
                  <wp:effectExtent l="0" t="0" r="0" b="0"/>
                  <wp:docPr id="5023" name="Forma 50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918261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Rehabilitación de la condición de personal funcionario de carrera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pStyle w:val="tight"/>
              <w:spacing w:after="0" w:before="58"/>
            </w:pPr>
            <w:r>
              <w:drawing>
                <wp:inline distT="0" distB="0" distL="0" distR="0">
                  <wp:extent cx="3735421" cy="173698"/>
                  <wp:effectExtent l="0" t="0" r="0" b="0"/>
                  <wp:docPr id="5024" name="Forma 502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35421" cy="17369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FE3EC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143548"/>
                                  <w:sz w:val="15"/>
                                  <w:szCs w:val="15"/>
                                </w:rPr>
                                <w:t xml:space="preserve">Capítulo III </w:t>
                              </w:r>
                              <w:r>
                                <w:rPr>
                                  <w:rFonts w:ascii="Poppins" w:hAnsi="Poppins" w:cs="Poppins"/>
                                  <w:color w:val="2B2B2B"/>
                                  <w:sz w:val="15"/>
                                  <w:szCs w:val="15"/>
                                </w:rPr>
                                <w:t xml:space="preserve">Adquisición y pérdida de la condición de personal laboral fijo</w:t>
                              </w:r>
                            </w:p>
                          </w:txbxContent>
                        </wps:txbx>
                        <wps:bodyPr rot="0" vert="horz" wrap="square" lIns="54852" tIns="0" rIns="54852" bIns="0" anchor="ctr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  <w:p>
            <w:pPr>
              <w:spacing w:after="0" w:before="0" w:line="29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4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0" w:line="144" w:lineRule="exact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drawing>
          <wp:anchor distT="0" distB="0" distL="0" distR="0" simplePos="0" allowOverlap="1" behindDoc="1" locked="1" layoutInCell="1" relativeHeight="45709">
            <wp:simplePos x="0" y="0"/>
            <wp:positionH relativeFrom="page">
              <wp:posOffset>3129307</wp:posOffset>
            </wp:positionH>
            <wp:positionV relativeFrom="paragraph">
              <wp:posOffset>187411</wp:posOffset>
            </wp:positionV>
            <wp:extent cx="555816" cy="45709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6" cy="4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1118" cy="21025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18" cy="2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cs="Poppins" w:eastAsia="Poppins" w:hAnsi="Poppins"/>
          <w:color w:val="143548"/>
          <w:sz w:val="20"/>
          <w:szCs w:val="20"/>
        </w:rPr>
        <w:t xml:space="preserve">  Este decreto desarrolla los Títulos </w:t>
      </w:r>
      <w:r>
        <w:rPr>
          <w:rFonts w:ascii="Poppins" w:cs="Poppins" w:eastAsia="Poppins" w:hAnsi="Poppins"/>
          <w:b/>
          <w:bCs/>
          <w:color w:val="143548"/>
          <w:sz w:val="22"/>
          <w:szCs w:val="22"/>
        </w:rPr>
        <w:t xml:space="preserve">8, 9 y 10</w:t>
      </w:r>
      <w:r>
        <w:rPr>
          <w:rFonts w:ascii="Poppins" w:cs="Poppins" w:eastAsia="Poppins" w:hAnsi="Poppins"/>
          <w:color w:val="143548"/>
          <w:sz w:val="20"/>
          <w:szCs w:val="20"/>
        </w:rPr>
        <w:t xml:space="preserve"> de la </w:t>
      </w:r>
      <w:r>
        <w:rPr>
          <w:rFonts w:ascii="Poppins" w:cs="Poppins" w:eastAsia="Poppins" w:hAnsi="Poppins"/>
          <w:b/>
          <w:bCs/>
          <w:color w:val="143548"/>
          <w:sz w:val="20"/>
          <w:szCs w:val="20"/>
        </w:rPr>
        <w:t xml:space="preserve">LFPA</w:t>
      </w:r>
      <w:r>
        <w:rPr>
          <w:rFonts w:ascii="Poppins" w:cs="Poppins" w:eastAsia="Poppins" w:hAnsi="Poppins"/>
          <w:color w:val="143548"/>
          <w:sz w:val="20"/>
          <w:szCs w:val="20"/>
        </w:rPr>
        <w:t xml:space="preserve">.</w:t>
      </w:r>
    </w:p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pStyle w:val="tight"/>
      </w:pPr>
      <w:r>
        <w:drawing>
          <wp:inline distT="0" distB="0" distL="0" distR="0">
            <wp:extent cx="6115998" cy="438816"/>
            <wp:effectExtent l="0" t="0" r="0" b="0"/>
            <wp:docPr id="5025" name="Forma 50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15998" cy="438816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14354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Título preliminar: Disposiciones generales</w:t>
                        </w:r>
                      </w:p>
                    </w:txbxContent>
                  </wps:txbx>
                  <wps:bodyPr rot="0" vert="horz" wrap="square" lIns="91420" tIns="0" rIns="91420" bIns="0" anchor="ctr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after="0" w:before="0" w:line="144" w:lineRule="exact"/>
      </w:pPr>
      <w:r>
        <w:rPr>
          <w:sz w:val="2"/>
          <w:szCs w:val="2"/>
        </w:rP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5"/>
        <w:gridCol w:w="1612"/>
        <w:gridCol w:w="4333"/>
        <w:gridCol w:w="2146"/>
      </w:tblGrid>
      <w:tr>
        <w:tc>
          <w:tcPr>
            <w:tcW w:type="dxa" w:w="1555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1 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Objeto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Desarrollo LFPA en materia de: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tbl>
            <w:tblPr>
              <w:tblW w:type="dxa" w:w="627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39"/>
              <w:gridCol w:w="3139"/>
            </w:tblGrid>
            <w:tr>
              <w:tc>
                <w:tcPr>
                  <w:tcW w:type="dxa" w:w="3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1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Planificación y ordenación del empleo público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Acceso al empleo público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Promoción interna</w:t>
                  </w:r>
                </w:p>
              </w:tc>
              <w:tc>
                <w:tcPr>
                  <w:tcW w:type="dxa" w:w="3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1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Provisión de puestos de trabajo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Adquisición y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7BB9"/>
                      <w:sz w:val="16"/>
                      <w:szCs w:val="16"/>
                    </w:rPr>
                    <w:t xml:space="preserve">pérdida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 de la relación de servicio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193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Movilidad del personal funcionario de la AJA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1555"/>
            <w:vMerge w:val="restart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2 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Ámbito de aplicación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funcionario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En las Consejerías,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Delegaciones del Gobierno,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Delegaciones Territoriales o Provinciales,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otros órganos dependientes o vinculados a la AJA,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y en las AA, ARE o APE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regirán por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D 51/25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funcionario de la DA1ª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de Letrados/as.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de Inspección de OTUyV,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de Subinspección de OTUyV.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Facultativo de Instit. Sanitarias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Especialidad Investigación Agraria y Pesquera (…),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Ayudantes Técnicos (Medio Ambiente)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(y Técnico) de Interv. y Auditoría.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regirán por su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normativa específica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72" w:line="19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 todo no previsto en la misma, se rigen por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LFPA y D 51/25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;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laboral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Legislación laboral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EBEP y restantes legislación estatal de carácter básico aplicable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Preceptos de la LFPA y D 51/25 que así lo dispongan expresamente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Normas convencionales que sean de aplicación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del art 3.1 LFPA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Servicio Andaluz de Salud.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Admin. de Justicia.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Universidades públicas: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Funcionario docente universitario.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Funcionario y laboral de admin y servicios.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Administraciones locales.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Oficina Andaluza contra el Fraude y la Corrupción,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Consultivo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Audiovisual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Económico y Social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de Transparencia y Protección de Datos,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Otras entidades públicas con personalidad jurídica.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Personal investigador.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Personal eventual.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 todo lo no previsto en su legislación específica, el D 51/25 tendrá carácter supletorio.</w:t>
            </w:r>
          </w:p>
        </w:tc>
      </w:tr>
      <w:tr>
        <w:tc>
          <w:tcPr>
            <w:tcW w:type="dxa" w:w="1555"/>
            <w:vMerge w:val="restart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3 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Principios en el acceso al empleo público y la provisión de puestos</w:t>
            </w:r>
          </w:p>
          <w:p>
            <w:pPr>
              <w:spacing w:after="0" w:before="86"/>
              <w:jc w:val="center"/>
            </w:pPr>
            <w:r>
              <w:rPr>
                <w:rFonts w:ascii="Arial" w:cs="Arial" w:eastAsia="Arial" w:hAnsi="Arial"/>
                <w:b/>
                <w:bCs/>
                <w:color w:val="143548"/>
                <w:spacing w:val="24"/>
                <w:sz w:val="12"/>
                <w:szCs w:val="12"/>
                <w:shd w:fill="9DDFEA" w:color="auto" w:val="clear"/>
              </w:rPr>
              <w:t xml:space="preserve"> ♥ ¡TEST! 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Acceso F y 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Procesos selectivos con respeto a los ppios CE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 y capacidad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Publicidad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Transparencia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Imparcialidad y profesionalidad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los miembros de los órganos de selección.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Independencia y discrecionalidad técnica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la actuación de los órganos de selección, así como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confidencialidad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su actuación.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Fiabilidad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validez predictiva de los instrumentos y procesos.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Adecuación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entre el contenido de los procesos selectivos y las funciones.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Agilidad y eficiencia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sin perjuicio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objetividad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en los procesos de selección.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Provisión FC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llevará a cabo mediante los ppios de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mérito, capacidad, publicidad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 en su caso, para puestos provistos por libre designación (PLD),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idoneidad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Interinos y Laboral Temporal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Procedimientos ágiles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que garanticen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mérito, capacidad, publicidad y celeridad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Discapacidad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= de oportunidades, no discriminación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accesibilidad universal.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Igualdad M y H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Medidas específicas para alcanzar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la = de oportunidades entre M y H.</w:t>
            </w:r>
          </w:p>
        </w:tc>
      </w:tr>
      <w:tr>
        <w:tc>
          <w:tcPr>
            <w:tcW w:type="dxa" w:w="1555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4 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Fundamentos y criterios de actuación en los planes de ordenación de RRHH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Los planes de ordenación de RRHH deben basarse en los siguientes 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5"/>
                <w:szCs w:val="15"/>
              </w:rPr>
              <w:t xml:space="preserve">fundamentos</w:t>
            </w: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 y 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5"/>
                <w:szCs w:val="15"/>
              </w:rPr>
              <w:t xml:space="preserve">criterios de actuación</w:t>
            </w:r>
            <w:r>
              <w:rPr>
                <w:rFonts w:ascii="Poppins" w:cs="Poppins" w:eastAsia="Poppins" w:hAnsi="Poppins"/>
                <w:b w:val="false"/>
                <w:bCs w:val="false"/>
                <w:color w:val="143548"/>
                <w:sz w:val="15"/>
                <w:szCs w:val="15"/>
              </w:rPr>
              <w:t xml:space="preserve">: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Transparencia y participación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Negociación colectiva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Eficacia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la prestación de los servicios públicos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Eficiencia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el empleo de los recursos económicos disponibles.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Buena administración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calidad e innovación de los servicios públicos.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Racionalidad organizativa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simplific. de procedimientos y mejora regulatoria.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Compromiso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con el personal y el empleo público.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oportunidades, no discriminación y accesibilidad universal.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Incorporación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perspectiva de género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todas las fases de la planificación.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Formación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cualificación profesional permanente.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Fomento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conciliación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la vida profesional con la personal y familiar.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193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Evaluación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ex post de su aplicación.</w:t>
            </w:r>
          </w:p>
        </w:tc>
      </w:tr>
    </w:tbl>
    <w:p>
      <w:pPr>
        <w:spacing w:after="0" w:before="0" w:line="29" w:lineRule="exact"/>
      </w:pPr>
      <w:r>
        <w:rPr>
          <w:sz w:val="2"/>
          <w:szCs w:val="2"/>
        </w:rPr>
        <w:t xml:space="preserve"/>
      </w:r>
    </w:p>
    <w:sectPr>
      <w:headerReference w:type="default" r:id="rId9"/>
      <w:footerReference w:type="default" r:id="rId10"/>
      <w:type w:val="nextPage"/>
      <w:pgSz w:w="11906" w:h="16838" w:orient="portrait"/>
      <w:pgMar w:top="576" w:right="1137" w:bottom="806" w:left="1137" w:header="0" w:footer="16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tight"/>
    </w:pPr>
    <w:r>
      <w:drawing>
        <wp:inline distT="0" distB="0" distL="0" distR="0">
          <wp:extent cx="7560197" cy="2742514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197" cy="2742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24262A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173" w:hanging="158"/>
      </w:pPr>
      <w:rPr>
        <w:rFonts w:ascii="Arial" w:cs="Arial" w:eastAsia="Arial" w:hAnsi="Arial"/>
        <w:color w:val="6FD0E0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43548"/>
        <w:sz w:val="20"/>
        <w:szCs w:val="20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ght">
    <w:name w:val="Ajustado"/>
    <w:basedOn w:val="Normal"/>
    <w:pPr>
      <w:spacing w:after="0" w:before="0" w:line="240" w:lineRule="auto"/>
    </w:pPr>
    <w:rPr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1.xml"/><Relationship Id="rId10" Type="http://schemas.openxmlformats.org/officeDocument/2006/relationships/footer" Target="footer3.xml"/><Relationship Id="rId11" Type="http://schemas.openxmlformats.org/officeDocument/2006/relationships/image" Target="media/72c5a61c863eea089c8b30b56cbdd74af2f59963.png"/><Relationship Id="rId12" Type="http://schemas.openxmlformats.org/officeDocument/2006/relationships/image" Target="media/7c8f234c9c8c96ba6ff5a333616cf07292d94036.png"/><Relationship Id="rId13" Type="http://schemas.openxmlformats.org/officeDocument/2006/relationships/image" Target="media/17f3a256eb089b114ea98864976e21c5e4c19675.png"/><Relationship Id="rId14" Type="http://schemas.openxmlformats.org/officeDocument/2006/relationships/image" Target="media/7d2f03e8a8c20c76817e58624f1573cb9cd57fd7.png"/><Relationship Id="rId15" Type="http://schemas.openxmlformats.org/officeDocument/2006/relationships/image" Target="media/0762be3159da237f3d4699bf68b01f2d2560d75e.png"/><Relationship Id="rId16" Type="http://schemas.openxmlformats.org/officeDocument/2006/relationships/image" Target="media/bf86fecc80381979cf07afd1529af716dd6ad5fd.png"/><Relationship Id="rId17" Type="http://schemas.openxmlformats.org/officeDocument/2006/relationships/image" Target="media/21ddbb95eb1455b753fce23c351035fd35b73e77.png"/><Relationship Id="rId18" Type="http://schemas.openxmlformats.org/officeDocument/2006/relationships/image" Target="media/00de0c4e237c0116725d7b18d16671c1f32fc52f.png"/><Relationship Id="rId19" Type="http://schemas.openxmlformats.org/officeDocument/2006/relationships/image" Target="media/2cda36f89e06a643a12c8d8425dd9543869dc69e.png"/><Relationship Id="rId20" Type="http://schemas.openxmlformats.org/officeDocument/2006/relationships/image" Target="media/1732e5647359a32dd53b18319dd508afa67e146b.png"/><Relationship Id="rId21" Type="http://schemas.openxmlformats.org/officeDocument/2006/relationships/image" Target="media/39564bde02e0d69c46cf0d94be53b21ff376cc10.png"/><Relationship Id="rId22" Type="http://schemas.openxmlformats.org/officeDocument/2006/relationships/image" Target="media/8c08a42922810a5262e01e2572ba313bb563044f.png"/><Relationship Id="rId23" Type="http://schemas.openxmlformats.org/officeDocument/2006/relationships/image" Target="media/1aaada6219a2dd1923ac4b724b81574c4691a231.png"/><Relationship Id="rId24" Type="http://schemas.openxmlformats.org/officeDocument/2006/relationships/image" Target="media/24a42ff1bd2b76e36b9dc2fd19cce5c82c8faa04.png"/><Relationship Id="rId25" Type="http://schemas.openxmlformats.org/officeDocument/2006/relationships/image" Target="media/d91ba892978a2a94f0403c975bbd6d7aa1a606f2.png"/><Relationship Id="rId26" Type="http://schemas.openxmlformats.org/officeDocument/2006/relationships/image" Target="media/55dc54096790e352c6cb6bad4302895ef8ccfc0a.png"/><Relationship Id="rId27" Type="http://schemas.openxmlformats.org/officeDocument/2006/relationships/image" Target="media/613aba00efc056fe1a60147be3a92450563c136c.png"/><Relationship Id="rId28" Type="http://schemas.openxmlformats.org/officeDocument/2006/relationships/fontTable" Target="fontTable.xml"/><Relationship Id="rIdBADGE" Type="http://schemas.openxmlformats.org/officeDocument/2006/relationships/image" Target="media/librito_grup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1c7dbea1f7e1cc12bb94a13c7e0f730644ae0ef5.png"/></Relationships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51/2025, de 24 de febrero</dc:title>
  <dc:creator>Opovisual</dc:creator>
  <cp:lastModifiedBy>Un-named</cp:lastModifiedBy>
  <cp:revision>1</cp:revision>
  <dcterms:created xsi:type="dcterms:W3CDTF">2026-10-21T22:38:55.540Z</dcterms:created>
  <dcterms:modified xsi:type="dcterms:W3CDTF">2026-10-21T22:38:55.542Z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