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1.xml"/>
  <Override ContentType="application/vnd.openxmlformats-officedocument.wordprocessingml.footer+xml" PartName="/word/footer3.xml"/>
  <Override ContentType="application/vnd.openxmlformats-officedocument.wordprocessingml.header+xml" PartName="/word/header2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ght"/>
      </w:pPr>
      <w:r>
        <w:drawing>
          <wp:inline distT="0" distB="0" distL="0" distR="0">
            <wp:extent cx="7560197" cy="348299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197" cy="348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88" w:lineRule="exact"/>
      </w:pPr>
      <w:r>
        <w:rPr>
          <w:sz w:val="2"/>
          <w:szCs w:val="2"/>
        </w:rPr>
        <w:t xml:space="preserve"/>
      </w:r>
    </w:p>
    <w:p>
      <w:pPr>
        <w:spacing w:after="0" w:before="0" w:line="200" w:lineRule="auto"/>
        <w:jc w:val="center"/>
      </w:pPr>
      <w:r>
        <w:rPr>
          <w:rFonts w:ascii="Poppins" w:cs="Poppins" w:eastAsia="Poppins" w:hAnsi="Poppins"/>
          <w:b/>
          <w:bCs/>
          <w:color w:val="143548"/>
          <w:sz w:val="63"/>
          <w:szCs w:val="63"/>
        </w:rPr>
        <w:t xml:space="preserve">DECRETO 51/2025,</w:t>
      </w:r>
      <w:r>
        <w:br/>
      </w:r>
      <w:r>
        <w:rPr>
          <w:rFonts w:ascii="Poppins" w:cs="Poppins" w:eastAsia="Poppins" w:hAnsi="Poppins"/>
          <w:b/>
          <w:bCs/>
          <w:color w:val="143548"/>
          <w:sz w:val="63"/>
          <w:szCs w:val="63"/>
        </w:rPr>
        <w:t xml:space="preserve">DE 24 DE FEBRERO</w:t>
      </w:r>
    </w:p>
    <w:p>
      <w:pPr>
        <w:spacing w:after="0" w:before="0"/>
        <w:jc w:val="center"/>
      </w:pPr>
      <w:r>
        <w:drawing>
          <wp:inline distT="0" distB="0" distL="0" distR="0">
            <wp:extent cx="2230578" cy="21940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578" cy="219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33" w:before="0" w:line="240" w:lineRule="auto"/>
        <w:ind w:left="1627" w:right="1627"/>
        <w:jc w:val="center"/>
      </w:pPr>
      <w:r>
        <w:rPr>
          <w:rFonts w:ascii="Poppins" w:cs="Poppins" w:eastAsia="Poppins" w:hAnsi="Poppins"/>
          <w:color w:val="3A4A55"/>
          <w:sz w:val="21"/>
          <w:szCs w:val="21"/>
        </w:rPr>
        <w:t xml:space="preserve">Por el que se regula la planificación y ordenación del empleo público, y el ingreso, promoción interna y provisión de puestos de trabajo del personal de la Administración General de la Junta de Andalucía.</w:t>
      </w:r>
    </w:p>
    <w:p>
      <w:pPr>
        <w:spacing w:after="259" w:before="0" w:line="240" w:lineRule="auto"/>
        <w:jc w:val="center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1812310</wp:posOffset>
            </wp:positionH>
            <wp:positionV relativeFrom="paragraph">
              <wp:posOffset>-51588</wp:posOffset>
            </wp:positionV>
            <wp:extent cx="999372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9372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2875616</wp:posOffset>
            </wp:positionH>
            <wp:positionV relativeFrom="paragraph">
              <wp:posOffset>-51588</wp:posOffset>
            </wp:positionV>
            <wp:extent cx="1502258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2258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4441824</wp:posOffset>
            </wp:positionH>
            <wp:positionV relativeFrom="paragraph">
              <wp:posOffset>-51588</wp:posOffset>
            </wp:positionV>
            <wp:extent cx="1306260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60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color w:val="4B4F53"/>
          <w:sz w:val="17"/>
          <w:szCs w:val="17"/>
        </w:rPr>
        <w:t xml:space="preserve">Planificación             Selección de personal             Promoción interna</w:t>
      </w:r>
    </w:p>
    <w:p>
      <w:pPr>
        <w:spacing w:after="0" w:before="0" w:line="240" w:lineRule="auto"/>
        <w:jc w:val="center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867484</wp:posOffset>
            </wp:positionH>
            <wp:positionV relativeFrom="paragraph">
              <wp:posOffset>-51588</wp:posOffset>
            </wp:positionV>
            <wp:extent cx="2010537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537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2941987</wp:posOffset>
            </wp:positionH>
            <wp:positionV relativeFrom="paragraph">
              <wp:posOffset>-51588</wp:posOffset>
            </wp:positionV>
            <wp:extent cx="832079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079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3837994</wp:posOffset>
            </wp:positionH>
            <wp:positionV relativeFrom="paragraph">
              <wp:posOffset>-51588</wp:posOffset>
            </wp:positionV>
            <wp:extent cx="2854866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866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color w:val="4B4F53"/>
          <w:sz w:val="17"/>
          <w:szCs w:val="17"/>
        </w:rPr>
        <w:t xml:space="preserve">Provisión de puestos de trabajo             Movilidad             Adquisición y pérdida de la relación de servicio</w:t>
      </w:r>
    </w:p>
    <w:p>
      <w:pPr>
        <w:spacing w:after="0" w:before="489"/>
        <w:jc w:val="center"/>
      </w:pPr>
      <w:r>
        <w:drawing>
          <wp:inline distT="0" distB="0" distL="0" distR="0">
            <wp:extent cx="530219" cy="50279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19" cy="50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7"/>
          <w:footerReference w:type="first" r:id="rId8"/>
          <w:pgSz w:w="11906" w:h="16838" w:orient="portrait"/>
          <w:pgMar w:top="0" w:right="0" w:bottom="4780" w:left="0" w:header="0" w:footer="0" w:gutter="0"/>
          <w:pgNumType/>
          <w:titlePg/>
          <w:docGrid w:linePitch="360"/>
        </w:sectPr>
      </w:pPr>
    </w:p>
    <w:p>
      <w:pPr>
        <w:spacing w:after="792" w:before="0" w:line="240" w:lineRule="auto"/>
        <w:ind w:left="432" w:right="489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484526</wp:posOffset>
            </wp:positionH>
            <wp:positionV relativeFrom="paragraph">
              <wp:posOffset>-475384</wp:posOffset>
            </wp:positionV>
            <wp:extent cx="6371775" cy="15723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775" cy="1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4"/>
          <w:szCs w:val="24"/>
        </w:rPr>
        <w:t xml:space="preserve">Decreto 51/2025, de 24 de febrero, por el que se regula la planificación y ordenación del empleo público, y el ingreso, promoción interna y provisión de puestos de trabajo del personal de la Administración General de la Junta de Andalucía.</w:t>
      </w:r>
    </w:p>
    <w:p>
      <w:pPr>
        <w:spacing w:after="317" w:before="0" w:line="240" w:lineRule="auto"/>
        <w:ind w:left="317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722218</wp:posOffset>
            </wp:positionH>
            <wp:positionV relativeFrom="paragraph">
              <wp:posOffset>-69872</wp:posOffset>
            </wp:positionV>
            <wp:extent cx="1343832" cy="301677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832" cy="3016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FFFFFF"/>
          <w:spacing w:val="42"/>
          <w:sz w:val="17"/>
          <w:szCs w:val="17"/>
        </w:rPr>
        <w:t xml:space="preserve">ESTRUCTURA</w:t>
      </w:r>
    </w:p>
    <w:p>
      <w:pPr>
        <w:spacing w:after="0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73136</wp:posOffset>
            </wp:positionV>
            <wp:extent cx="402235" cy="22854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2285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PRELIMINAR</w:t>
      </w:r>
    </w:p>
    <w:p>
      <w:pPr>
        <w:spacing w:after="130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18882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188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Disposiciones generales</w:t>
      </w:r>
    </w:p>
    <w:p>
      <w:pPr>
        <w:spacing w:after="302" w:before="0" w:line="240" w:lineRule="auto"/>
        <w:ind w:left="1166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7142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I</w:t>
      </w:r>
    </w:p>
    <w:p>
      <w:pPr>
        <w:spacing w:after="130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18882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188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Planificación y ordenación del empleo público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2439649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9649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3821722</wp:posOffset>
            </wp:positionH>
            <wp:positionV relativeFrom="paragraph">
              <wp:posOffset>-15404</wp:posOffset>
            </wp:positionV>
            <wp:extent cx="2895729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729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Planificación de recursos humanos</w:t>
      </w:r>
      <w:r>
        <w:rPr>
          <w:rFonts w:ascii="Poppins" w:cs="Poppins" w:eastAsia="Poppins" w:hAnsi="Poppins"/>
          <w:sz w:val="15"/>
          <w:szCs w:val="15"/>
        </w:rPr>
        <w:t xml:space="preserve">             </w:t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Planes de ordenación de recursos humanos</w:t>
      </w:r>
    </w:p>
    <w:p>
      <w:pPr>
        <w:spacing w:after="302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2043173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3173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7142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Oferta de empleo público</w:t>
      </w:r>
    </w:p>
    <w:p>
      <w:pPr>
        <w:spacing w:after="0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II</w:t>
      </w:r>
    </w:p>
    <w:p>
      <w:pPr>
        <w:spacing w:after="130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18882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188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Selección de personal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1643680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3680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3025728</wp:posOffset>
            </wp:positionH>
            <wp:positionV relativeFrom="paragraph">
              <wp:posOffset>-15404</wp:posOffset>
            </wp:positionV>
            <wp:extent cx="1806951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6951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Normas generales</w:t>
      </w:r>
      <w:r>
        <w:rPr>
          <w:rFonts w:ascii="Poppins" w:cs="Poppins" w:eastAsia="Poppins" w:hAnsi="Poppins"/>
          <w:sz w:val="15"/>
          <w:szCs w:val="15"/>
        </w:rPr>
        <w:t xml:space="preserve">             </w:t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Sistema de selección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2923886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3886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4305973</wp:posOffset>
            </wp:positionH>
            <wp:positionV relativeFrom="paragraph">
              <wp:posOffset>-15404</wp:posOffset>
            </wp:positionV>
            <wp:extent cx="2434987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987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Inicio y desarrollo de los procesos selectivos</w:t>
      </w:r>
      <w:r>
        <w:rPr>
          <w:rFonts w:ascii="Poppins" w:cs="Poppins" w:eastAsia="Poppins" w:hAnsi="Poppins"/>
          <w:sz w:val="15"/>
          <w:szCs w:val="15"/>
        </w:rPr>
        <w:t xml:space="preserve">             </w:t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IV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Personal funcionario en prácticas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1994905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4905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V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Comisiones de selección</w:t>
      </w:r>
    </w:p>
    <w:p>
      <w:pPr>
        <w:spacing w:after="302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4189373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9373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7142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VI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Selección de personal funcionario interino y personal laboral temporal</w:t>
      </w:r>
    </w:p>
    <w:p>
      <w:pPr>
        <w:spacing w:after="0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III</w:t>
      </w:r>
    </w:p>
    <w:p>
      <w:pPr>
        <w:spacing w:after="130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518922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5189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Promoción interna del personal funcionario de carrera y del personal laboral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1643680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3680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Normas generales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759621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621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Promoción interna vertical del personal funcionario de carrera</w:t>
      </w:r>
    </w:p>
    <w:p>
      <w:pPr>
        <w:spacing w:after="302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904609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4609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7142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Promoción interna horizontal del personal funcionario de carrera</w:t>
      </w:r>
    </w:p>
    <w:p>
      <w:pPr>
        <w:spacing w:after="0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IV</w:t>
      </w:r>
    </w:p>
    <w:p>
      <w:pPr>
        <w:spacing w:after="130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518922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5189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Provisión de puestos de trabajo y movilidad del personal funcionario y laboral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1643680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3680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Normas generales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4335824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824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Procedimientos ordinarios de provisión de personal funcionario de carrera</w:t>
      </w:r>
    </w:p>
    <w:p>
      <w:pPr>
        <w:spacing w:after="302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451454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454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7142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Procedimientos de provisión de carácter extraordinario</w:t>
      </w:r>
    </w:p>
    <w:p>
      <w:pPr>
        <w:spacing w:after="0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V</w:t>
      </w:r>
    </w:p>
    <w:p>
      <w:pPr>
        <w:spacing w:after="130" w:before="0" w:line="240" w:lineRule="auto"/>
        <w:ind w:left="950"/>
      </w:pP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Adquisición y pérdida de la relación de servicio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4244681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681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Adquisición y pérdida de la condición de personal funcionario de carrera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918230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8230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Rehabilitación de la condición de personal funcionario de carrera</w:t>
      </w:r>
    </w:p>
    <w:p>
      <w:pPr>
        <w:spacing w:after="302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734847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847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Adquisición y pérdida de la condición de personal laboral fijo</w:t>
      </w:r>
    </w:p>
    <w:p>
      <w:pPr>
        <w:spacing w:after="0" w:before="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3129307</wp:posOffset>
            </wp:positionH>
            <wp:positionV relativeFrom="paragraph">
              <wp:posOffset>187411</wp:posOffset>
            </wp:positionV>
            <wp:extent cx="555816" cy="4570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16" cy="457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inline distT="0" distB="0" distL="0" distR="0">
            <wp:extent cx="201118" cy="21025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18" cy="21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  Este decreto desarrolla los Títulos </w:t>
      </w:r>
      <w:r>
        <w:rPr>
          <w:rFonts w:ascii="Poppins" w:cs="Poppins" w:eastAsia="Poppins" w:hAnsi="Poppins"/>
          <w:b/>
          <w:bCs/>
          <w:color w:val="143548"/>
          <w:sz w:val="22"/>
          <w:szCs w:val="22"/>
        </w:rPr>
        <w:t xml:space="preserve">8, 9 y 10</w:t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 de la </w:t>
      </w:r>
      <w:r>
        <w:rPr>
          <w:rFonts w:ascii="Poppins" w:cs="Poppins" w:eastAsia="Poppins" w:hAnsi="Poppins"/>
          <w:b/>
          <w:bCs/>
          <w:color w:val="143548"/>
          <w:sz w:val="20"/>
          <w:szCs w:val="20"/>
        </w:rPr>
        <w:t xml:space="preserve">LFPA</w:t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.</w:t>
      </w:r>
    </w:p>
    <w:p>
      <w:pPr>
        <w:sectPr>
          <w:headerReference w:type="default" r:id="rId9"/>
          <w:footerReference w:type="default" r:id="rId10"/>
          <w:type w:val="nextPage"/>
          <w:pgSz w:w="11906" w:h="16838" w:orient="portrait"/>
          <w:pgMar w:top="1296" w:right="1137" w:bottom="806" w:left="1137" w:header="0" w:footer="165" w:gutter="0"/>
          <w:pgNumType/>
          <w:docGrid w:linePitch="360"/>
        </w:sectPr>
      </w:pPr>
    </w:p>
    <w:p>
      <w:pPr>
        <w:spacing w:after="351" w:before="0" w:line="240" w:lineRule="auto"/>
        <w:jc w:val="center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722218</wp:posOffset>
            </wp:positionH>
            <wp:positionV relativeFrom="paragraph">
              <wp:posOffset>-76518</wp:posOffset>
            </wp:positionV>
            <wp:extent cx="6115807" cy="438802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807" cy="4388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FFFFFF"/>
          <w:sz w:val="30"/>
          <w:szCs w:val="30"/>
        </w:rPr>
        <w:t xml:space="preserve">Título preliminar: Disposiciones generales</w:t>
      </w:r>
    </w:p>
    <w:tbl>
      <w:tblPr>
        <w:tblW w:type="dxa" w:w="96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5"/>
        <w:gridCol w:w="1612"/>
        <w:gridCol w:w="3110"/>
        <w:gridCol w:w="1224"/>
        <w:gridCol w:w="2145"/>
      </w:tblGrid>
      <w:tr>
        <w:tc>
          <w:tcPr>
            <w:tcW w:type="dxa" w:w="155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0"/>
              <w:left w:type="dxa" w:w="72"/>
              <w:bottom w:type="dxa" w:w="0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auto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1 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Objeto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Desarrollo LFPA en materia de:</w:t>
            </w:r>
          </w:p>
        </w:tc>
        <w:tc>
          <w:tcPr>
            <w:tcW w:type="dxa" w:w="3110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none" w:color="FFFFFF" w:sz="0"/>
            </w:tcBorders>
            <w:tcMar>
              <w:top w:type="dxa" w:w="0"/>
              <w:left w:type="dxa" w:w="115"/>
              <w:bottom w:type="dxa" w:w="0"/>
              <w:right w:type="dxa" w:w="58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Planificación y ordenación del empleo público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Acceso al empleo público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Promoción interna</w:t>
            </w:r>
          </w:p>
        </w:tc>
        <w:tc>
          <w:tcPr>
            <w:tcW w:type="dxa" w:w="3369"/>
            <w:gridSpan w:val="2"/>
            <w:tcBorders>
              <w:top w:val="single" w:color="D1EDF9" w:sz="6"/>
              <w:left w:val="none" w:color="FFFFFF" w:sz="0"/>
              <w:bottom w:val="single" w:color="D1EDF9" w:sz="6"/>
              <w:right w:val="single" w:color="D1EDF9" w:sz="6"/>
            </w:tcBorders>
            <w:tcMar>
              <w:top w:type="dxa" w:w="0"/>
              <w:left w:type="dxa" w:w="58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Provisión de puestos de trabajo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Adquisición y </w:t>
            </w: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pérdida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la relación de servicio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Movilidad del personal funcionario de la AJA</w:t>
            </w:r>
          </w:p>
        </w:tc>
      </w:tr>
      <w:tr>
        <w:tc>
          <w:tcPr>
            <w:tcW w:type="dxa" w:w="1555"/>
            <w:vMerge w:val="restart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0"/>
              <w:left w:type="dxa" w:w="72"/>
              <w:bottom w:type="dxa" w:w="0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auto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2 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Ámbito de aplicación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funcionario</w:t>
            </w:r>
          </w:p>
        </w:tc>
        <w:tc>
          <w:tcPr>
            <w:tcW w:type="dxa" w:w="4334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las Consejerías,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Delegaciones del Gobierno,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Delegaciones Territoriales o Provinciales,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otros órganos dependientes o vinculados a la AJA,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y en las AA, ARE o APE</w:t>
            </w:r>
          </w:p>
        </w:tc>
        <w:tc>
          <w:tcPr>
            <w:tcW w:type="dxa" w:w="214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14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6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regirán por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D 51/25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funcionario de la DA1ª</w:t>
            </w:r>
          </w:p>
        </w:tc>
        <w:tc>
          <w:tcPr>
            <w:tcW w:type="dxa" w:w="4334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Cuerpo de Letrados/as.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Cuerpo Superior de Inspección de OTUyV,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Cuerpo de Subinspección de OTUyV.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Cuerpo Superior Facultativo de Instit. Sanitarias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Especialidad Investigación Agraria y Pesquera (…),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Cuerpo Ayudantes Técnicos (Medio Ambiente)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Cuerpo Superior (y Técnico) de Interv. y Auditoría.</w:t>
            </w:r>
          </w:p>
        </w:tc>
        <w:tc>
          <w:tcPr>
            <w:tcW w:type="dxa" w:w="214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14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6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regirán por su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normativa específica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72" w:line="26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todo no previsto en la misma, se rigen por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LFPA y D 51/25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;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laboral</w:t>
            </w:r>
          </w:p>
        </w:tc>
        <w:tc>
          <w:tcPr>
            <w:tcW w:type="dxa" w:w="6479"/>
            <w:gridSpan w:val="3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Legislación laboral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EBEP y restantes legislación estatal de carácter básico aplicable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Preceptos de la LFPA y D 51/25 que así lo dispongan expresamente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Normas convencionales que sean de aplicación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del art 3.1 LFPA</w:t>
            </w:r>
          </w:p>
        </w:tc>
        <w:tc>
          <w:tcPr>
            <w:tcW w:type="dxa" w:w="4334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Servicio Andaluz de Salud.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Admin. de Justicia.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Universidades públicas: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Funcionario docente universitario.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Funcionario y laboral de admin y servicios.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Administraciones locales.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Oficina Andaluza contra el Fraude y la Corrupción,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Consejo Consultivo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Consejo Audiovisual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Consejo Económico y Social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Consejo de Transparencia y Protección de Datos,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Otras entidades públicas con personalidad jurídica.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Personal investigador.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Personal eventual.</w:t>
            </w:r>
          </w:p>
        </w:tc>
        <w:tc>
          <w:tcPr>
            <w:tcW w:type="dxa" w:w="214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14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6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todo lo no previsto en su legislación específica, el D 51/25 tendrá carácter supletorio.</w:t>
            </w:r>
          </w:p>
        </w:tc>
      </w:tr>
      <w:tr>
        <w:tc>
          <w:tcPr>
            <w:tcW w:type="dxa" w:w="1555"/>
            <w:vMerge w:val="restart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0"/>
              <w:left w:type="dxa" w:w="72"/>
              <w:bottom w:type="dxa" w:w="0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auto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3 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Principios en el acceso al empleo público y la provisión de puestos</w:t>
            </w:r>
          </w:p>
          <w:p>
            <w:pPr>
              <w:spacing w:after="0" w:before="86"/>
              <w:jc w:val="center"/>
            </w:pPr>
            <w:r>
              <w:rPr>
                <w:rFonts w:ascii="Arial" w:cs="Arial" w:eastAsia="Arial" w:hAnsi="Arial"/>
                <w:b/>
                <w:bCs/>
                <w:color w:val="143548"/>
                <w:spacing w:val="24"/>
                <w:sz w:val="12"/>
                <w:szCs w:val="12"/>
                <w:shd w:fill="9DDFEA" w:color="auto" w:val="clear"/>
              </w:rPr>
              <w:t xml:space="preserve"> ♥ ¡TEST! 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Acceso F y L</w:t>
            </w:r>
          </w:p>
        </w:tc>
        <w:tc>
          <w:tcPr>
            <w:tcW w:type="dxa" w:w="6479"/>
            <w:gridSpan w:val="3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Procesos selectivos con respeto a los ppios CE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 y capacidad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Publicidad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Transparencia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Imparcialidad y profesionalidad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los miembros de los órganos de selección.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Independencia y discrecionalidad técnica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la actuación de los órganos de selección, así como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confidencialidad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su actuación.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Fiabilidad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validez predictiva de los instrumentos y procesos.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Adecuación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entre el contenido de los procesos selectivos y las funciones.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Agilidad y eficiencia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sin perjuicio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objetividad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en los procesos de selección.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Provisión FC</w:t>
            </w:r>
          </w:p>
        </w:tc>
        <w:tc>
          <w:tcPr>
            <w:tcW w:type="dxa" w:w="6479"/>
            <w:gridSpan w:val="3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llevará a cabo mediante los ppios de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mérito, capacidad, publicidad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y en su caso, para puestos provistos por libre designación (PLD),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idoneidad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Interinos y Laboral Temporal</w:t>
            </w:r>
          </w:p>
        </w:tc>
        <w:tc>
          <w:tcPr>
            <w:tcW w:type="dxa" w:w="6479"/>
            <w:gridSpan w:val="3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/>
                <w:bCs/>
                <w:color w:val="222222"/>
                <w:sz w:val="16"/>
                <w:szCs w:val="16"/>
              </w:rPr>
              <w:t xml:space="preserve">Procedimientos ágiles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que garanticen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mérito, capacidad, publicidad y celeridad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Discapacidad</w:t>
            </w:r>
          </w:p>
        </w:tc>
        <w:tc>
          <w:tcPr>
            <w:tcW w:type="dxa" w:w="6479"/>
            <w:gridSpan w:val="3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= de oportunidades, no discriminación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accesibilidad universal.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Igualdad M y H</w:t>
            </w:r>
          </w:p>
        </w:tc>
        <w:tc>
          <w:tcPr>
            <w:tcW w:type="dxa" w:w="6479"/>
            <w:gridSpan w:val="3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Medidas específicas para alcanzar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la = de oportunidades entre M y H.</w:t>
            </w:r>
          </w:p>
        </w:tc>
      </w:tr>
      <w:tr>
        <w:tc>
          <w:tcPr>
            <w:tcW w:type="dxa" w:w="155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0"/>
              <w:left w:type="dxa" w:w="72"/>
              <w:bottom w:type="dxa" w:w="0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auto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4 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Fundamentos y criterios de actuación en los planes de ordenación de RRHH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Los planes de ordenación de RRHH deben basarse en los siguientes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fundamentos</w:t>
            </w: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 y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criterios de actuación</w:t>
            </w: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:</w:t>
            </w:r>
          </w:p>
        </w:tc>
        <w:tc>
          <w:tcPr>
            <w:tcW w:type="dxa" w:w="6479"/>
            <w:gridSpan w:val="3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Transparencia y participación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Negociación colectiva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Eficacia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la prestación de los servicios públicos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Eficiencia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el empleo de los recursos económicos disponibles.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Buena administración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calidad e innovación de los servicios públicos.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Racionalidad organizativa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simplific. de procedimientos y mejora regulatoria.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Compromiso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con el personal y el empleo público.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oportunidades, no discriminación y accesibilidad universal.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Incorporación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perspectiva de género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todas las fases de la planificación.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Formación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cualificación profesional permanente.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Fomento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conciliación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la vida profesional con la personal y familiar.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Evaluación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ex post de su aplicación.</w:t>
            </w:r>
          </w:p>
        </w:tc>
      </w:tr>
    </w:tbl>
    <w:p>
      <w:pPr>
        <w:spacing w:after="0" w:before="0" w:line="29" w:lineRule="exact"/>
      </w:pPr>
      <w:r>
        <w:rPr>
          <w:sz w:val="2"/>
          <w:szCs w:val="2"/>
        </w:rPr>
        <w:t xml:space="preserve"/>
      </w:r>
    </w:p>
    <w:sectPr>
      <w:headerReference w:type="default" r:id="rId11"/>
      <w:footerReference w:type="default" r:id="rId12"/>
      <w:type w:val="nextPage"/>
      <w:pgSz w:w="11906" w:h="16838" w:orient="portrait"/>
      <w:pgMar w:top="941" w:right="1137" w:bottom="806" w:left="1137" w:header="0" w:footer="165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tight"/>
    </w:pPr>
    <w:r>
      <w:drawing>
        <wp:inline distT="0" distB="0" distL="0" distR="0">
          <wp:extent cx="7560197" cy="3035049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197" cy="30350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24262A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24262A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173" w:hanging="158"/>
      </w:pPr>
      <w:rPr>
        <w:rFonts w:ascii="Arial" w:cs="Arial" w:eastAsia="Arial" w:hAnsi="Arial"/>
        <w:color w:val="6FD0E0"/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43548"/>
        <w:sz w:val="20"/>
        <w:szCs w:val="20"/>
      </w:rPr>
    </w:rPrDefault>
    <w:pPrDefault>
      <w:pPr>
        <w:spacing w:after="0" w:before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ght">
    <w:name w:val="Ajustado"/>
    <w:basedOn w:val="Normal"/>
    <w:pPr>
      <w:spacing w:after="0" w:before="0" w:line="240" w:lineRule="auto"/>
    </w:pPr>
    <w:rPr>
      <w:sz w:val="2"/>
      <w:szCs w:val="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header" Target="header1.xml"/><Relationship Id="rId10" Type="http://schemas.openxmlformats.org/officeDocument/2006/relationships/footer" Target="footer3.xml"/><Relationship Id="rId11" Type="http://schemas.openxmlformats.org/officeDocument/2006/relationships/header" Target="header2.xml"/><Relationship Id="rId12" Type="http://schemas.openxmlformats.org/officeDocument/2006/relationships/footer" Target="footer4.xml"/><Relationship Id="rId13" Type="http://schemas.openxmlformats.org/officeDocument/2006/relationships/image" Target="media/5a8b1e368242f9794b6e0261fcb431e924dc4e90.png"/><Relationship Id="rId14" Type="http://schemas.openxmlformats.org/officeDocument/2006/relationships/image" Target="media/7c8f234c9c8c96ba6ff5a333616cf07292d94036.png"/><Relationship Id="rId15" Type="http://schemas.openxmlformats.org/officeDocument/2006/relationships/image" Target="media/7e26a7b80e98ca0df6000cfc37001c903d459390.png"/><Relationship Id="rId16" Type="http://schemas.openxmlformats.org/officeDocument/2006/relationships/image" Target="media/968207f9e902281fac92cca29e1f98a6ebed1f7c.png"/><Relationship Id="rId17" Type="http://schemas.openxmlformats.org/officeDocument/2006/relationships/image" Target="media/68b2f086c5efc2a067c088129fc547b53da9e674.png"/><Relationship Id="rId18" Type="http://schemas.openxmlformats.org/officeDocument/2006/relationships/image" Target="media/73a42a6e0096a06e8cddf6cec3b1718733eff6aa.png"/><Relationship Id="rId19" Type="http://schemas.openxmlformats.org/officeDocument/2006/relationships/image" Target="media/b6265c215ed753e697c847426427ade6064549dd.png"/><Relationship Id="rId20" Type="http://schemas.openxmlformats.org/officeDocument/2006/relationships/image" Target="media/3b19679119a7fef386de0d2ef6772edb38ac27d5.png"/><Relationship Id="rId21" Type="http://schemas.openxmlformats.org/officeDocument/2006/relationships/image" Target="media/17f3a256eb089b114ea98864976e21c5e4c19675.png"/><Relationship Id="rId22" Type="http://schemas.openxmlformats.org/officeDocument/2006/relationships/image" Target="media/7d2f03e8a8c20c76817e58624f1573cb9cd57fd7.png"/><Relationship Id="rId23" Type="http://schemas.openxmlformats.org/officeDocument/2006/relationships/image" Target="media/0762be3159da237f3d4699bf68b01f2d2560d75e.png"/><Relationship Id="rId24" Type="http://schemas.openxmlformats.org/officeDocument/2006/relationships/image" Target="media/bf86fecc80381979cf07afd1529af716dd6ad5fd.png"/><Relationship Id="rId25" Type="http://schemas.openxmlformats.org/officeDocument/2006/relationships/image" Target="media/3b2736659917d279bed5df5bac76c56a3a293a3b.png"/><Relationship Id="rId26" Type="http://schemas.openxmlformats.org/officeDocument/2006/relationships/image" Target="media/21ddbb95eb1455b753fce23c351035fd35b73e77.png"/><Relationship Id="rId27" Type="http://schemas.openxmlformats.org/officeDocument/2006/relationships/image" Target="media/c431452a1ca72eeef5805b211154804be58ebc6e.png"/><Relationship Id="rId28" Type="http://schemas.openxmlformats.org/officeDocument/2006/relationships/image" Target="media/af532c81546c51b90fe960b18e6334afa034066e.png"/><Relationship Id="rId29" Type="http://schemas.openxmlformats.org/officeDocument/2006/relationships/image" Target="media/23bb193f94e8a40efa945ec38eb0403e558519b0.png"/><Relationship Id="rId30" Type="http://schemas.openxmlformats.org/officeDocument/2006/relationships/image" Target="media/00de0c4e237c0116725d7b18d16671c1f32fc52f.png"/><Relationship Id="rId31" Type="http://schemas.openxmlformats.org/officeDocument/2006/relationships/image" Target="media/bced75ec19c8f797ca743939457df22536c74152.png"/><Relationship Id="rId32" Type="http://schemas.openxmlformats.org/officeDocument/2006/relationships/image" Target="media/b782298e71e64b8018b8480d17b3fb44af9b9c93.png"/><Relationship Id="rId33" Type="http://schemas.openxmlformats.org/officeDocument/2006/relationships/image" Target="media/c7a995ce024312cc8f2c9a32043e6048c62c7a74.png"/><Relationship Id="rId34" Type="http://schemas.openxmlformats.org/officeDocument/2006/relationships/image" Target="media/81c0a6831b653f010d0a37935936d81d1351554e.png"/><Relationship Id="rId35" Type="http://schemas.openxmlformats.org/officeDocument/2006/relationships/image" Target="media/4ff41605a7f63525eabf3aa4f52c29a3381e8f7e.png"/><Relationship Id="rId36" Type="http://schemas.openxmlformats.org/officeDocument/2006/relationships/image" Target="media/a4196e56f3ff8542ced7b8cc085e9d17d123c7f6.png"/><Relationship Id="rId37" Type="http://schemas.openxmlformats.org/officeDocument/2006/relationships/image" Target="media/2cda36f89e06a643a12c8d8425dd9543869dc69e.png"/><Relationship Id="rId38" Type="http://schemas.openxmlformats.org/officeDocument/2006/relationships/image" Target="media/6ffc9d2b5a0f806fc155a230d00ec613a775e571.png"/><Relationship Id="rId39" Type="http://schemas.openxmlformats.org/officeDocument/2006/relationships/image" Target="media/a9ebee844b508a2201af6dcf3dc6d826f7c7c49c.png"/><Relationship Id="rId40" Type="http://schemas.openxmlformats.org/officeDocument/2006/relationships/image" Target="media/1732e5647359a32dd53b18319dd508afa67e146b.png"/><Relationship Id="rId41" Type="http://schemas.openxmlformats.org/officeDocument/2006/relationships/image" Target="media/a833345833843045b5e6ae10310b064f9f2e3124.png"/><Relationship Id="rId42" Type="http://schemas.openxmlformats.org/officeDocument/2006/relationships/image" Target="media/50b3d609f24c1dac5c65da7c227f5a281e2929ec.png"/><Relationship Id="rId43" Type="http://schemas.openxmlformats.org/officeDocument/2006/relationships/image" Target="media/39564bde02e0d69c46cf0d94be53b21ff376cc10.png"/><Relationship Id="rId44" Type="http://schemas.openxmlformats.org/officeDocument/2006/relationships/image" Target="media/c5d05ba92ec1e96d30ae257ed0bf182d8dd786a4.png"/><Relationship Id="rId45" Type="http://schemas.openxmlformats.org/officeDocument/2006/relationships/image" Target="media/db01f9074f9ac9a6b5740b4c2451ec443b635061.png"/><Relationship Id="rId46" Type="http://schemas.openxmlformats.org/officeDocument/2006/relationships/image" Target="media/b3f71a922d97791a7f9dba95f44adf4a1afbd36b.png"/><Relationship Id="rId47" Type="http://schemas.openxmlformats.org/officeDocument/2006/relationships/image" Target="media/8c08a42922810a5262e01e2572ba313bb563044f.png"/><Relationship Id="rId48" Type="http://schemas.openxmlformats.org/officeDocument/2006/relationships/image" Target="media/1aaada6219a2dd1923ac4b724b81574c4691a231.png"/><Relationship Id="rId49" Type="http://schemas.openxmlformats.org/officeDocument/2006/relationships/image" Target="media/12f0edfbc5dfc86edcd0e5d7b29753c8f69d6de5.png"/><Relationship Id="rId50" Type="http://schemas.openxmlformats.org/officeDocument/2006/relationships/image" Target="media/24a42ff1bd2b76e36b9dc2fd19cce5c82c8faa04.png"/><Relationship Id="rId51" Type="http://schemas.openxmlformats.org/officeDocument/2006/relationships/image" Target="media/d91ba892978a2a94f0403c975bbd6d7aa1a606f2.png"/><Relationship Id="rId52" Type="http://schemas.openxmlformats.org/officeDocument/2006/relationships/image" Target="media/55dc54096790e352c6cb6bad4302895ef8ccfc0a.png"/><Relationship Id="rId53" Type="http://schemas.openxmlformats.org/officeDocument/2006/relationships/image" Target="media/613aba00efc056fe1a60147be3a92450563c136c.png"/><Relationship Id="rId54" Type="http://schemas.openxmlformats.org/officeDocument/2006/relationships/fontTable" Target="fontTable.xml"/><Relationship Id="rIdBADGE" Type="http://schemas.openxmlformats.org/officeDocument/2006/relationships/image" Target="media/librito_grupo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06017ab0803b70e9d204001c6a516c78ca641c81.png"/></Relationships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Decreto 51/2025, de 24 de febrero</dc:title>
  <dc:creator>Opovisual</dc:creator>
  <cp:lastModifiedBy>Un-named</cp:lastModifiedBy>
  <cp:revision>1</cp:revision>
  <dcterms:created xsi:type="dcterms:W3CDTF">2026-10-22T10:46:21.072Z</dcterms:created>
  <dcterms:modified xsi:type="dcterms:W3CDTF">2026-10-22T10:46:21.087Z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