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6021" w:lineRule="exact"/>
      </w:pPr>
      <w:r>
        <w:drawing>
          <wp:anchor distT="0" distB="0" distL="0" distR="0" simplePos="0" allowOverlap="1" behindDoc="1" locked="0" layoutInCell="1" relativeHeight="106918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1813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t xml:space="preserve"/>
      </w:r>
    </w:p>
    <w:p>
      <w:pPr>
        <w:spacing w:after="0" w:before="0" w:line="734" w:lineRule="exact"/>
        <w:ind w:left="0" w:right="0"/>
        <w:jc w:val="center"/>
      </w:pPr>
      <w:r>
        <w:rPr>
          <w:rFonts w:ascii="Poppins" w:cs="Poppins" w:eastAsia="Poppins" w:hAnsi="Poppins"/>
          <w:b/>
          <w:bCs/>
          <w:color w:val="143548"/>
          <w:spacing w:val="6"/>
          <w:sz w:val="63"/>
          <w:szCs w:val="63"/>
        </w:rPr>
        <w:t xml:space="preserve">DECRETO 51/2025,</w:t>
      </w:r>
      <w:r>
        <w:br/>
      </w:r>
      <w:r>
        <w:rPr>
          <w:rFonts w:ascii="Poppins" w:cs="Poppins" w:eastAsia="Poppins" w:hAnsi="Poppins"/>
          <w:b/>
          <w:bCs/>
          <w:color w:val="143548"/>
          <w:spacing w:val="6"/>
          <w:sz w:val="63"/>
          <w:szCs w:val="63"/>
        </w:rPr>
        <w:t xml:space="preserve">DE 24 DE FEBRERO</w:t>
      </w:r>
    </w:p>
    <w:p>
      <w:pPr>
        <w:spacing w:after="0" w:before="482" w:line="331" w:lineRule="exact"/>
        <w:ind w:left="489" w:right="489"/>
        <w:jc w:val="center"/>
      </w:pPr>
      <w:r>
        <w:rPr>
          <w:rFonts w:ascii="Poppins" w:cs="Poppins" w:eastAsia="Poppins" w:hAnsi="Poppins"/>
          <w:b w:val="false"/>
          <w:bCs w:val="false"/>
          <w:color w:val="3A4A55"/>
          <w:sz w:val="21"/>
          <w:szCs w:val="21"/>
        </w:rPr>
        <w:t xml:space="preserve">Por el que se regula la planificación y ordenación del empleo público, y el ingreso, promoción interna y provisión de puestos de trabajo del personal de la Administración General de la Junta de Andalucía.</w:t>
      </w:r>
    </w:p>
    <w:p>
      <w:pPr>
        <w:pageBreakBefore/>
        <w:spacing w:after="0" w:before="0" w:line="1244" w:lineRule="exact"/>
      </w:pPr>
      <w:r>
        <w:drawing>
          <wp:anchor distT="0" distB="0" distL="0" distR="0" simplePos="0" allowOverlap="1" behindDoc="1" locked="0" layoutInCell="1" relativeHeight="106918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1813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t xml:space="preserve"/>
      </w:r>
    </w:p>
    <w:p>
      <w:pPr>
        <w:spacing w:after="0" w:before="0" w:line="353" w:lineRule="exact"/>
        <w:ind w:left="403" w:right="403"/>
        <w:jc w:val="left"/>
      </w:pPr>
      <w:r>
        <w:rPr>
          <w:rFonts w:ascii="Poppins" w:cs="Poppins" w:eastAsia="Poppins" w:hAnsi="Poppins"/>
          <w:b/>
          <w:bCs/>
          <w:color w:val="143548"/>
          <w:sz w:val="24"/>
          <w:szCs w:val="24"/>
        </w:rPr>
        <w:t xml:space="preserve">Decreto 51/2025, de 24 de febrero, por el que se regula la planificación y ordenación del empleo público, y el ingreso, promoción interna y provisión de puestos de trabajo del personal de la Administración General de la Junta de Andalucía.</w:t>
      </w:r>
    </w:p>
    <w:p>
      <w:pPr>
        <w:spacing w:after="0" w:before="1550" w:line="124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aps/>
          <w:color w:val="6F8290"/>
          <w:sz w:val="12"/>
          <w:szCs w:val="12"/>
        </w:rPr>
        <w:t xml:space="preserve">Título preliminar</w:t>
      </w:r>
    </w:p>
    <w:p>
      <w:pPr>
        <w:spacing w:after="0" w:before="65" w:line="302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21"/>
          <w:szCs w:val="21"/>
        </w:rPr>
        <w:t xml:space="preserve">Disposiciones generales</w:t>
      </w:r>
    </w:p>
    <w:p>
      <w:pPr>
        <w:spacing w:after="0" w:before="272" w:line="124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aps/>
          <w:color w:val="6F8290"/>
          <w:sz w:val="12"/>
          <w:szCs w:val="12"/>
        </w:rPr>
        <w:t xml:space="preserve">Título I</w:t>
      </w:r>
    </w:p>
    <w:p>
      <w:pPr>
        <w:spacing w:after="0" w:before="50" w:line="302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21"/>
          <w:szCs w:val="21"/>
        </w:rPr>
        <w:t xml:space="preserve">Planificación y ordenación del empleo público</w:t>
      </w:r>
    </w:p>
    <w:p>
      <w:pPr>
        <w:tabs>
          <w:tab w:val="left" w:pos="1123"/>
        </w:tabs>
        <w:spacing w:after="0" w:before="87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Planificación de recursos humanos</w:t>
      </w:r>
    </w:p>
    <w:p>
      <w:pPr>
        <w:tabs>
          <w:tab w:val="left" w:pos="1123"/>
          <w:tab w:val="left" w:pos="5967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Planes de ordenación de recursos humanos</w:t>
      </w: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Oferta de empleo público</w:t>
      </w:r>
    </w:p>
    <w:p>
      <w:pPr>
        <w:spacing w:after="0" w:before="315" w:line="124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aps/>
          <w:color w:val="6F8290"/>
          <w:sz w:val="12"/>
          <w:szCs w:val="12"/>
        </w:rPr>
        <w:t xml:space="preserve">Título II</w:t>
      </w:r>
    </w:p>
    <w:p>
      <w:pPr>
        <w:spacing w:after="0" w:before="65" w:line="302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21"/>
          <w:szCs w:val="21"/>
        </w:rPr>
        <w:t xml:space="preserve">Selección de personal</w:t>
      </w:r>
    </w:p>
    <w:p>
      <w:pPr>
        <w:tabs>
          <w:tab w:val="left" w:pos="1123"/>
          <w:tab w:val="left" w:pos="3889"/>
        </w:tabs>
        <w:spacing w:after="0" w:before="87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Normas generales</w:t>
      </w: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Sistema de selección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Inicio y desarrollo de los procesos selectivos</w:t>
      </w:r>
    </w:p>
    <w:p>
      <w:pPr>
        <w:tabs>
          <w:tab w:val="left" w:pos="1123"/>
          <w:tab w:val="left" w:pos="5201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IV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Personal funcionario en prácticas</w:t>
      </w: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V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Comisiones de selección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VI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Selección de personal funcionario interino y personal laboral temporal</w:t>
      </w:r>
    </w:p>
    <w:p>
      <w:pPr>
        <w:spacing w:after="0" w:before="315" w:line="124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aps/>
          <w:color w:val="6F8290"/>
          <w:sz w:val="12"/>
          <w:szCs w:val="12"/>
        </w:rPr>
        <w:t xml:space="preserve">Título III</w:t>
      </w:r>
    </w:p>
    <w:p>
      <w:pPr>
        <w:spacing w:after="0" w:before="50" w:line="302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21"/>
          <w:szCs w:val="21"/>
        </w:rPr>
        <w:t xml:space="preserve">Promoción interna del personal funcionario de carrera y del personal laboral</w:t>
      </w:r>
    </w:p>
    <w:p>
      <w:pPr>
        <w:tabs>
          <w:tab w:val="left" w:pos="1123"/>
        </w:tabs>
        <w:spacing w:after="0" w:before="87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Normas generales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Promoción interna vertical del personal funcionario de carrera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Promoción interna horizontal del personal funcionario de carrera</w:t>
      </w:r>
    </w:p>
    <w:p>
      <w:pPr>
        <w:spacing w:after="0" w:before="315" w:line="124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aps/>
          <w:color w:val="6F8290"/>
          <w:sz w:val="12"/>
          <w:szCs w:val="12"/>
        </w:rPr>
        <w:t xml:space="preserve">Título IV</w:t>
      </w:r>
    </w:p>
    <w:p>
      <w:pPr>
        <w:spacing w:after="0" w:before="65" w:line="302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21"/>
          <w:szCs w:val="21"/>
        </w:rPr>
        <w:t xml:space="preserve">Provisión de puestos de trabajo y movilidad del personal funcionario y laboral</w:t>
      </w:r>
    </w:p>
    <w:p>
      <w:pPr>
        <w:tabs>
          <w:tab w:val="left" w:pos="1123"/>
        </w:tabs>
        <w:spacing w:after="0" w:before="87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Normas generales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Procedimientos ordinarios de provisión de personal funcionario de carrera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Procedimientos de provisión de carácter extraordinario</w:t>
      </w:r>
    </w:p>
    <w:p>
      <w:pPr>
        <w:spacing w:after="0" w:before="315" w:line="124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aps/>
          <w:color w:val="6F8290"/>
          <w:sz w:val="12"/>
          <w:szCs w:val="12"/>
        </w:rPr>
        <w:t xml:space="preserve">Título V</w:t>
      </w:r>
    </w:p>
    <w:p>
      <w:pPr>
        <w:spacing w:after="0" w:before="65" w:line="302" w:lineRule="exact"/>
        <w:ind w:left="950" w:right="0"/>
        <w:jc w:val="left"/>
      </w:pP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21"/>
          <w:szCs w:val="21"/>
        </w:rPr>
        <w:t xml:space="preserve">Adquisición y pérdida de la relación de servicio</w:t>
      </w:r>
    </w:p>
    <w:p>
      <w:pPr>
        <w:tabs>
          <w:tab w:val="left" w:pos="1123"/>
        </w:tabs>
        <w:spacing w:after="0" w:before="86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Adquisición y pérdida de la condición de personal funcionario de carrera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Rehabilitación de la condición de personal funcionario de carrera</w:t>
      </w:r>
    </w:p>
    <w:p>
      <w:pPr>
        <w:tabs>
          <w:tab w:val="left" w:pos="1123"/>
        </w:tabs>
        <w:spacing w:after="0" w:before="101" w:line="302" w:lineRule="exact"/>
        <w:ind w:left="0" w:right="0"/>
        <w:jc w:val="left"/>
      </w:pPr>
      <w:r>
        <w:t xml:space="preserve">	</w:t>
      </w:r>
      <w:r>
        <w:rPr>
          <w:rFonts w:ascii="Poppins SemiBold" w:cs="Poppins SemiBold" w:eastAsia="Poppins SemiBold" w:hAnsi="Poppins SemiBold"/>
          <w:b w:val="false"/>
          <w:bCs w:val="false"/>
          <w:color w:val="143548"/>
          <w:sz w:val="15"/>
          <w:szCs w:val="15"/>
        </w:rPr>
        <w:t xml:space="preserve">Capítulo III</w:t>
      </w:r>
      <w:r>
        <w:rPr>
          <w:rFonts w:ascii="Poppins" w:cs="Poppins" w:eastAsia="Poppins" w:hAnsi="Poppins"/>
          <w:b w:val="false"/>
          <w:bCs w:val="false"/>
          <w:color w:val="2B2B2B"/>
          <w:spacing w:val="43"/>
          <w:sz w:val="15"/>
          <w:szCs w:val="15"/>
        </w:rPr>
        <w:t xml:space="preserve"> </w:t>
      </w:r>
      <w:r>
        <w:rPr>
          <w:rFonts w:ascii="Poppins" w:cs="Poppins" w:eastAsia="Poppins" w:hAnsi="Poppins"/>
          <w:b w:val="false"/>
          <w:bCs w:val="false"/>
          <w:color w:val="2B2B2B"/>
          <w:sz w:val="15"/>
          <w:szCs w:val="15"/>
        </w:rPr>
        <w:t xml:space="preserve">Adquisición y pérdida de la condición de personal laboral fijo</w:t>
      </w:r>
    </w:p>
    <w:p>
      <w:pPr>
        <w:spacing w:after="0" w:before="368" w:line="346" w:lineRule="exact"/>
        <w:ind w:left="518" w:right="0"/>
        <w:jc w:val="left"/>
      </w:pPr>
      <w:r>
        <w:rPr>
          <w:rFonts w:ascii="Poppins" w:cs="Poppins" w:eastAsia="Poppins" w:hAnsi="Poppins"/>
          <w:b w:val="false"/>
          <w:bCs w:val="false"/>
          <w:color w:val="143548"/>
          <w:sz w:val="20"/>
          <w:szCs w:val="20"/>
        </w:rPr>
        <w:t xml:space="preserve">Este decreto desarrolla los Títulos </w:t>
      </w:r>
      <w:r>
        <w:rPr>
          <w:rFonts w:ascii="Poppins" w:cs="Poppins" w:eastAsia="Poppins" w:hAnsi="Poppins"/>
          <w:b/>
          <w:bCs/>
          <w:color w:val="143548"/>
          <w:sz w:val="22"/>
          <w:szCs w:val="22"/>
          <w:shd w:fill="9DDFEA" w:color="auto" w:val="clear"/>
        </w:rPr>
        <w:t xml:space="preserve">8, 9 y 10</w:t>
      </w:r>
      <w:r>
        <w:rPr>
          <w:rFonts w:ascii="Poppins" w:cs="Poppins" w:eastAsia="Poppins" w:hAnsi="Poppins"/>
          <w:b w:val="false"/>
          <w:bCs w:val="false"/>
          <w:color w:val="143548"/>
          <w:sz w:val="20"/>
          <w:szCs w:val="20"/>
        </w:rPr>
        <w:t xml:space="preserve"> de la </w:t>
      </w:r>
      <w:r>
        <w:rPr>
          <w:rFonts w:ascii="Poppins Medium" w:cs="Poppins Medium" w:eastAsia="Poppins Medium" w:hAnsi="Poppins Medium"/>
          <w:b w:val="false"/>
          <w:bCs w:val="false"/>
          <w:color w:val="143548"/>
          <w:sz w:val="20"/>
          <w:szCs w:val="20"/>
        </w:rPr>
        <w:t xml:space="preserve">LFPA</w:t>
      </w:r>
      <w:r>
        <w:rPr>
          <w:rFonts w:ascii="Poppins" w:cs="Poppins" w:eastAsia="Poppins" w:hAnsi="Poppins"/>
          <w:b w:val="false"/>
          <w:bCs w:val="false"/>
          <w:color w:val="143548"/>
          <w:sz w:val="20"/>
          <w:szCs w:val="20"/>
        </w:rPr>
        <w:t xml:space="preserve">.</w:t>
      </w:r>
    </w:p>
    <w:p>
      <w:pPr>
        <w:pageBreakBefore/>
        <w:spacing w:after="0" w:before="0" w:line="714" w:lineRule="exact"/>
      </w:pPr>
      <w:r>
        <w:drawing>
          <wp:anchor distT="0" distB="0" distL="0" distR="0" simplePos="0" allowOverlap="1" behindDoc="1" locked="0" layoutInCell="1" relativeHeight="106918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1813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1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t xml:space="preserve"/>
      </w:r>
    </w:p>
    <w:p>
      <w:pPr>
        <w:spacing w:after="0" w:before="0" w:line="691" w:lineRule="exact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pacing w:val="-3"/>
          <w:sz w:val="30"/>
          <w:szCs w:val="30"/>
        </w:rPr>
        <w:t xml:space="preserve">Título preliminar: Disposiciones generales</w:t>
      </w:r>
    </w:p>
    <w:p>
      <w:pPr>
        <w:spacing w:after="0" w:before="0" w:line="337" w:lineRule="exact"/>
      </w:pPr>
      <w:r>
        <w:rPr>
          <w:sz w:val="2"/>
          <w:szCs w:val="2"/>
        </w:rPr>
        <w:t xml:space="preserve"/>
      </w:r>
    </w:p>
    <w:tbl>
      <w:tblPr>
        <w:tblW w:type="dxa" w:w="96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5"/>
        <w:gridCol w:w="1612"/>
        <w:gridCol w:w="4333"/>
        <w:gridCol w:w="2146"/>
      </w:tblGrid>
      <w:tr>
        <w:tc>
          <w:tcPr>
            <w:tcW w:type="dxa" w:w="1555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1 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Objeto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Desarrollo LFPA en materia de: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tbl>
            <w:tblPr>
              <w:tblW w:type="dxa" w:w="6277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39"/>
              <w:gridCol w:w="3139"/>
            </w:tblGrid>
            <w:tr>
              <w:tc>
                <w:tcPr>
                  <w:tcW w:type="dxa" w:w="3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01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02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Planificación y ordenación del empleo público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02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Acceso al empleo público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02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Promoción interna</w:t>
                  </w:r>
                </w:p>
              </w:tc>
              <w:tc>
                <w:tcPr>
                  <w:tcW w:type="dxa" w:w="31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101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02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Provisión de puestos de trabajo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02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Adquisición y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7BB9"/>
                      <w:sz w:val="16"/>
                      <w:szCs w:val="16"/>
                    </w:rPr>
                    <w:t xml:space="preserve">pérdida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 de la relación de servicio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0" w:line="202" w:lineRule="exac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22222"/>
                      <w:sz w:val="16"/>
                      <w:szCs w:val="16"/>
                    </w:rPr>
                    <w:t xml:space="preserve">Movilidad del personal funcionario de la AJA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1555"/>
            <w:vMerge w:val="restart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2 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Ámbito de aplicación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funcionario</w:t>
            </w:r>
          </w:p>
        </w:tc>
        <w:tc>
          <w:tcPr>
            <w:tcW w:type="dxa" w:w="4333"/>
            <w:gridSpan w:val="1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En las Consejerías,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Delegaciones del Gobierno,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Delegaciones Territoriales o Provinciales,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otros órganos dependientes o vinculados a la AJA,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y en las AA, ARE o APE</w:t>
            </w:r>
          </w:p>
        </w:tc>
        <w:tc>
          <w:tcPr>
            <w:tcW w:type="dxa" w:w="2146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6FBFE" w:color="auto" w:val="clear"/>
            <w:tcMar>
              <w:top w:type="dxa" w:w="58"/>
              <w:left w:type="dxa" w:w="115"/>
              <w:bottom w:type="dxa" w:w="43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9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 regirán por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  <w:u w:val="thick" w:color="9DDFEA"/>
              </w:rPr>
              <w:t xml:space="preserve">D 51/25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funcionario de la DA1ª</w:t>
            </w:r>
          </w:p>
        </w:tc>
        <w:tc>
          <w:tcPr>
            <w:tcW w:type="dxa" w:w="4333"/>
            <w:gridSpan w:val="1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de Letrados/as.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Superior de Inspección de OTUyV,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de Subinspección de OTUyV.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Superior Facultativo de Instit. Sanitarias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Especialidad Investigación Agraria y Pesquera (…),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Ayudantes Técnicos (Medio Ambiente)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Cuerpo Superior (y Técnico) de Interv. y Auditoría.</w:t>
            </w:r>
          </w:p>
        </w:tc>
        <w:tc>
          <w:tcPr>
            <w:tcW w:type="dxa" w:w="2146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6FBFE" w:color="auto" w:val="clear"/>
            <w:tcMar>
              <w:top w:type="dxa" w:w="58"/>
              <w:left w:type="dxa" w:w="115"/>
              <w:bottom w:type="dxa" w:w="43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9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 regirán por su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  <w:u w:val="thick" w:color="9DDFEA"/>
              </w:rPr>
              <w:t xml:space="preserve">normativa específica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72" w:line="199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 todo no previsto en la misma, se rigen por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  <w:u w:val="thick" w:color="9DDFEA"/>
              </w:rPr>
              <w:t xml:space="preserve">LFPA y D 51/25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;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laboral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Legislación laboral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EBEP y restantes legislación estatal de carácter básico aplicable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Preceptos de la LFPA y D 51/25 que así lo dispongan expresamente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Normas convencionales que sean de aplicación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A7BB9"/>
                <w:sz w:val="15"/>
                <w:szCs w:val="15"/>
              </w:rPr>
              <w:t xml:space="preserve">Personal del art 3.1 LFPA</w:t>
            </w:r>
          </w:p>
        </w:tc>
        <w:tc>
          <w:tcPr>
            <w:tcW w:type="dxa" w:w="4333"/>
            <w:gridSpan w:val="1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Servicio Andaluz de Salud.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Admin. de Justicia.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Universidades públicas: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Funcionario docente universitario.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Funcionario y laboral de admin y servicios.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Administraciones locales.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Oficina Andaluza contra el Fraude y la Corrupción,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Consultivo de Andalucía,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Audiovisual de Andalucía,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Económico y Social de Andalucía,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Consejo de Transparencia y Protección de Datos,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Otras entidades públicas con personalidad jurídica.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Personal investigador.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A7BB9"/>
                <w:sz w:val="16"/>
                <w:szCs w:val="16"/>
              </w:rPr>
              <w:t xml:space="preserve">Personal eventual.</w:t>
            </w:r>
          </w:p>
        </w:tc>
        <w:tc>
          <w:tcPr>
            <w:tcW w:type="dxa" w:w="2146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6FBFE" w:color="auto" w:val="clear"/>
            <w:tcMar>
              <w:top w:type="dxa" w:w="58"/>
              <w:left w:type="dxa" w:w="115"/>
              <w:bottom w:type="dxa" w:w="43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199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 todo lo no previsto en su legislación específica, el D 51/25 tendrá carácter supletorio.</w:t>
            </w:r>
          </w:p>
        </w:tc>
      </w:tr>
      <w:tr>
        <w:tc>
          <w:tcPr>
            <w:tcW w:type="dxa" w:w="1555"/>
            <w:vMerge w:val="restart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3 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Principios en el acceso al empleo público y la provisión de puestos</w:t>
            </w:r>
          </w:p>
          <w:p>
            <w:pPr>
              <w:spacing w:after="0" w:before="86"/>
              <w:jc w:val="center"/>
            </w:pPr>
            <w:r>
              <w:rPr>
                <w:rFonts w:ascii="Arial" w:cs="Arial" w:eastAsia="Arial" w:hAnsi="Arial"/>
                <w:b/>
                <w:bCs/>
                <w:color w:val="143548"/>
                <w:spacing w:val="24"/>
                <w:sz w:val="12"/>
                <w:szCs w:val="12"/>
                <w:shd w:fill="9DDFEA" w:color="auto" w:val="clear"/>
              </w:rPr>
              <w:t xml:space="preserve"> ♥ ¡TEST! 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Acceso F y L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Procesos selectivos con respeto a los ppios CE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igualdad, mérito y capacidad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Publicidad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Transparencia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Imparcialidad y profesionalidad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de los miembros de los órganos de selección.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Independencia y discrecionalidad técnica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la actuación de los órganos de selección, así como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confidencialidad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su actuación.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Fiabilidad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validez predictiva de los instrumentos y procesos.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Adecuación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entre el contenido de los procesos selectivos y las funciones.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Agilidad y eficiencia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 sin perjuicio de la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objetividad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 en los procesos de selección.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Provisión FC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 llevará a cabo mediante los ppios de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igualdad, mérito, capacidad, publicidad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 en su caso, para puestos provistos por libre designación (PLD),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idoneidad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Interinos y Laboral Temporal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Procedimientos ágiles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que garanticen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igualdad, mérito, capacidad, publicidad y celeridad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Discapacidad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= de oportunidades, no discriminación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accesibilidad universal.</w:t>
            </w:r>
          </w:p>
        </w:tc>
      </w:tr>
      <w:tr>
        <w:tc>
          <w:tcPr>
            <w:vMerge w:val="continue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</w:tcPr>
          <w:p/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Igualdad M y H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Medidas específicas para alcanzar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la = de oportunidades entre M y H.</w:t>
            </w:r>
          </w:p>
        </w:tc>
      </w:tr>
      <w:tr>
        <w:tc>
          <w:tcPr>
            <w:tcW w:type="dxa" w:w="1555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D1EDF9" w:color="auto" w:val="clear"/>
            <w:tcMar>
              <w:top w:type="dxa" w:w="115"/>
              <w:left w:type="dxa" w:w="72"/>
              <w:bottom w:type="dxa" w:w="115"/>
              <w:right w:type="dxa" w:w="72"/>
            </w:tcMar>
            <w:vAlign w:val="center"/>
          </w:tcPr>
          <w:p>
            <w:pPr>
              <w:spacing w:after="72" w:before="0"/>
              <w:jc w:val="center"/>
            </w:pPr>
            <w:r>
              <w:drawing>
                <wp:inline distT="0" distB="0" distL="0" distR="0">
                  <wp:extent cx="219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exact"/>
              <w:jc w:val="center"/>
            </w:pPr>
            <w:r>
              <w:rPr>
                <w:rFonts w:ascii="Lora" w:cs="Lora" w:eastAsia="Lora" w:hAnsi="Lora"/>
                <w:b/>
                <w:bCs/>
                <w:color w:val="143548"/>
                <w:sz w:val="24"/>
                <w:szCs w:val="24"/>
              </w:rPr>
              <w:t xml:space="preserve">4 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6"/>
                <w:szCs w:val="16"/>
              </w:rPr>
              <w:t xml:space="preserve">Fundamentos y criterios de actuación en los planes de ordenación de RRHH</w:t>
            </w:r>
          </w:p>
        </w:tc>
        <w:tc>
          <w:tcPr>
            <w:tcW w:type="dxa" w:w="161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shd w:fill="F8F9FA" w:color="auto" w:val="clear"/>
            <w:tcMar>
              <w:top w:type="dxa" w:w="58"/>
              <w:left w:type="dxa" w:w="115"/>
              <w:bottom w:type="dxa" w:w="43"/>
              <w:right w:type="dxa" w:w="86"/>
            </w:tcMar>
            <w:vAlign w:val="center"/>
          </w:tcPr>
          <w:p>
            <w:pPr>
              <w:spacing w:after="0" w:before="0" w:line="207" w:lineRule="exact"/>
              <w:jc w:val="center"/>
            </w:pP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Los planes de ordenación de RRHH deben basarse en los siguientes 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5"/>
                <w:szCs w:val="15"/>
              </w:rPr>
              <w:t xml:space="preserve">fundamentos</w:t>
            </w: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 y </w:t>
            </w:r>
            <w:r>
              <w:rPr>
                <w:rFonts w:ascii="Poppins" w:cs="Poppins" w:eastAsia="Poppins" w:hAnsi="Poppins"/>
                <w:b/>
                <w:bCs/>
                <w:color w:val="143548"/>
                <w:sz w:val="15"/>
                <w:szCs w:val="15"/>
              </w:rPr>
              <w:t xml:space="preserve">criterios de actuación</w:t>
            </w:r>
            <w:r>
              <w:rPr>
                <w:rFonts w:ascii="Poppins Medium" w:cs="Poppins Medium" w:eastAsia="Poppins Medium" w:hAnsi="Poppins Medium"/>
                <w:b w:val="false"/>
                <w:bCs w:val="false"/>
                <w:color w:val="143548"/>
                <w:sz w:val="15"/>
                <w:szCs w:val="15"/>
              </w:rPr>
              <w:t xml:space="preserve">:</w:t>
            </w:r>
          </w:p>
        </w:tc>
        <w:tc>
          <w:tcPr>
            <w:tcW w:type="dxa" w:w="6479"/>
            <w:gridSpan w:val="2"/>
            <w:tcBorders>
              <w:top w:val="single" w:color="D1EDF9" w:sz="6"/>
              <w:left w:val="single" w:color="D1EDF9" w:sz="6"/>
              <w:bottom w:val="single" w:color="D1EDF9" w:sz="6"/>
              <w:right w:val="single" w:color="D1EDF9" w:sz="6"/>
            </w:tcBorders>
            <w:tcMar>
              <w:top w:type="dxa" w:w="29"/>
              <w:left w:type="dxa" w:w="115"/>
              <w:bottom w:type="dxa" w:w="29"/>
              <w:right w:type="dxa" w:w="86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Transparencia y participación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Negociación colectiva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Eficacia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la prestación de los servicios públicos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Eficiencia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el empleo de los recursos económicos disponibles.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Buena administración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calidad e innovación de los servicios públicos.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Racionalidad organizativa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, simplific. de procedimientos y mejora regulatoria.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Compromiso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con el personal y el empleo público.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Igualdad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de oportunidades, no discriminación y accesibilidad universal.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Incorporación de la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perspectiva de género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en todas las fases de la planificación.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Formación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y cualificación profesional permanente.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Fomento de la </w:t>
            </w: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conciliación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de la vida profesional con la personal y familiar.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 w:line="202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1F9D63"/>
                <w:sz w:val="16"/>
                <w:szCs w:val="16"/>
              </w:rPr>
              <w:t xml:space="preserve">Evaluación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 ex post de su aplicación.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0" w:right="1137" w:bottom="560" w:left="1137" w:header="0" w:footer="165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charset w:val="00"/>
    <w:family w:val="auto"/>
    <w:pitch w:val="variable"/>
    <w:embedRegular r:id="rIdF1" w:fontKey="{D7CD7CF3-3EE7-4D53-9AEF-B6EA520F5DC8}"/>
    <w:embedBold r:id="rIdF2" w:fontKey="{493B7305-DC6E-4010-A20D-1A93D2BDCDD5}"/>
  </w:font>
  <w:font w:name="Poppins SemiBold">
    <w:charset w:val="00"/>
    <w:family w:val="auto"/>
    <w:pitch w:val="variable"/>
    <w:embedRegular r:id="rIdF3" w:fontKey="{C9EC2E83-FDE4-4D23-8D92-999B792AEAA0}"/>
  </w:font>
  <w:font w:name="Poppins Medium">
    <w:charset w:val="00"/>
    <w:family w:val="auto"/>
    <w:pitch w:val="variable"/>
    <w:embedRegular r:id="rIdF4" w:fontKey="{355535A2-C470-4856-A94B-997B92405319}"/>
  </w:font>
  <w:font w:name="Lora">
    <w:charset w:val="00"/>
    <w:family w:val="auto"/>
    <w:pitch w:val="variable"/>
    <w:embedRegular r:id="rIdF5" w:fontKey="{4B62DA93-414A-497A-B345-07D01754B297}"/>
    <w:embedBold r:id="rIdF6" w:fontKey="{9FC61177-38FE-4D88-A270-33E30CE197D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24262A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173" w:hanging="158"/>
      </w:pPr>
      <w:rPr>
        <w:rFonts w:ascii="Arial" w:cs="Arial" w:eastAsia="Arial" w:hAnsi="Arial"/>
        <w:color w:val="6FD0E0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435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7193fe1c597a4f552c89e03cf10dce64056ca325.png"/><Relationship Id="rId10" Type="http://schemas.openxmlformats.org/officeDocument/2006/relationships/image" Target="media/ce2c6e6dda49fae958e95b39b9f61deb5cbcce3f.png"/><Relationship Id="rId11" Type="http://schemas.openxmlformats.org/officeDocument/2006/relationships/image" Target="media/a44fa37bbd98d169630c5a5c95d2c493b43585cb.png"/><Relationship Id="rId12" Type="http://schemas.openxmlformats.org/officeDocument/2006/relationships/image" Target="media/24a42ff1bd2b76e36b9dc2fd19cce5c82c8faa04.png"/><Relationship Id="rId13" Type="http://schemas.openxmlformats.org/officeDocument/2006/relationships/image" Target="media/d91ba892978a2a94f0403c975bbd6d7aa1a606f2.png"/><Relationship Id="rId14" Type="http://schemas.openxmlformats.org/officeDocument/2006/relationships/image" Target="media/55dc54096790e352c6cb6bad4302895ef8ccfc0a.png"/><Relationship Id="rId15" Type="http://schemas.openxmlformats.org/officeDocument/2006/relationships/image" Target="media/613aba00efc056fe1a60147be3a92450563c136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51/2025, de 24 de febrero</dc:title>
  <dc:creator>Opovisual</dc:creator>
  <cp:lastModifiedBy>Un-named</cp:lastModifiedBy>
  <cp:revision>1</cp:revision>
  <dcterms:created xsi:type="dcterms:W3CDTF">2026-10-21T21:57:44.550Z</dcterms:created>
  <dcterms:modified xsi:type="dcterms:W3CDTF">2026-10-21T21:57:44.550Z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