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8c2ab84105eed936efe44fc9dbb30ce63892006"/>
    <w:p>
      <w:pPr>
        <w:pStyle w:val="Heading1"/>
      </w:pPr>
      <w:r>
        <w:t xml:space="preserve">DCGen Web Datacenter Configuration Platform — User Manual</w:t>
      </w:r>
    </w:p>
    <w:p>
      <w:pPr>
        <w:pStyle w:val="FirstParagraph"/>
      </w:pPr>
      <w:r>
        <w:rPr>
          <w:bCs/>
          <w:b/>
        </w:rPr>
        <w:t xml:space="preserve">Version 1.0 ｜ 2026-08-17 ｜ English edition ｜ Applies to: Kimi hosted deployment and GitHub self-hosted version (pcpcchen-coder/AIDCalculator)</w:t>
      </w:r>
    </w:p>
    <w:p>
      <w:r>
        <w:pict>
          <v:rect style="width:0;height:1.5pt" o:hralign="center" o:hrstd="t" o:hr="t"/>
        </w:pict>
      </w:r>
    </w:p>
    <w:bookmarkStart w:id="23" w:name="chapter-1-about-this-system"/>
    <w:p>
      <w:pPr>
        <w:pStyle w:val="Heading2"/>
      </w:pPr>
      <w:r>
        <w:t xml:space="preserve">Chapter 1　About This System</w:t>
      </w:r>
    </w:p>
    <w:bookmarkStart w:id="20" w:name="what-is-this"/>
    <w:p>
      <w:pPr>
        <w:pStyle w:val="Heading3"/>
      </w:pPr>
      <w:r>
        <w:t xml:space="preserve">1.1 What is this?</w:t>
      </w:r>
    </w:p>
    <w:p>
      <w:pPr>
        <w:pStyle w:val="FirstParagraph"/>
      </w:pPr>
      <w:r>
        <w:t xml:space="preserve">DCGen Web is a</w:t>
      </w:r>
      <w:r>
        <w:t xml:space="preserve"> </w:t>
      </w:r>
      <w:r>
        <w:rPr>
          <w:bCs/>
          <w:b/>
        </w:rPr>
        <w:t xml:space="preserve">datacenter hardware configuration generation platform</w:t>
      </w:r>
      <w:r>
        <w:t xml:space="preserve"> </w:t>
      </w:r>
      <w:r>
        <w:t xml:space="preserve">built on the DCGen 1.1 technical report (arXiv:2604.09616, University of Chicago / Argonne National Laboratory) and its open-source implementation. Enter the datacenter type and scale target, and the system automatically computes: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 configuration</w:t>
      </w:r>
      <w:r>
        <w:t xml:space="preserve">: how many racks each node type (GPU, CPU-GPU, CPU, Storage) requires, peak power in MW, power density (kW/m²), and how much White space (IT floor space in m²) is needed.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Cooling system</w:t>
      </w:r>
      <w:r>
        <w:t xml:space="preserve">: how many CDUs, chillers, and dry coolers / cooling towers are required, which commercial model is selected, and how much power they consume.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Power distribution system</w:t>
      </w:r>
      <w:r>
        <w:t xml:space="preserve">: how many PDUs, UPSs, MSBs (main switchboards), and backup generators are required (including N+1 / 2N / xN-y redundancy and safety margin), and the conversion losses.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Gray space</w:t>
      </w:r>
      <w:r>
        <w:t xml:space="preserve">: floor space occupied by cooling and power distribution infrastructure (indoor / outdoor m²).</w:t>
      </w:r>
    </w:p>
    <w:bookmarkEnd w:id="20"/>
    <w:bookmarkStart w:id="21" w:name="what-the-system-can-do-by-page"/>
    <w:p>
      <w:pPr>
        <w:pStyle w:val="Heading3"/>
      </w:pPr>
      <w:r>
        <w:t xml:space="preserve">1.2 What the system can do (by page)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do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a datacenter configuration and view result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</w:t>
            </w:r>
            <w:r>
              <w:t xml:space="preserve"> </w:t>
            </w:r>
            <w:r>
              <w:rPr>
                <w:rStyle w:val="VerbatimChar"/>
              </w:rPr>
              <w:t xml:space="preserve">/generator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 scenarios, reopen them later, compare multiple scenarios side by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Saved Scenarios</w:t>
            </w:r>
            <w:r>
              <w:t xml:space="preserve">”</w:t>
            </w:r>
            <w:r>
              <w:t xml:space="preserve"> </w:t>
            </w:r>
            <w:r>
              <w:t xml:space="preserve">at the bottom of the 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 / add / edit / delete equipment catalogs (including Delta Electronics products) or IT reference configurations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Management</w:t>
            </w:r>
            <w:r>
              <w:t xml:space="preserve"> </w:t>
            </w:r>
            <w:r>
              <w:rPr>
                <w:rStyle w:val="VerbatimChar"/>
              </w:rPr>
              <w:t xml:space="preserve">/catalog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Tune model parameters (e.g., the safety margin default), add your own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  <w:r>
              <w:t xml:space="preserve"> </w:t>
            </w:r>
            <w:r>
              <w:rPr>
                <w:rStyle w:val="VerbatimChar"/>
              </w:rPr>
              <w:t xml:space="preserve">/parameters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paper Eq. 1–19 algorithms, adjust algorithms, add your own algorithm formulas and evaluate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Algorithms</w:t>
            </w:r>
            <w:r>
              <w:t xml:space="preserve"> </w:t>
            </w:r>
            <w:r>
              <w:rPr>
                <w:rStyle w:val="VerbatimChar"/>
              </w:rPr>
              <w:t xml:space="preserve">/algorithms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 about the DCGen model, redundancy vocabulary, and data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Docs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</w:p>
        </w:tc>
      </w:tr>
    </w:tbl>
    <w:bookmarkEnd w:id="21"/>
    <w:bookmarkStart w:id="22" w:name="three-minute-glossary"/>
    <w:p>
      <w:pPr>
        <w:pStyle w:val="Heading3"/>
      </w:pPr>
      <w:r>
        <w:t xml:space="preserve">1.3 Three-minute glossary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space for IT racks (m²)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Gray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space for cooling and power distribution facilities (split into indoor/outdoor)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kW per square meter (measures how much power fits in the same space)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paper’s</w:t>
            </w:r>
            <w:r>
              <w:t xml:space="preserve"> </w:t>
            </w:r>
            <w:r>
              <w:t xml:space="preserve">“</w:t>
            </w:r>
            <w:r>
              <w:t xml:space="preserve">standard configuration</w:t>
            </w:r>
            <w:r>
              <w:t xml:space="preserve">”</w:t>
            </w:r>
            <w:r>
              <w:t xml:space="preserve"> </w:t>
            </w:r>
            <w:r>
              <w:t xml:space="preserve">obtained by averaging multiple real systems (three eras: 2024/2027/2029)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systems (e.g., xAI COLOSSUS, DGX SuperPOD, Aurora)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Redundancy N+1 / 2N / xN-y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 units are needed, keep r extra; 2N = two full sets; xN-y = each unit delivers only y/x of its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margin (sm)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over-provisioning ratio for equipment (0.2 = 20% more)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Rack group unit = rows_per_pod × rack_per_row (default 2×10 = 20 racks/pod); CDUs/PDUs are provisioned per pod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switch: whether the equipment participates in automatic selection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2-five-minute-quick-start"/>
    <w:p>
      <w:pPr>
        <w:pStyle w:val="Heading2"/>
      </w:pPr>
      <w:r>
        <w:t xml:space="preserve">Chapter 2　Five-Minute Quick Start</w:t>
      </w:r>
    </w:p>
    <w:p>
      <w:pPr>
        <w:pStyle w:val="FirstParagraph"/>
      </w:pPr>
      <w:r>
        <w:rPr>
          <w:bCs/>
          <w:b/>
        </w:rPr>
        <w:t xml:space="preserve">Goal: generate your first configuration — a 1,000-rack AI training datacenter.</w:t>
      </w:r>
    </w:p>
    <w:p>
      <w:pPr>
        <w:numPr>
          <w:ilvl w:val="0"/>
          <w:numId w:val="1002"/>
        </w:numPr>
        <w:pStyle w:val="Compact"/>
      </w:pPr>
      <w:r>
        <w:t xml:space="preserve">Open the website and click</w:t>
      </w:r>
      <w:r>
        <w:t xml:space="preserve"> </w:t>
      </w:r>
      <w:r>
        <w:t xml:space="preserve">“</w:t>
      </w:r>
      <w:r>
        <w:rPr>
          <w:bCs/>
          <w:b/>
        </w:rPr>
        <w:t xml:space="preserve">Generator</w:t>
      </w:r>
      <w:r>
        <w:t xml:space="preserve">”</w:t>
      </w:r>
      <w:r>
        <w:t xml:space="preserve"> </w:t>
      </w:r>
      <w:r>
        <w:t xml:space="preserve">in the left sidebar.</w:t>
      </w:r>
    </w:p>
    <w:p>
      <w:pPr>
        <w:numPr>
          <w:ilvl w:val="0"/>
          <w:numId w:val="1002"/>
        </w:numPr>
        <w:pStyle w:val="Compact"/>
      </w:pPr>
      <w:r>
        <w:t xml:space="preserve">The form defaults are basically fine:</w:t>
      </w:r>
    </w:p>
    <w:p>
      <w:pPr>
        <w:numPr>
          <w:ilvl w:val="1"/>
          <w:numId w:val="1003"/>
        </w:numPr>
        <w:pStyle w:val="Compact"/>
      </w:pPr>
      <w:r>
        <w:t xml:space="preserve">Datacenter type:</w:t>
      </w:r>
      <w:r>
        <w:t xml:space="preserve"> </w:t>
      </w:r>
      <w:r>
        <w:rPr>
          <w:bCs/>
          <w:b/>
        </w:rPr>
        <w:t xml:space="preserve">AI Training</w:t>
      </w:r>
    </w:p>
    <w:p>
      <w:pPr>
        <w:numPr>
          <w:ilvl w:val="1"/>
          <w:numId w:val="1003"/>
        </w:numPr>
        <w:pStyle w:val="Compact"/>
      </w:pPr>
      <w:r>
        <w:t xml:space="preserve">Target:</w:t>
      </w:r>
      <w:r>
        <w:t xml:space="preserve"> </w:t>
      </w:r>
      <w:r>
        <w:rPr>
          <w:bCs/>
          <w:b/>
        </w:rPr>
        <w:t xml:space="preserve">Rack count</w:t>
      </w:r>
      <w:r>
        <w:t xml:space="preserve"> </w:t>
      </w:r>
      <w:r>
        <w:rPr>
          <w:rStyle w:val="VerbatimChar"/>
        </w:rPr>
        <w:t xml:space="preserve">1000</w:t>
      </w:r>
    </w:p>
    <w:p>
      <w:pPr>
        <w:numPr>
          <w:ilvl w:val="1"/>
          <w:numId w:val="1003"/>
        </w:numPr>
        <w:pStyle w:val="Compact"/>
      </w:pPr>
      <w:r>
        <w:t xml:space="preserve">Model:</w:t>
      </w:r>
      <w:r>
        <w:t xml:space="preserve"> </w:t>
      </w:r>
      <w:r>
        <w:rPr>
          <w:bCs/>
          <w:b/>
        </w:rPr>
        <w:t xml:space="preserve">Canonical</w:t>
      </w:r>
      <w:r>
        <w:t xml:space="preserve">, year</w:t>
      </w:r>
      <w:r>
        <w:t xml:space="preserve"> </w:t>
      </w:r>
      <w:r>
        <w:rPr>
          <w:bCs/>
          <w:b/>
        </w:rPr>
        <w:t xml:space="preserve">2024</w:t>
      </w:r>
    </w:p>
    <w:p>
      <w:pPr>
        <w:numPr>
          <w:ilvl w:val="1"/>
          <w:numId w:val="1003"/>
        </w:numPr>
        <w:pStyle w:val="Compact"/>
      </w:pPr>
      <w:r>
        <w:t xml:space="preserve">Heat rejection mode:</w:t>
      </w:r>
      <w:r>
        <w:t xml:space="preserve"> </w:t>
      </w:r>
      <w:r>
        <w:rPr>
          <w:bCs/>
          <w:b/>
        </w:rPr>
        <w:t xml:space="preserve">Dry cooling</w:t>
      </w:r>
      <w:r>
        <w:t xml:space="preserve">; optimization criteria: check both</w:t>
      </w:r>
      <w:r>
        <w:t xml:space="preserve"> </w:t>
      </w:r>
      <w:r>
        <w:rPr>
          <w:bCs/>
          <w:b/>
        </w:rPr>
        <w:t xml:space="preserve">Space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Power</w:t>
      </w:r>
    </w:p>
    <w:p>
      <w:pPr>
        <w:numPr>
          <w:ilvl w:val="1"/>
          <w:numId w:val="1003"/>
        </w:numPr>
        <w:pStyle w:val="Compact"/>
      </w:pPr>
      <w:r>
        <w:t xml:space="preserve">Redundancy: defaults (cooling side N+1, power side 2N); safety margin 20%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rPr>
          <w:bCs/>
          <w:b/>
        </w:rPr>
        <w:t xml:space="preserve">Generate</w:t>
      </w:r>
      <w:r>
        <w:t xml:space="preserve">”</w:t>
      </w:r>
      <w:r>
        <w:t xml:space="preserve">. Results will appear on the dashboard to the right.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Check against expected results</w:t>
      </w:r>
      <w:r>
        <w:t xml:space="preserve"> </w:t>
      </w:r>
      <w:r>
        <w:t xml:space="preserve">(these numbers have been verified item-by-item against the original Python DCGen):</w:t>
      </w:r>
    </w:p>
    <w:p>
      <w:pPr>
        <w:numPr>
          <w:ilvl w:val="1"/>
          <w:numId w:val="1004"/>
        </w:numPr>
        <w:pStyle w:val="Compact"/>
      </w:pPr>
      <w:r>
        <w:t xml:space="preserve">IT peak power ≈</w:t>
      </w:r>
      <w:r>
        <w:t xml:space="preserve"> </w:t>
      </w:r>
      <w:r>
        <w:rPr>
          <w:bCs/>
          <w:b/>
        </w:rPr>
        <w:t xml:space="preserve">143.6 MW</w:t>
      </w:r>
      <w:r>
        <w:t xml:space="preserve"> </w:t>
      </w:r>
      <w:r>
        <w:t xml:space="preserve">(GPU 888 racks / 140.3 MW + Storage 112 racks / 3.3 MW)</w:t>
      </w:r>
    </w:p>
    <w:p>
      <w:pPr>
        <w:numPr>
          <w:ilvl w:val="1"/>
          <w:numId w:val="1004"/>
        </w:numPr>
        <w:pStyle w:val="Compact"/>
      </w:pPr>
      <w:r>
        <w:t xml:space="preserve">Power density ≈</w:t>
      </w:r>
      <w:r>
        <w:t xml:space="preserve"> </w:t>
      </w:r>
      <w:r>
        <w:rPr>
          <w:bCs/>
          <w:b/>
        </w:rPr>
        <w:t xml:space="preserve">79.8 kW/m²</w:t>
      </w:r>
      <w:r>
        <w:t xml:space="preserve">; White space =</w:t>
      </w:r>
      <w:r>
        <w:t xml:space="preserve"> </w:t>
      </w:r>
      <w:r>
        <w:rPr>
          <w:bCs/>
          <w:b/>
        </w:rPr>
        <w:t xml:space="preserve">1,800 m²</w:t>
      </w:r>
      <w:r>
        <w:t xml:space="preserve">;</w:t>
      </w:r>
      <w:r>
        <w:t xml:space="preserve"> </w:t>
      </w:r>
      <w:r>
        <w:rPr>
          <w:bCs/>
          <w:b/>
        </w:rPr>
        <w:t xml:space="preserve">50 pods</w:t>
      </w:r>
      <w:r>
        <w:t xml:space="preserve"> </w:t>
      </w:r>
      <w:r>
        <w:t xml:space="preserve">in total</w:t>
      </w:r>
    </w:p>
    <w:p>
      <w:pPr>
        <w:numPr>
          <w:ilvl w:val="1"/>
          <w:numId w:val="1004"/>
        </w:numPr>
        <w:pStyle w:val="Compact"/>
      </w:pPr>
      <w:r>
        <w:t xml:space="preserve">Power optimization: dry cooler Vertiv Liebert *D**112 ×</w:t>
      </w:r>
      <w:r>
        <w:t xml:space="preserve"> </w:t>
      </w:r>
      <w:r>
        <w:rPr>
          <w:bCs/>
          <w:b/>
        </w:rPr>
        <w:t xml:space="preserve">4,983 units</w:t>
      </w:r>
      <w:r>
        <w:t xml:space="preserve">, chiller × 385, CDU CoolIT CHx2000 × 150 (3 per pod); cooling power ≈</w:t>
      </w:r>
      <w:r>
        <w:t xml:space="preserve"> </w:t>
      </w:r>
      <w:r>
        <w:rPr>
          <w:bCs/>
          <w:b/>
        </w:rPr>
        <w:t xml:space="preserve">26.6 MW</w:t>
      </w:r>
    </w:p>
    <w:p>
      <w:pPr>
        <w:numPr>
          <w:ilvl w:val="1"/>
          <w:numId w:val="1004"/>
        </w:numPr>
        <w:pStyle w:val="Compact"/>
      </w:pPr>
      <w:r>
        <w:t xml:space="preserve">UPS (IT phase) = Delta Modulon DPH-G3-1250K ×</w:t>
      </w:r>
      <w:r>
        <w:t xml:space="preserve"> </w:t>
      </w:r>
      <w:r>
        <w:rPr>
          <w:bCs/>
          <w:b/>
        </w:rPr>
        <w:t xml:space="preserve">276 units</w:t>
      </w:r>
      <w:r>
        <w:t xml:space="preserve"> </w:t>
      </w:r>
      <w:r>
        <w:t xml:space="preserve">(note: Delta products are marked with a green dot in the BOM table)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rPr>
          <w:bCs/>
          <w:b/>
        </w:rPr>
        <w:t xml:space="preserve">Save Scenario</w:t>
      </w:r>
      <w:r>
        <w:t xml:space="preserve">”</w:t>
      </w:r>
      <w:r>
        <w:t xml:space="preserve"> </w:t>
      </w:r>
      <w:r>
        <w:t xml:space="preserve">in the upper right → name it (e.g.,</w:t>
      </w:r>
      <w:r>
        <w:t xml:space="preserve"> </w:t>
      </w:r>
      <w:r>
        <w:t xml:space="preserve">“</w:t>
      </w:r>
      <w:r>
        <w:t xml:space="preserve">AI Training 1000 racks 2024</w:t>
      </w:r>
      <w:r>
        <w:t xml:space="preserve">”</w:t>
      </w:r>
      <w:r>
        <w:t xml:space="preserve">) → you can reopen it or use it for comparison anytime later.</w:t>
      </w:r>
    </w:p>
    <w:p>
      <w:pPr>
        <w:pStyle w:val="BlockText"/>
      </w:pPr>
      <w:r>
        <w:t xml:space="preserve">If the numbers don’t match: go to</w:t>
      </w:r>
      <w:r>
        <w:t xml:space="preserve"> </w:t>
      </w:r>
      <w:r>
        <w:t xml:space="preserve">“</w:t>
      </w:r>
      <w:r>
        <w:t xml:space="preserve">Parameters</w:t>
      </w:r>
      <w:r>
        <w:t xml:space="preserve">”</w:t>
      </w:r>
      <w:r>
        <w:t xml:space="preserve"> </w:t>
      </w:r>
      <w:r>
        <w:t xml:space="preserve">and click</w:t>
      </w:r>
      <w:r>
        <w:t xml:space="preserve"> </w:t>
      </w:r>
      <w:r>
        <w:t xml:space="preserve">“</w:t>
      </w:r>
      <w:r>
        <w:t xml:space="preserve">Restore all defaults</w:t>
      </w:r>
      <w:r>
        <w:t xml:space="preserve">”</w:t>
      </w:r>
      <w:r>
        <w:t xml:space="preserve">, then try again (you may have changed global parameters).</w:t>
      </w:r>
    </w:p>
    <w:p>
      <w:r>
        <w:pict>
          <v:rect style="width:0;height:1.5pt" o:hralign="center" o:hrstd="t" o:hr="t"/>
        </w:pict>
      </w:r>
    </w:p>
    <w:bookmarkEnd w:id="24"/>
    <w:bookmarkStart w:id="28" w:name="chapter-3-interface-overview"/>
    <w:p>
      <w:pPr>
        <w:pStyle w:val="Heading2"/>
      </w:pPr>
      <w:r>
        <w:t xml:space="preserve">Chapter 3　Interface Overview</w:t>
      </w:r>
    </w:p>
    <w:bookmarkStart w:id="25" w:name="layout-structure"/>
    <w:p>
      <w:pPr>
        <w:pStyle w:val="Heading3"/>
      </w:pPr>
      <w:r>
        <w:t xml:space="preserve">3.1 Layout structure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Left sidebar</w:t>
      </w:r>
      <w:r>
        <w:t xml:space="preserve"> </w:t>
      </w:r>
      <w:r>
        <w:t xml:space="preserve">(240px): six page links + version badge + paper/REPO external links; on mobile it becomes a top-bar hamburger menu.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Page header</w:t>
      </w:r>
      <w:r>
        <w:t xml:space="preserve"> </w:t>
      </w:r>
      <w:r>
        <w:t xml:space="preserve">(top of each page): breadcrumb, page title, one-line description, and the primary action button on the right (e.g.,</w:t>
      </w:r>
      <w:r>
        <w:t xml:space="preserve"> </w:t>
      </w:r>
      <w:r>
        <w:t xml:space="preserve">“</w:t>
      </w:r>
      <w:r>
        <w:t xml:space="preserve">Add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Generate</w:t>
      </w:r>
      <w:r>
        <w:t xml:space="preserve">”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Main content area</w:t>
      </w:r>
      <w:r>
        <w:t xml:space="preserve">: the functional area of each page.</w:t>
      </w:r>
    </w:p>
    <w:bookmarkEnd w:id="25"/>
    <w:bookmarkStart w:id="26" w:name="common-component-semantics"/>
    <w:p>
      <w:pPr>
        <w:pStyle w:val="Heading3"/>
      </w:pPr>
      <w:r>
        <w:t xml:space="preserve">3.2 Common component semantics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a column header to sort; click a row to expand details; hover to reveal more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colors: cyan = Canonical/built-in, violet = Reference/custom, amber = modified/warning, green = Delta Electronics/success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Right-side drawer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for adding/editing an entity; closes via the ✕ in the upper right or after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Confirmation 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asks</w:t>
            </w:r>
            <w:r>
              <w:t xml:space="preserve"> </w:t>
            </w:r>
            <w:r>
              <w:t xml:space="preserve">“</w:t>
            </w:r>
            <w:r>
              <w:t xml:space="preserve">Confirm deletion?</w:t>
            </w:r>
            <w:r>
              <w:t xml:space="preserve">”</w:t>
            </w:r>
            <w:r>
              <w:t xml:space="preserve"> </w:t>
            </w:r>
            <w:r>
              <w:t xml:space="preserve">before deleting; red button confirms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Toast (appears in upper 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border = success, red border = failure (backend error message attached), auto-dismisses after 4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Rack line-art illustration + guidance button (e.g., before any result has been generated)</w:t>
            </w:r>
          </w:p>
        </w:tc>
      </w:tr>
    </w:tbl>
    <w:bookmarkEnd w:id="26"/>
    <w:bookmarkStart w:id="27" w:name="numeric-display-conventions"/>
    <w:p>
      <w:pPr>
        <w:pStyle w:val="Heading3"/>
      </w:pPr>
      <w:r>
        <w:t xml:space="preserve">3.3 Numeric display conventions</w:t>
      </w:r>
    </w:p>
    <w:p>
      <w:pPr>
        <w:numPr>
          <w:ilvl w:val="0"/>
          <w:numId w:val="1006"/>
        </w:numPr>
        <w:pStyle w:val="Compact"/>
      </w:pPr>
      <w:r>
        <w:t xml:space="preserve">Power: MW primarily (individual equipment in kW); space: m²; power density: kW/m².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—</w:t>
      </w:r>
      <w:r>
        <w:t xml:space="preserve">”</w:t>
      </w:r>
      <w:r>
        <w:t xml:space="preserve"> </w:t>
      </w:r>
      <w:r>
        <w:t xml:space="preserve">means the manufacturer has not published that value (e.g., total power draw of some CDUs); the system does not fabricate numbers. Such equipment ranks below fully documented items in the corresponding efficiency comparisons.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chapter-4-generator-complete-guide"/>
    <w:p>
      <w:pPr>
        <w:pStyle w:val="Heading2"/>
      </w:pPr>
      <w:r>
        <w:t xml:space="preserve">Chapter 4　Generator: Complete Guide</w:t>
      </w:r>
    </w:p>
    <w:bookmarkStart w:id="29" w:name="form-fields-item-by-item"/>
    <w:p>
      <w:pPr>
        <w:pStyle w:val="Heading3"/>
      </w:pPr>
      <w:r>
        <w:t xml:space="preserve">4.1 Form fields, item by item</w:t>
      </w:r>
    </w:p>
    <w:p>
      <w:pPr>
        <w:pStyle w:val="FirstParagraph"/>
      </w:pPr>
      <w:r>
        <w:rPr>
          <w:bCs/>
          <w:b/>
        </w:rPr>
        <w:t xml:space="preserve">A. Basic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/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Datacenter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Training / AI Inference / Mixed AI Training &amp; Inference /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Determines the node type mix (training = GPU+Storage; inference = CPU-GPU+CPU+Storage; mixed = GPU+CPU-GPU+Storage; cloud = CPU+Storage)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Rack count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Power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Rack count = directly specify the total rack count (e.g., 10000); Power = enter a string such as</w:t>
            </w:r>
            <w:r>
              <w:t xml:space="preserve"> </w:t>
            </w:r>
            <w:r>
              <w:rPr>
                <w:rStyle w:val="VerbatimChar"/>
              </w:rPr>
              <w:t xml:space="preserve">100MW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1GW</w:t>
            </w:r>
            <w:r>
              <w:t xml:space="preserve"> </w:t>
            </w:r>
            <w:r>
              <w:t xml:space="preserve">(the system back-computes the rack count)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/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= paper standard configuration; Reference = real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(Canonical)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/ 2027 / 2029 /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2027/2029 are high-density projections (GPU racks at 600kW/1000kW); selecting All produces one result for each of the three eras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configurations (Reference)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checked = one result for every system; checked = compute only the selected 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Optimization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/ Power (at least 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both → two sets of equipment selections shown side by side, switchable for comparison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B. Cooling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 rejection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 cooling (Dry cooler; water-saving, large outdoor footprint) / Evaporative cooling (cooling tower; better energy efficiency)</w:t>
            </w:r>
          </w:p>
        </w:tc>
      </w:tr>
    </w:tbl>
    <w:p>
      <w:pPr>
        <w:pStyle w:val="BodyText"/>
      </w:pPr>
      <w:r>
        <w:rPr>
          <w:bCs/>
          <w:b/>
        </w:rPr>
        <w:t xml:space="preserve">C. Redundancy (seven slots)</w:t>
      </w:r>
    </w:p>
    <w:p>
      <w:pPr>
        <w:pStyle w:val="BodyText"/>
      </w:pPr>
      <w:r>
        <w:t xml:space="preserve">Each slot can be set to N, N+1, N+2, 2N, or a custom xN/y (e.g.,</w:t>
      </w:r>
      <w:r>
        <w:t xml:space="preserve"> </w:t>
      </w:r>
      <w:r>
        <w:rPr>
          <w:rStyle w:val="VerbatimChar"/>
        </w:rPr>
        <w:t xml:space="preserve">3N/2</w:t>
      </w:r>
      <w:r>
        <w:t xml:space="preserve">). When xN/y is selected, the interface immediately shows</w:t>
      </w:r>
      <w:r>
        <w:t xml:space="preserve"> </w:t>
      </w:r>
      <w:r>
        <w:t xml:space="preserve">“</w:t>
      </w:r>
      <w:r>
        <w:t xml:space="preserve">Deliverable capacity = y/x × rated</w:t>
      </w:r>
      <w:r>
        <w:t xml:space="preserve">”</w:t>
      </w:r>
      <w:r>
        <w:t xml:space="preserve">. The seven slots: heat rejection, chiller, CDU, PDU, UPS, MSB, backup generator. Defaults: all cooling-side slots N+1, all power-side slots 2N.</w:t>
      </w:r>
    </w:p>
    <w:p>
      <w:pPr>
        <w:pStyle w:val="BodyText"/>
      </w:pPr>
      <w:r>
        <w:rPr>
          <w:bCs/>
          <w:b/>
        </w:rPr>
        <w:t xml:space="preserve">D. Advanced (collapsed by default)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over-provisioning ratio slider (0–100%)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(from the global parameter safety_margin)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rack_per_row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Racks per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rows_per_pod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per 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lockText"/>
      </w:pPr>
      <w:r>
        <w:t xml:space="preserve">The defaults of these three fields come from the global parameters in</w:t>
      </w:r>
      <w:r>
        <w:t xml:space="preserve"> </w:t>
      </w:r>
      <w:r>
        <w:t xml:space="preserve">“</w:t>
      </w:r>
      <w:r>
        <w:t xml:space="preserve">Parameters</w:t>
      </w:r>
      <w:r>
        <w:t xml:space="preserve">”</w:t>
      </w:r>
      <w:r>
        <w:t xml:space="preserve">. Changing them in the form affects only the current calculation; changing them in Parameters changes the defaults.</w:t>
      </w:r>
    </w:p>
    <w:bookmarkEnd w:id="29"/>
    <w:bookmarkStart w:id="30" w:name="X5e98c1949324d69d683f8a4a83fb68080deca3d"/>
    <w:p>
      <w:pPr>
        <w:pStyle w:val="Heading3"/>
      </w:pPr>
      <w:r>
        <w:t xml:space="preserve">4.2 Example 1: 10,000-rack AI training center (2024)</w:t>
      </w:r>
    </w:p>
    <w:p>
      <w:pPr>
        <w:pStyle w:val="FirstParagraph"/>
      </w:pPr>
      <w:r>
        <w:t xml:space="preserve">Input: AI Training ｜ rack count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 </w:t>
      </w:r>
      <w:r>
        <w:t xml:space="preserve">｜ Canonical 2024 ｜ everything else default.</w:t>
      </w:r>
    </w:p>
    <w:p>
      <w:pPr>
        <w:pStyle w:val="BodyText"/>
      </w:pPr>
      <w:r>
        <w:rPr>
          <w:bCs/>
          <w:b/>
        </w:rPr>
        <w:t xml:space="preserve">Expected results</w:t>
      </w:r>
      <w:r>
        <w:t xml:space="preserve"> </w:t>
      </w:r>
      <w:r>
        <w:t xml:space="preserve">(verification baseline):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8,876 racks / 1,402.4 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1,124 racks / 33.4 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IT power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1,435.8 MW (≈1.4GW)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density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79.77 kW/m²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 m²</w:t>
            </w:r>
          </w:p>
        </w:tc>
      </w:tr>
    </w:tbl>
    <w:bookmarkEnd w:id="30"/>
    <w:bookmarkStart w:id="31" w:name="example-2-1gw-power-target"/>
    <w:p>
      <w:pPr>
        <w:pStyle w:val="Heading3"/>
      </w:pPr>
      <w:r>
        <w:t xml:space="preserve">4.3 Example 2: 1GW power target</w:t>
      </w:r>
    </w:p>
    <w:p>
      <w:pPr>
        <w:pStyle w:val="FirstParagraph"/>
      </w:pPr>
      <w:r>
        <w:t xml:space="preserve">Input: AI Training ｜ switch target to</w:t>
      </w:r>
      <w:r>
        <w:t xml:space="preserve"> </w:t>
      </w:r>
      <w:r>
        <w:t xml:space="preserve">“</w:t>
      </w:r>
      <w:r>
        <w:t xml:space="preserve">Power</w:t>
      </w:r>
      <w:r>
        <w:t xml:space="preserve">”</w:t>
      </w:r>
      <w:r>
        <w:t xml:space="preserve"> </w:t>
      </w:r>
      <w:r>
        <w:t xml:space="preserve">and enter</w:t>
      </w:r>
      <w:r>
        <w:t xml:space="preserve"> </w:t>
      </w:r>
      <w:r>
        <w:rPr>
          <w:rStyle w:val="VerbatimChar"/>
        </w:rPr>
        <w:t xml:space="preserve">1GW</w:t>
      </w:r>
      <w:r>
        <w:t xml:space="preserve"> </w:t>
      </w:r>
      <w:r>
        <w:t xml:space="preserve">｜ Canonical 2024.</w:t>
      </w:r>
    </w:p>
    <w:p>
      <w:pPr>
        <w:pStyle w:val="BodyText"/>
      </w:pPr>
      <w:r>
        <w:rPr>
          <w:bCs/>
          <w:b/>
        </w:rPr>
        <w:t xml:space="preserve">Expected results</w:t>
      </w:r>
      <w:r>
        <w:t xml:space="preserve">: total racks</w:t>
      </w:r>
      <w:r>
        <w:t xml:space="preserve"> </w:t>
      </w:r>
      <w:r>
        <w:rPr>
          <w:bCs/>
          <w:b/>
        </w:rPr>
        <w:t xml:space="preserve">6,965</w:t>
      </w:r>
      <w:r>
        <w:t xml:space="preserve"> </w:t>
      </w:r>
      <w:r>
        <w:t xml:space="preserve">(GPU 6,182 + Storage 783), White space ≈</w:t>
      </w:r>
      <w:r>
        <w:t xml:space="preserve"> </w:t>
      </w:r>
      <w:r>
        <w:rPr>
          <w:bCs/>
          <w:b/>
        </w:rPr>
        <w:t xml:space="preserve">12,537 m²</w:t>
      </w:r>
      <w:r>
        <w:t xml:space="preserve">. The logic of power-target mode: first compute the reference configuration’s power density, then back-compute with</w:t>
      </w:r>
      <w:r>
        <w:t xml:space="preserve"> </w:t>
      </w:r>
      <w:r>
        <w:rPr>
          <w:rStyle w:val="VerbatimChar"/>
        </w:rPr>
        <w:t xml:space="preserve">rack count = target power ÷ (density × floor space per rack)</w:t>
      </w:r>
      <w:r>
        <w:t xml:space="preserve">.</w:t>
      </w:r>
    </w:p>
    <w:bookmarkEnd w:id="31"/>
    <w:bookmarkStart w:id="32" w:name="example-3-2027-high-density-projection"/>
    <w:p>
      <w:pPr>
        <w:pStyle w:val="Heading3"/>
      </w:pPr>
      <w:r>
        <w:t xml:space="preserve">4.4 Example 3: 2027 high-density projection</w:t>
      </w:r>
    </w:p>
    <w:p>
      <w:pPr>
        <w:pStyle w:val="FirstParagraph"/>
      </w:pPr>
      <w:r>
        <w:t xml:space="preserve">Input: AI Training ｜ rack count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 </w:t>
      </w:r>
      <w:r>
        <w:t xml:space="preserve">｜ Canonical</w:t>
      </w:r>
      <w:r>
        <w:t xml:space="preserve"> </w:t>
      </w:r>
      <w:r>
        <w:rPr>
          <w:bCs/>
          <w:b/>
        </w:rPr>
        <w:t xml:space="preserve">2027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results</w:t>
      </w:r>
      <w:r>
        <w:t xml:space="preserve">: GPU racks become 600 kW/rack, total IT power jumps to ≈</w:t>
      </w:r>
      <w:r>
        <w:t xml:space="preserve"> </w:t>
      </w:r>
      <w:r>
        <w:rPr>
          <w:bCs/>
          <w:b/>
        </w:rPr>
        <w:t xml:space="preserve">3.3 GW</w:t>
      </w:r>
      <w:r>
        <w:t xml:space="preserve">, power density ≈ 183 kW/m² — for the same ten thousand racks, 2027 power is 2.3× that of 2024 (one of the paper’s core findings). Switching to 2029 shows ≈ 4.7 GW. Recommended: use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to generate all three eras at once, then compare scenarios (see Chapter 6).</w:t>
      </w:r>
    </w:p>
    <w:bookmarkEnd w:id="32"/>
    <w:bookmarkStart w:id="33" w:name="Xf40d441d602dc377b3d71b3606c385f114e202e"/>
    <w:p>
      <w:pPr>
        <w:pStyle w:val="Heading3"/>
      </w:pPr>
      <w:r>
        <w:t xml:space="preserve">4.5 Example 4: Using a real system as reference (Reference mode)</w:t>
      </w:r>
    </w:p>
    <w:p>
      <w:pPr>
        <w:pStyle w:val="FirstParagraph"/>
      </w:pPr>
      <w:r>
        <w:t xml:space="preserve">Input: AI Training ｜ rack count</w:t>
      </w:r>
      <w:r>
        <w:t xml:space="preserve"> </w:t>
      </w:r>
      <w:r>
        <w:rPr>
          <w:rStyle w:val="VerbatimChar"/>
        </w:rPr>
        <w:t xml:space="preserve">2000</w:t>
      </w:r>
      <w:r>
        <w:t xml:space="preserve"> </w:t>
      </w:r>
      <w:r>
        <w:t xml:space="preserve">｜ switch model to</w:t>
      </w:r>
      <w:r>
        <w:t xml:space="preserve"> </w:t>
      </w:r>
      <w:r>
        <w:rPr>
          <w:bCs/>
          <w:b/>
        </w:rPr>
        <w:t xml:space="preserve">Reference</w:t>
      </w:r>
      <w:r>
        <w:t xml:space="preserve"> </w:t>
      </w:r>
      <w:r>
        <w:t xml:space="preserve">｜ check</w:t>
      </w:r>
      <w:r>
        <w:t xml:space="preserve"> </w:t>
      </w:r>
      <w:r>
        <w:t xml:space="preserve">“</w:t>
      </w:r>
      <w:r>
        <w:rPr>
          <w:bCs/>
          <w:b/>
        </w:rPr>
        <w:t xml:space="preserve">xAI COLOSSUS</w:t>
      </w:r>
      <w:r>
        <w:t xml:space="preserve">”</w:t>
      </w:r>
      <w:r>
        <w:t xml:space="preserve"> </w:t>
      </w:r>
      <w:r>
        <w:t xml:space="preserve">in the reference configuration list.</w:t>
      </w:r>
    </w:p>
    <w:p>
      <w:pPr>
        <w:pStyle w:val="BodyText"/>
      </w:pPr>
      <w:r>
        <w:t xml:space="preserve">The system scales COLOSSUS’s ratios (GPU:Storage = 1563:203, GPU 100kW/rack 48U normalized to 42U) to 2,000 racks and computes the corresponding cooling and power distribution. If nothing is checked, one result is produced for</w:t>
      </w:r>
      <w:r>
        <w:t xml:space="preserve"> </w:t>
      </w:r>
      <w:r>
        <w:rPr>
          <w:bCs/>
          <w:b/>
        </w:rPr>
        <w:t xml:space="preserve">each</w:t>
      </w:r>
      <w:r>
        <w:t xml:space="preserve"> </w:t>
      </w:r>
      <w:r>
        <w:t xml:space="preserve">reference system in the list (good for comparing different real-world designs side by side).</w:t>
      </w:r>
    </w:p>
    <w:bookmarkEnd w:id="33"/>
    <w:bookmarkStart w:id="34" w:name="Xeff2e7bbddf619023a4616e534cb382f6d48a9f"/>
    <w:p>
      <w:pPr>
        <w:pStyle w:val="Heading3"/>
      </w:pPr>
      <w:r>
        <w:t xml:space="preserve">4.6 Example 5: Dry cooling vs evaporative cooling</w:t>
      </w:r>
    </w:p>
    <w:p>
      <w:pPr>
        <w:pStyle w:val="FirstParagraph"/>
      </w:pPr>
      <w:r>
        <w:t xml:space="preserve">Run the same input twice (once dry, once evaporative), save each as a scenario, then compare:</w:t>
      </w:r>
    </w:p>
    <w:p>
      <w:pPr>
        <w:numPr>
          <w:ilvl w:val="0"/>
          <w:numId w:val="1007"/>
        </w:numPr>
        <w:pStyle w:val="Compact"/>
      </w:pPr>
      <w:r>
        <w:t xml:space="preserve">Dry: the heat rejection side needs many dry coolers (e.g., 4,983 small units or 628 large units),</w:t>
      </w:r>
      <w:r>
        <w:t xml:space="preserve"> </w:t>
      </w:r>
      <w:r>
        <w:rPr>
          <w:bCs/>
          <w:b/>
        </w:rPr>
        <w:t xml:space="preserve">large outdoor footprint</w:t>
      </w:r>
      <w:r>
        <w:t xml:space="preserve"> </w:t>
      </w:r>
      <w:r>
        <w:t xml:space="preserve">(over ten thousand m²), but low water use.</w:t>
      </w:r>
    </w:p>
    <w:p>
      <w:pPr>
        <w:numPr>
          <w:ilvl w:val="0"/>
          <w:numId w:val="1007"/>
        </w:numPr>
        <w:pStyle w:val="Compact"/>
      </w:pPr>
      <w:r>
        <w:t xml:space="preserve">Evaporative: fewer cooling towers (tens of units), high energy efficiency (low share of cooling power), suitable where water is plentiful.</w:t>
      </w:r>
    </w:p>
    <w:p>
      <w:pPr>
        <w:pStyle w:val="FirstParagraph"/>
      </w:pPr>
      <w:r>
        <w:t xml:space="preserve">When comparing, just look at</w:t>
      </w:r>
      <w:r>
        <w:t xml:space="preserve"> </w:t>
      </w:r>
      <w:r>
        <w:t xml:space="preserve">“</w:t>
      </w:r>
      <w:r>
        <w:t xml:space="preserve">Gray space outdoor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cooling power</w:t>
      </w:r>
      <w:r>
        <w:t xml:space="preserve">”</w:t>
      </w:r>
      <w:r>
        <w:t xml:space="preserve"> </w:t>
      </w:r>
      <w:r>
        <w:t xml:space="preserve">to see the trade-off.</w:t>
      </w:r>
    </w:p>
    <w:bookmarkEnd w:id="34"/>
    <w:bookmarkStart w:id="35" w:name="example-6-impact-of-n1-vs-2n"/>
    <w:p>
      <w:pPr>
        <w:pStyle w:val="Heading3"/>
      </w:pPr>
      <w:r>
        <w:t xml:space="preserve">4.7 Example 6: Impact of N+1 vs 2N</w:t>
      </w:r>
    </w:p>
    <w:p>
      <w:pPr>
        <w:pStyle w:val="FirstParagraph"/>
      </w:pPr>
      <w:r>
        <w:t xml:space="preserve">Change the UPS slot from 2N to N+1 and regenerate: the UPS count drops noticeably (e.g., from 276 units to about half), but fault tolerance also drops. 2N’s</w:t>
      </w:r>
      <w:r>
        <w:t xml:space="preserve"> </w:t>
      </w:r>
      <w:r>
        <w:t xml:space="preserve">“</w:t>
      </w:r>
      <w:r>
        <w:t xml:space="preserve">deliverable capacity = 1/2 × rated</w:t>
      </w:r>
      <w:r>
        <w:t xml:space="preserve">”</w:t>
      </w:r>
      <w:r>
        <w:t xml:space="preserve"> </w:t>
      </w:r>
      <w:r>
        <w:t xml:space="preserve">is the key — for the same capacity requirement you buy twice the equipment. Try a custom xN/y of</w:t>
      </w:r>
      <w:r>
        <w:t xml:space="preserve"> </w:t>
      </w:r>
      <w:r>
        <w:rPr>
          <w:rStyle w:val="VerbatimChar"/>
        </w:rPr>
        <w:t xml:space="preserve">3N/2</w:t>
      </w:r>
      <w:r>
        <w:t xml:space="preserve">: each unit delivers only 2/3, and the count lands between the two.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hapter-5-reading-the-results-dashboard"/>
    <w:p>
      <w:pPr>
        <w:pStyle w:val="Heading2"/>
      </w:pPr>
      <w:r>
        <w:t xml:space="preserve">Chapter 5　Reading the Results Dashboard</w:t>
      </w:r>
    </w:p>
    <w:p>
      <w:pPr>
        <w:pStyle w:val="FirstParagraph"/>
      </w:pPr>
      <w:r>
        <w:t xml:space="preserve">After generation, the right side shows, in order: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Four metric cards</w:t>
      </w:r>
      <w:r>
        <w:t xml:space="preserve">: total rack count (with per-node-type breakdown), IT peak MW (with IT + cooling + losses breakdown), power density, White space (with Gray indoor/outdoor hint).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Configuration / criterion switcher</w:t>
      </w:r>
      <w:r>
        <w:t xml:space="preserve">: when multiple configurations or optimization criteria exist, use the Segmented control on top to switch (Space / Power).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Power composition stacked bar</w:t>
      </w:r>
      <w:r>
        <w:t xml:space="preserve">: IT vs cooling power vs power distribution losses (including the safety margin segment); hover over the legend for percentages.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Dual donuts</w:t>
      </w:r>
      <w:r>
        <w:t xml:space="preserve">: space distribution (White vs Gray indoor vs Gray outdoor) and rack distribution (by nodeType).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Gray space metric tiles</w:t>
      </w:r>
      <w:r>
        <w:t xml:space="preserve">: indoor / outdoor m².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Cooling BOM table</w:t>
      </w:r>
      <w:r>
        <w:t xml:space="preserve">: the selected equipment in each category — model, vendor (</w:t>
      </w:r>
      <w:r>
        <w:rPr>
          <w:bCs/>
          <w:b/>
        </w:rPr>
        <w:t xml:space="preserve">Delta = green dot</w:t>
      </w:r>
      <w:r>
        <w:t xml:space="preserve">), quantity, units per pod (row-level equipment), total capacity MW, power draw MW, space m². Hover over a model to see</w:t>
      </w:r>
      <w:r>
        <w:t xml:space="preserve"> </w:t>
      </w:r>
      <w:r>
        <w:t xml:space="preserve">“</w:t>
      </w:r>
      <w:r>
        <w:t xml:space="preserve">View in catalog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Power distribution BOM table</w:t>
      </w:r>
      <w:r>
        <w:t xml:space="preserve">: split into</w:t>
      </w:r>
      <w:r>
        <w:t xml:space="preserve"> </w:t>
      </w:r>
      <w:r>
        <w:t xml:space="preserve">“</w:t>
      </w:r>
      <w:r>
        <w:t xml:space="preserve">IT phase</w:t>
      </w:r>
      <w:r>
        <w:t xml:space="preserve">”</w:t>
      </w:r>
      <w:r>
        <w:t xml:space="preserve"> </w:t>
      </w:r>
      <w:r>
        <w:t xml:space="preserve">(supporting the IT load) and</w:t>
      </w:r>
      <w:r>
        <w:t xml:space="preserve"> </w:t>
      </w:r>
      <w:r>
        <w:t xml:space="preserve">“</w:t>
      </w:r>
      <w:r>
        <w:t xml:space="preserve">facility phase</w:t>
      </w:r>
      <w:r>
        <w:t xml:space="preserve">”</w:t>
      </w:r>
      <w:r>
        <w:t xml:space="preserve"> </w:t>
      </w:r>
      <w:r>
        <w:t xml:space="preserve">(UPS/MSB/Gen supporting cooling power), with efficiency and conversion loss MW.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Parameter snapshot</w:t>
      </w:r>
      <w:r>
        <w:t xml:space="preserve"> </w:t>
      </w:r>
      <w:r>
        <w:t xml:space="preserve">(collapsible): all global parameter values used in this calculation (those differing from defaults marked in cyan), with one-click JSON copy — attach it when citing in a paper or report so others can reproduce your results.</w:t>
      </w:r>
    </w:p>
    <w:p>
      <w:pPr>
        <w:pStyle w:val="BlockText"/>
      </w:pPr>
      <w:r>
        <w:t xml:space="preserve">If the form was changed but not re-run, the dashboard shows an amber</w:t>
      </w:r>
      <w:r>
        <w:t xml:space="preserve"> </w:t>
      </w:r>
      <w:r>
        <w:t xml:space="preserve">“</w:t>
      </w:r>
      <w:r>
        <w:t xml:space="preserve">parameters changed</w:t>
      </w:r>
      <w:r>
        <w:t xml:space="preserve">”</w:t>
      </w:r>
      <w:r>
        <w:t xml:space="preserve"> </w:t>
      </w:r>
      <w:r>
        <w:t xml:space="preserve">badge to remind you the results are stale.</w:t>
      </w:r>
    </w:p>
    <w:p>
      <w:r>
        <w:pict>
          <v:rect style="width:0;height:1.5pt" o:hralign="center" o:hrstd="t" o:hr="t"/>
        </w:pict>
      </w:r>
    </w:p>
    <w:bookmarkEnd w:id="37"/>
    <w:bookmarkStart w:id="40" w:name="Xcb419ef11cdfef4ef50bf8cc344967d8a9ece1f"/>
    <w:p>
      <w:pPr>
        <w:pStyle w:val="Heading2"/>
      </w:pPr>
      <w:r>
        <w:t xml:space="preserve">Chapter 6　Scenario Management: Save, Reopen, Compare</w:t>
      </w:r>
    </w:p>
    <w:bookmarkStart w:id="38" w:name="saving-and-reopening"/>
    <w:p>
      <w:pPr>
        <w:pStyle w:val="Heading3"/>
      </w:pPr>
      <w:r>
        <w:t xml:space="preserve">6.1 Saving and reopening</w:t>
      </w:r>
    </w:p>
    <w:p>
      <w:pPr>
        <w:numPr>
          <w:ilvl w:val="0"/>
          <w:numId w:val="1009"/>
        </w:numPr>
        <w:pStyle w:val="Compact"/>
      </w:pPr>
      <w:r>
        <w:t xml:space="preserve">After generating results, click</w:t>
      </w:r>
      <w:r>
        <w:t xml:space="preserve"> </w:t>
      </w:r>
      <w:r>
        <w:t xml:space="preserve">“</w:t>
      </w:r>
      <w:r>
        <w:rPr>
          <w:bCs/>
          <w:b/>
        </w:rPr>
        <w:t xml:space="preserve">Save Scenario</w:t>
      </w:r>
      <w:r>
        <w:t xml:space="preserve">”</w:t>
      </w:r>
      <w:r>
        <w:t xml:space="preserve"> </w:t>
      </w:r>
      <w:r>
        <w:t xml:space="preserve">→ name it (the system pre-fills</w:t>
      </w:r>
      <w:r>
        <w:t xml:space="preserve"> </w:t>
      </w:r>
      <w:r>
        <w:t xml:space="preserve">“</w:t>
      </w:r>
      <w:r>
        <w:t xml:space="preserve">type + scale + year</w:t>
      </w:r>
      <w:r>
        <w:t xml:space="preserve">”</w:t>
      </w:r>
      <w:r>
        <w:t xml:space="preserve">) → saved to the database.</w:t>
      </w:r>
    </w:p>
    <w:p>
      <w:pPr>
        <w:numPr>
          <w:ilvl w:val="0"/>
          <w:numId w:val="1009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Saved Scenarios</w:t>
      </w:r>
      <w:r>
        <w:t xml:space="preserve">”</w:t>
      </w:r>
      <w:r>
        <w:t xml:space="preserve"> </w:t>
      </w:r>
      <w:r>
        <w:t xml:space="preserve">list at the bottom of the page: searchable, filterable by type;</w:t>
      </w:r>
      <w:r>
        <w:t xml:space="preserve"> </w:t>
      </w:r>
      <w:r>
        <w:t xml:space="preserve">“</w:t>
      </w:r>
      <w:r>
        <w:rPr>
          <w:bCs/>
          <w:b/>
        </w:rPr>
        <w:t xml:space="preserve">Open</w:t>
      </w:r>
      <w:r>
        <w:t xml:space="preserve">”</w:t>
      </w:r>
      <w:r>
        <w:t xml:space="preserve"> </w:t>
      </w:r>
      <w:r>
        <w:t xml:space="preserve">back-fills the scenario’s inputs into the form and re-displays its results;</w:t>
      </w:r>
      <w:r>
        <w:t xml:space="preserve"> </w:t>
      </w:r>
      <w:r>
        <w:t xml:space="preserve">“</w:t>
      </w:r>
      <w:r>
        <w:t xml:space="preserve">Copy parameters</w:t>
      </w:r>
      <w:r>
        <w:t xml:space="preserve">”</w:t>
      </w:r>
      <w:r>
        <w:t xml:space="preserve"> </w:t>
      </w:r>
      <w:r>
        <w:t xml:space="preserve">quickly applies them;</w:t>
      </w:r>
      <w:r>
        <w:t xml:space="preserve"> </w:t>
      </w:r>
      <w:r>
        <w:t xml:space="preserve">“</w:t>
      </w:r>
      <w:r>
        <w:t xml:space="preserve">Delete</w:t>
      </w:r>
      <w:r>
        <w:t xml:space="preserve">”</w:t>
      </w:r>
      <w:r>
        <w:t xml:space="preserve"> </w:t>
      </w:r>
      <w:r>
        <w:t xml:space="preserve">requires confirmation.</w:t>
      </w:r>
    </w:p>
    <w:bookmarkEnd w:id="38"/>
    <w:bookmarkStart w:id="39" w:name="scenario-comparison-up-to-3"/>
    <w:p>
      <w:pPr>
        <w:pStyle w:val="Heading3"/>
      </w:pPr>
      <w:r>
        <w:t xml:space="preserve">6.2 Scenario comparison (up to 3)</w:t>
      </w:r>
    </w:p>
    <w:p>
      <w:pPr>
        <w:pStyle w:val="FirstParagraph"/>
      </w:pPr>
      <w:r>
        <w:t xml:space="preserve">Check 2–3 scenarios → click</w:t>
      </w:r>
      <w:r>
        <w:t xml:space="preserve"> </w:t>
      </w:r>
      <w:r>
        <w:t xml:space="preserve">“</w:t>
      </w:r>
      <w:r>
        <w:rPr>
          <w:bCs/>
          <w:b/>
        </w:rPr>
        <w:t xml:space="preserve">Compare Selected</w:t>
      </w:r>
      <w:r>
        <w:t xml:space="preserve">”</w:t>
      </w:r>
      <w:r>
        <w:t xml:space="preserve"> </w:t>
      </w:r>
      <w:r>
        <w:t xml:space="preserve">→ a bottom drawer expands with a comparison table:</w:t>
      </w:r>
    </w:p>
    <w:p>
      <w:pPr>
        <w:numPr>
          <w:ilvl w:val="0"/>
          <w:numId w:val="1010"/>
        </w:numPr>
        <w:pStyle w:val="Compact"/>
      </w:pPr>
      <w:r>
        <w:t xml:space="preserve">One metric per row (IT MW, density, White/Gray space, equipment counts per category), one scenario per column,</w:t>
      </w:r>
      <w:r>
        <w:t xml:space="preserve"> </w:t>
      </w:r>
      <w:r>
        <w:rPr>
          <w:bCs/>
          <w:b/>
        </w:rPr>
        <w:t xml:space="preserve">maximum value highlighted in cyan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Includes dual grouped bar charts of peak power and space; the comparison can be exported as CSV.</w:t>
      </w:r>
    </w:p>
    <w:p>
      <w:pPr>
        <w:pStyle w:val="FirstParagraph"/>
      </w:pPr>
      <w:r>
        <w:rPr>
          <w:bCs/>
          <w:b/>
        </w:rPr>
        <w:t xml:space="preserve">Example workflow (era evolution analysis)</w:t>
      </w:r>
      <w:r>
        <w:t xml:space="preserve">: using the method from Example 4.4, save 2024, 2027, and 2029 as three scenarios with Canonical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→ select all and compare → you get a complete comparison table of</w:t>
      </w:r>
      <w:r>
        <w:t xml:space="preserve"> </w:t>
      </w:r>
      <w:r>
        <w:t xml:space="preserve">“</w:t>
      </w:r>
      <w:r>
        <w:t xml:space="preserve">same 10,000 racks, power 1.4GW → 3.3GW → 4.7GW</w:t>
      </w:r>
      <w:r>
        <w:t xml:space="preserve">”</w:t>
      </w:r>
      <w:r>
        <w:t xml:space="preserve">, ready to export as CSV for charting.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chapter-7-database-management-catalog"/>
    <w:p>
      <w:pPr>
        <w:pStyle w:val="Heading2"/>
      </w:pPr>
      <w:r>
        <w:t xml:space="preserve">Chapter 7　Database Management (/catalog)</w:t>
      </w:r>
    </w:p>
    <w:bookmarkStart w:id="41" w:name="browsing-the-equipment-catalog"/>
    <w:p>
      <w:pPr>
        <w:pStyle w:val="Heading3"/>
      </w:pPr>
      <w:r>
        <w:t xml:space="preserve">7.1 Browsing the equipment catalog</w:t>
      </w:r>
    </w:p>
    <w:p>
      <w:pPr>
        <w:numPr>
          <w:ilvl w:val="0"/>
          <w:numId w:val="1011"/>
        </w:numPr>
        <w:pStyle w:val="Compact"/>
      </w:pPr>
      <w:r>
        <w:t xml:space="preserve">Eight</w:t>
      </w:r>
      <w:r>
        <w:t xml:space="preserve"> </w:t>
      </w:r>
      <w:r>
        <w:rPr>
          <w:bCs/>
          <w:b/>
        </w:rPr>
        <w:t xml:space="preserve">category pills</w:t>
      </w:r>
      <w:r>
        <w:t xml:space="preserve"> </w:t>
      </w:r>
      <w:r>
        <w:t xml:space="preserve">at the top (CDU / chiller / dry cooler / cooling tower / PDU / UPS / MSB / backup generator, with count badges).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Vendor multi-select</w:t>
      </w:r>
      <w:r>
        <w:t xml:space="preserve"> </w:t>
      </w:r>
      <w:r>
        <w:t xml:space="preserve">dropdown,</w:t>
      </w:r>
      <w:r>
        <w:t xml:space="preserve"> </w:t>
      </w:r>
      <w:r>
        <w:rPr>
          <w:bCs/>
          <w:b/>
        </w:rPr>
        <w:t xml:space="preserve">search box</w:t>
      </w:r>
      <w:r>
        <w:t xml:space="preserve"> </w:t>
      </w:r>
      <w:r>
        <w:t xml:space="preserve">(model or vendor, 300ms debounce).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rPr>
          <w:bCs/>
          <w:b/>
        </w:rPr>
        <w:t xml:space="preserve">Delta only</w:t>
      </w:r>
      <w:r>
        <w:t xml:space="preserve">”</w:t>
      </w:r>
      <w:r>
        <w:t xml:space="preserve"> </w:t>
      </w:r>
      <w:r>
        <w:t xml:space="preserve">green switch: shows only Delta’s 20 products (Delta rows have a left green bar + brand badge). Visiting</w:t>
      </w:r>
      <w:r>
        <w:t xml:space="preserve"> </w:t>
      </w:r>
      <w:r>
        <w:rPr>
          <w:rStyle w:val="VerbatimChar"/>
        </w:rPr>
        <w:t xml:space="preserve">/catalog?vendor=Delta</w:t>
      </w:r>
      <w:r>
        <w:t xml:space="preserve"> </w:t>
      </w:r>
      <w:r>
        <w:t xml:space="preserve">directly also enables it automatically.</w:t>
      </w:r>
    </w:p>
    <w:p>
      <w:pPr>
        <w:numPr>
          <w:ilvl w:val="0"/>
          <w:numId w:val="1011"/>
        </w:numPr>
        <w:pStyle w:val="Compact"/>
      </w:pPr>
      <w:r>
        <w:t xml:space="preserve">Click a row to expand three-column details: full specifications / dimension proportion bar / full source text +</w:t>
      </w:r>
      <w:r>
        <w:t xml:space="preserve"> </w:t>
      </w:r>
      <w:r>
        <w:t xml:space="preserve">“</w:t>
      </w:r>
      <w:r>
        <w:t xml:space="preserve">Generate configuration with this equipment →</w:t>
      </w:r>
      <w:r>
        <w:t xml:space="preserve">”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Each equipment entry includes a</w:t>
      </w:r>
      <w:r>
        <w:t xml:space="preserve"> </w:t>
      </w:r>
      <w:r>
        <w:rPr>
          <w:bCs/>
          <w:b/>
        </w:rPr>
        <w:t xml:space="preserve">source URL</w:t>
      </w:r>
      <w:r>
        <w:t xml:space="preserve"> </w:t>
      </w:r>
      <w:r>
        <w:t xml:space="preserve">(external-link icon) for tracing back to the manufacturer’s catalog.</w:t>
      </w:r>
    </w:p>
    <w:bookmarkEnd w:id="41"/>
    <w:bookmarkStart w:id="42" w:name="Xf3b9b43414947410fcd1fa25966f553a7f34b97"/>
    <w:p>
      <w:pPr>
        <w:pStyle w:val="Heading3"/>
      </w:pPr>
      <w:r>
        <w:t xml:space="preserve">7.2 Adding equipment (example: adding an in-house CDU)</w:t>
      </w:r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rPr>
          <w:bCs/>
          <w:b/>
        </w:rPr>
        <w:t xml:space="preserve">＋ Add Data</w:t>
      </w:r>
      <w:r>
        <w:t xml:space="preserve">”</w:t>
      </w:r>
      <w:r>
        <w:t xml:space="preserve"> </w:t>
      </w:r>
      <w:r>
        <w:t xml:space="preserve">in the page header (on the</w:t>
      </w:r>
      <w:r>
        <w:t xml:space="preserve"> </w:t>
      </w:r>
      <w:r>
        <w:t xml:space="preserve">“</w:t>
      </w:r>
      <w:r>
        <w:t xml:space="preserve">Equipment Catalog</w:t>
      </w:r>
      <w:r>
        <w:t xml:space="preserve">”</w:t>
      </w:r>
      <w:r>
        <w:t xml:space="preserve"> </w:t>
      </w:r>
      <w:r>
        <w:t xml:space="preserve">tab) → the right-side drawer opens.</w:t>
      </w:r>
    </w:p>
    <w:p>
      <w:pPr>
        <w:numPr>
          <w:ilvl w:val="0"/>
          <w:numId w:val="1012"/>
        </w:numPr>
        <w:pStyle w:val="Compact"/>
      </w:pPr>
      <w:r>
        <w:t xml:space="preserve">Fill in:</w:t>
      </w:r>
    </w:p>
    <w:p>
      <w:pPr>
        <w:numPr>
          <w:ilvl w:val="1"/>
          <w:numId w:val="1013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ACME LiquidCDU 2500</w:t>
      </w:r>
      <w:r>
        <w:t xml:space="preserve">, vendor:</w:t>
      </w:r>
      <w:r>
        <w:t xml:space="preserve"> </w:t>
      </w:r>
      <w:r>
        <w:rPr>
          <w:rStyle w:val="VerbatimChar"/>
        </w:rPr>
        <w:t xml:space="preserve">ACME</w:t>
      </w:r>
      <w:r>
        <w:t xml:space="preserve"> </w:t>
      </w:r>
      <w:r>
        <w:t xml:space="preserve">(a new vendor is created automatically if it doesn’t exist)</w:t>
      </w:r>
    </w:p>
    <w:p>
      <w:pPr>
        <w:numPr>
          <w:ilvl w:val="1"/>
          <w:numId w:val="1013"/>
        </w:numPr>
        <w:pStyle w:val="Compact"/>
      </w:pPr>
      <w:r>
        <w:t xml:space="preserve">Category:</w:t>
      </w:r>
      <w:r>
        <w:t xml:space="preserve"> </w:t>
      </w:r>
      <w:r>
        <w:rPr>
          <w:bCs/>
          <w:b/>
        </w:rPr>
        <w:t xml:space="preserve">CDU (Coolant Distribution Unit)</w:t>
      </w:r>
      <w:r>
        <w:t xml:space="preserve"> </w:t>
      </w:r>
      <w:r>
        <w:t xml:space="preserve">→ the form automatically shows the</w:t>
      </w:r>
      <w:r>
        <w:t xml:space="preserve"> </w:t>
      </w:r>
      <w:r>
        <w:t xml:space="preserve">“</w:t>
      </w:r>
      <w:r>
        <w:t xml:space="preserve">Peak power draw (kW)</w:t>
      </w:r>
      <w:r>
        <w:t xml:space="preserve">”</w:t>
      </w:r>
      <w:r>
        <w:t xml:space="preserve"> </w:t>
      </w:r>
      <w:r>
        <w:t xml:space="preserve">field (power-distribution categories show</w:t>
      </w:r>
      <w:r>
        <w:t xml:space="preserve"> </w:t>
      </w:r>
      <w:r>
        <w:t xml:space="preserve">“</w:t>
      </w:r>
      <w:r>
        <w:t xml:space="preserve">Efficiency (0-1)</w:t>
      </w:r>
      <w:r>
        <w:t xml:space="preserve">”</w:t>
      </w:r>
      <w:r>
        <w:t xml:space="preserve"> </w:t>
      </w:r>
      <w:r>
        <w:t xml:space="preserve">instead)</w:t>
      </w:r>
    </w:p>
    <w:p>
      <w:pPr>
        <w:numPr>
          <w:ilvl w:val="1"/>
          <w:numId w:val="1013"/>
        </w:numPr>
        <w:pStyle w:val="Compact"/>
      </w:pPr>
      <w:r>
        <w:t xml:space="preserve">Capacity:</w:t>
      </w:r>
      <w:r>
        <w:t xml:space="preserve"> </w:t>
      </w:r>
      <w:r>
        <w:rPr>
          <w:rStyle w:val="VerbatimChar"/>
        </w:rPr>
        <w:t xml:space="preserve">2500</w:t>
      </w:r>
      <w:r>
        <w:t xml:space="preserve"> </w:t>
      </w:r>
      <w:r>
        <w:t xml:space="preserve">kW, peak power draw: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kW</w:t>
      </w:r>
    </w:p>
    <w:p>
      <w:pPr>
        <w:numPr>
          <w:ilvl w:val="1"/>
          <w:numId w:val="1013"/>
        </w:numPr>
        <w:pStyle w:val="Compact"/>
      </w:pPr>
      <w:r>
        <w:t xml:space="preserve">Dimensions H/W/D:</w:t>
      </w:r>
      <w:r>
        <w:t xml:space="preserve"> </w:t>
      </w:r>
      <w:r>
        <w:rPr>
          <w:rStyle w:val="VerbatimChar"/>
        </w:rPr>
        <w:t xml:space="preserve">2.2 / 1.1 / 1.3</w:t>
      </w:r>
      <w:r>
        <w:t xml:space="preserve"> </w:t>
      </w:r>
      <w:r>
        <w:t xml:space="preserve">m (proportion bar shown live), λ maintenance aisle ratio:</w:t>
      </w:r>
      <w:r>
        <w:t xml:space="preserve"> </w:t>
      </w:r>
      <w:r>
        <w:rPr>
          <w:rStyle w:val="VerbatimChar"/>
        </w:rPr>
        <w:t xml:space="preserve">0.2</w:t>
      </w:r>
    </w:p>
    <w:p>
      <w:pPr>
        <w:numPr>
          <w:ilvl w:val="1"/>
          <w:numId w:val="1013"/>
        </w:numPr>
        <w:pStyle w:val="Compact"/>
      </w:pPr>
      <w:r>
        <w:t xml:space="preserve">Year:</w:t>
      </w:r>
      <w:r>
        <w:t xml:space="preserve"> </w:t>
      </w:r>
      <w:r>
        <w:rPr>
          <w:rStyle w:val="VerbatimChar"/>
        </w:rPr>
        <w:t xml:space="preserve">2026</w:t>
      </w:r>
      <w:r>
        <w:t xml:space="preserve">, source URL:</w:t>
      </w:r>
      <w:r>
        <w:t xml:space="preserve"> </w:t>
      </w:r>
      <w:r>
        <w:rPr>
          <w:rStyle w:val="VerbatimChar"/>
        </w:rPr>
        <w:t xml:space="preserve">https://example.com/datasheet</w:t>
      </w:r>
    </w:p>
    <w:p>
      <w:pPr>
        <w:numPr>
          <w:ilvl w:val="1"/>
          <w:numId w:val="1013"/>
        </w:numPr>
        <w:pStyle w:val="Compact"/>
      </w:pPr>
      <w:r>
        <w:t xml:space="preserve">engineEligible: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(so the engine can select it)</w:t>
      </w:r>
    </w:p>
    <w:p>
      <w:pPr>
        <w:numPr>
          <w:ilvl w:val="0"/>
          <w:numId w:val="1012"/>
        </w:numPr>
        <w:pStyle w:val="Compact"/>
      </w:pPr>
      <w:r>
        <w:t xml:space="preserve">Save → success toast → the new row flashes cyan. From then on, this unit competes in CDU selection whenever a configuration is generated.</w:t>
      </w:r>
    </w:p>
    <w:p>
      <w:pPr>
        <w:pStyle w:val="BlockText"/>
      </w:pPr>
      <w:r>
        <w:t xml:space="preserve">Validation rules: capacity must be &gt; 0; efficiency 0–1; year 1950–2035; URL must be valid. Errors are indicated with a red border.</w:t>
      </w:r>
    </w:p>
    <w:bookmarkEnd w:id="42"/>
    <w:bookmarkStart w:id="43" w:name="editing-and-engineeligible"/>
    <w:p>
      <w:pPr>
        <w:pStyle w:val="Heading3"/>
      </w:pPr>
      <w:r>
        <w:t xml:space="preserve">7.3 Editing and engineEligible</w:t>
      </w:r>
    </w:p>
    <w:p>
      <w:pPr>
        <w:numPr>
          <w:ilvl w:val="0"/>
          <w:numId w:val="101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on a row → modify values in the same drawer. Common uses: fill in measured values for equipment whose manufacturer omitted power draw, or turn a device’s engineEligible</w:t>
      </w:r>
      <w:r>
        <w:t xml:space="preserve"> </w:t>
      </w:r>
      <w:r>
        <w:rPr>
          <w:bCs/>
          <w:b/>
        </w:rPr>
        <w:t xml:space="preserve">off</w:t>
      </w:r>
      <w:r>
        <w:t xml:space="preserve"> </w:t>
      </w:r>
      <w:r>
        <w:t xml:space="preserve">(kept in the catalog but not selected by the engine).</w:t>
      </w:r>
    </w:p>
    <w:p>
      <w:pPr>
        <w:numPr>
          <w:ilvl w:val="0"/>
          <w:numId w:val="1014"/>
        </w:numPr>
        <w:pStyle w:val="Compact"/>
      </w:pPr>
      <w:r>
        <w:t xml:space="preserve">In the seed data,</w:t>
      </w:r>
      <w:r>
        <w:t xml:space="preserve"> </w:t>
      </w:r>
      <w:r>
        <w:t xml:space="preserve">“</w:t>
      </w:r>
      <w:r>
        <w:t xml:space="preserve">rack-level rPDU / small power cabinet</w:t>
      </w:r>
      <w:r>
        <w:t xml:space="preserve">”</w:t>
      </w:r>
      <w:r>
        <w:t xml:space="preserve"> </w:t>
      </w:r>
      <w:r>
        <w:t xml:space="preserve">defaults to engineEligible = off (they are not pod-level equipment); you can turn them on manually when needed.</w:t>
      </w:r>
    </w:p>
    <w:bookmarkEnd w:id="43"/>
    <w:bookmarkStart w:id="44" w:name="Xf14a3c39998cd05777f40a1f55d9d522e366ced"/>
    <w:p>
      <w:pPr>
        <w:pStyle w:val="Heading3"/>
      </w:pPr>
      <w:r>
        <w:t xml:space="preserve">7.4 IT configuration management (example: creating your own reference configuration)</w:t>
      </w:r>
    </w:p>
    <w:p>
      <w:pPr>
        <w:pStyle w:val="FirstParagraph"/>
      </w:pPr>
      <w:r>
        <w:t xml:space="preserve">Switch to the</w:t>
      </w:r>
      <w:r>
        <w:t xml:space="preserve"> </w:t>
      </w:r>
      <w:r>
        <w:t xml:space="preserve">“</w:t>
      </w:r>
      <w:r>
        <w:rPr>
          <w:bCs/>
          <w:b/>
        </w:rPr>
        <w:t xml:space="preserve">IT Configurations</w:t>
      </w:r>
      <w:r>
        <w:t xml:space="preserve">”</w:t>
      </w:r>
      <w:r>
        <w:t xml:space="preserve"> </w:t>
      </w:r>
      <w:r>
        <w:t xml:space="preserve">tab →</w:t>
      </w:r>
      <w:r>
        <w:t xml:space="preserve"> </w:t>
      </w:r>
      <w:r>
        <w:t xml:space="preserve">“</w:t>
      </w:r>
      <w:r>
        <w:t xml:space="preserve">＋ Add Data</w:t>
      </w:r>
      <w:r>
        <w:t xml:space="preserve">”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My Lab Cluster</w:t>
      </w:r>
      <w:r>
        <w:t xml:space="preserve">, type: AI Training, model:</w:t>
      </w:r>
      <w:r>
        <w:t xml:space="preserve"> </w:t>
      </w:r>
      <w:r>
        <w:rPr>
          <w:bCs/>
          <w:b/>
        </w:rPr>
        <w:t xml:space="preserve">Reference</w:t>
      </w:r>
    </w:p>
    <w:p>
      <w:pPr>
        <w:numPr>
          <w:ilvl w:val="0"/>
          <w:numId w:val="1015"/>
        </w:numPr>
        <w:pStyle w:val="Compact"/>
      </w:pPr>
      <w:r>
        <w:t xml:space="preserve">RackSize:</w:t>
      </w:r>
      <w:r>
        <w:t xml:space="preserve"> </w:t>
      </w:r>
      <w:r>
        <w:rPr>
          <w:rStyle w:val="VerbatimChar"/>
        </w:rPr>
        <w:t xml:space="preserve">48</w:t>
      </w:r>
      <w:r>
        <w:t xml:space="preserve">, RackType: Cloud, floorSpace:</w:t>
      </w:r>
      <w:r>
        <w:t xml:space="preserve"> </w:t>
      </w:r>
      <w:r>
        <w:rPr>
          <w:rStyle w:val="VerbatimChar"/>
        </w:rPr>
        <w:t xml:space="preserve">2.0</w:t>
      </w:r>
      <w:r>
        <w:t xml:space="preserve">, Generation:</w:t>
      </w:r>
      <w:r>
        <w:t xml:space="preserve"> </w:t>
      </w:r>
      <w:r>
        <w:rPr>
          <w:rStyle w:val="VerbatimChar"/>
        </w:rPr>
        <w:t xml:space="preserve">2026</w:t>
      </w:r>
    </w:p>
    <w:p>
      <w:pPr>
        <w:numPr>
          <w:ilvl w:val="0"/>
          <w:numId w:val="1015"/>
        </w:numPr>
        <w:pStyle w:val="Compact"/>
      </w:pPr>
      <w:r>
        <w:t xml:space="preserve">nodeTypes dynamic rows:</w:t>
      </w:r>
      <w:r>
        <w:t xml:space="preserve"> </w:t>
      </w:r>
      <w:r>
        <w:rPr>
          <w:rStyle w:val="VerbatimChar"/>
        </w:rPr>
        <w:t xml:space="preserve">GPU × 20 racks × 80 kW</w:t>
      </w:r>
      <w:r>
        <w:t xml:space="preserve"> </w:t>
      </w:r>
      <w:r>
        <w:t xml:space="preserve">+ (click</w:t>
      </w:r>
      <w:r>
        <w:t xml:space="preserve"> </w:t>
      </w:r>
      <w:r>
        <w:t xml:space="preserve">“</w:t>
      </w:r>
      <w:r>
        <w:t xml:space="preserve">Add node</w:t>
      </w:r>
      <w:r>
        <w:t xml:space="preserve">”</w:t>
      </w:r>
      <w:r>
        <w:t xml:space="preserve">)</w:t>
      </w:r>
      <w:r>
        <w:t xml:space="preserve"> </w:t>
      </w:r>
      <w:r>
        <w:rPr>
          <w:rStyle w:val="VerbatimChar"/>
        </w:rPr>
        <w:t xml:space="preserve">Storage × 3 racks × 25 kW</w:t>
      </w:r>
      <w:r>
        <w:t xml:space="preserve">; the bottom live-displays</w:t>
      </w:r>
      <w:r>
        <w:t xml:space="preserve"> </w:t>
      </w:r>
      <w:r>
        <w:t xml:space="preserve">“</w:t>
      </w:r>
      <w:r>
        <w:t xml:space="preserve">total racks 23 · total IT power 1,675 kW</w:t>
      </w:r>
      <w:r>
        <w:t xml:space="preserve">”</w:t>
      </w:r>
    </w:p>
    <w:p>
      <w:pPr>
        <w:pStyle w:val="FirstParagraph"/>
      </w:pPr>
      <w:r>
        <w:t xml:space="preserve">After saving, choosing Reference mode in the Generator lets you check</w:t>
      </w:r>
      <w:r>
        <w:t xml:space="preserve"> </w:t>
      </w:r>
      <w:r>
        <w:t xml:space="preserve">“</w:t>
      </w:r>
      <w:r>
        <w:t xml:space="preserve">My Lab Cluster</w:t>
      </w:r>
      <w:r>
        <w:t xml:space="preserve">”</w:t>
      </w:r>
      <w:r>
        <w:t xml:space="preserve"> </w:t>
      </w:r>
      <w:r>
        <w:t xml:space="preserve">as a ratio template. Each card also has</w:t>
      </w:r>
      <w:r>
        <w:t xml:space="preserve"> </w:t>
      </w:r>
      <w:r>
        <w:t xml:space="preserve">“</w:t>
      </w:r>
      <w:r>
        <w:t xml:space="preserve">Duplicate</w:t>
      </w:r>
      <w:r>
        <w:t xml:space="preserve">”</w:t>
      </w:r>
      <w:r>
        <w:t xml:space="preserve"> </w:t>
      </w:r>
      <w:r>
        <w:t xml:space="preserve">(quickly create a variant) and</w:t>
      </w:r>
      <w:r>
        <w:t xml:space="preserve"> </w:t>
      </w:r>
      <w:r>
        <w:t xml:space="preserve">“</w:t>
      </w:r>
      <w:r>
        <w:t xml:space="preserve">Generate with this configuration →</w:t>
      </w:r>
      <w:r>
        <w:t xml:space="preserve">”</w:t>
      </w:r>
      <w:r>
        <w:t xml:space="preserve">.</w:t>
      </w:r>
    </w:p>
    <w:bookmarkEnd w:id="44"/>
    <w:bookmarkStart w:id="45" w:name="export"/>
    <w:p>
      <w:pPr>
        <w:pStyle w:val="Heading3"/>
      </w:pPr>
      <w:r>
        <w:t xml:space="preserve">7.5 Export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Export</w:t>
      </w:r>
      <w:r>
        <w:t xml:space="preserve">”</w:t>
      </w:r>
      <w:r>
        <w:t xml:space="preserve"> </w:t>
      </w:r>
      <w:r>
        <w:t xml:space="preserve">dropdown in the page header: downloads the</w:t>
      </w:r>
      <w:r>
        <w:t xml:space="preserve"> </w:t>
      </w:r>
      <w:r>
        <w:rPr>
          <w:bCs/>
          <w:b/>
        </w:rPr>
        <w:t xml:space="preserve">currently filtered results</w:t>
      </w:r>
      <w:r>
        <w:t xml:space="preserve"> </w:t>
      </w:r>
      <w:r>
        <w:t xml:space="preserve">(including category/vendor/search conditions) as JSON or CSV; the toast shows the record count.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chapter-8-parameters-parameters"/>
    <w:p>
      <w:pPr>
        <w:pStyle w:val="Heading2"/>
      </w:pPr>
      <w:r>
        <w:t xml:space="preserve">Chapter 8　Parameters (/parameters)</w:t>
      </w:r>
    </w:p>
    <w:bookmarkStart w:id="47" w:name="interface"/>
    <w:p>
      <w:pPr>
        <w:pStyle w:val="Heading3"/>
      </w:pPr>
      <w:r>
        <w:t xml:space="preserve">8.1 Interface</w:t>
      </w:r>
    </w:p>
    <w:p>
      <w:pPr>
        <w:pStyle w:val="FirstParagraph"/>
      </w:pPr>
      <w:r>
        <w:t xml:space="preserve">Left-side category navigation (scroll-spy): Architecture &amp; Design / IT Model / Storage Estimation / Custom Parameters. Each row shows the key (monospace), current value, default value, unit, and description.</w:t>
      </w:r>
    </w:p>
    <w:bookmarkEnd w:id="47"/>
    <w:bookmarkStart w:id="48" w:name="example-adjusting-the-safety-margin"/>
    <w:p>
      <w:pPr>
        <w:pStyle w:val="Heading3"/>
      </w:pPr>
      <w:r>
        <w:t xml:space="preserve">8.2 Example: adjusting the safety margin</w:t>
      </w:r>
    </w:p>
    <w:p>
      <w:pPr>
        <w:numPr>
          <w:ilvl w:val="0"/>
          <w:numId w:val="1016"/>
        </w:numPr>
        <w:pStyle w:val="Compact"/>
      </w:pPr>
      <w:r>
        <w:t xml:space="preserve">Find</w:t>
      </w:r>
      <w:r>
        <w:t xml:space="preserve"> </w:t>
      </w:r>
      <w:r>
        <w:rPr>
          <w:rStyle w:val="VerbatimChar"/>
        </w:rPr>
        <w:t xml:space="preserve">safety_margin</w:t>
      </w:r>
      <w:r>
        <w:t xml:space="preserve"> </w:t>
      </w:r>
      <w:r>
        <w:t xml:space="preserve">(default 0.2) → click the value for inline editing (or drag the slider) → change to</w:t>
      </w:r>
      <w:r>
        <w:t xml:space="preserve"> </w:t>
      </w:r>
      <w:r>
        <w:rPr>
          <w:rStyle w:val="VerbatimChar"/>
        </w:rPr>
        <w:t xml:space="preserve">0.3</w:t>
      </w:r>
      <w:r>
        <w:t xml:space="preserve"> </w:t>
      </w:r>
      <w:r>
        <w:t xml:space="preserve">→ Enter.</w:t>
      </w:r>
    </w:p>
    <w:p>
      <w:pPr>
        <w:numPr>
          <w:ilvl w:val="0"/>
          <w:numId w:val="1016"/>
        </w:numPr>
        <w:pStyle w:val="Compact"/>
      </w:pPr>
      <w:r>
        <w:t xml:space="preserve">An amber</w:t>
      </w:r>
      <w:r>
        <w:t xml:space="preserve"> </w:t>
      </w:r>
      <w:r>
        <w:t xml:space="preserve">“</w:t>
      </w:r>
      <w:r>
        <w:t xml:space="preserve">modified</w:t>
      </w:r>
      <w:r>
        <w:t xml:space="preserve">”</w:t>
      </w:r>
      <w:r>
        <w:t xml:space="preserve"> </w:t>
      </w:r>
      <w:r>
        <w:t xml:space="preserve">badge appears on that row; a new entry (0.2 → 0.3) is added to the</w:t>
      </w:r>
      <w:r>
        <w:t xml:space="preserve"> </w:t>
      </w:r>
      <w:r>
        <w:t xml:space="preserve">“</w:t>
      </w:r>
      <w:r>
        <w:t xml:space="preserve">Change History</w:t>
      </w:r>
      <w:r>
        <w:t xml:space="preserve">”</w:t>
      </w:r>
      <w:r>
        <w:t xml:space="preserve"> </w:t>
      </w:r>
      <w:r>
        <w:t xml:space="preserve">panel on the right.</w:t>
      </w:r>
    </w:p>
    <w:p>
      <w:pPr>
        <w:numPr>
          <w:ilvl w:val="0"/>
          <w:numId w:val="1016"/>
        </w:numPr>
        <w:pStyle w:val="Compact"/>
      </w:pPr>
      <w:r>
        <w:t xml:space="preserve">Effect: the form’s safety margin default becomes 30% in subsequent generations, and the</w:t>
      </w:r>
      <w:r>
        <w:t xml:space="preserve"> </w:t>
      </w:r>
      <w:r>
        <w:rPr>
          <w:rStyle w:val="VerbatimChar"/>
        </w:rPr>
        <w:t xml:space="preserve">(1+sm)</w:t>
      </w:r>
      <w:r>
        <w:t xml:space="preserve"> </w:t>
      </w:r>
      <w:r>
        <w:t xml:space="preserve">factor in all equipment counts scales up — e.g., a UPS count goes from 276 units to 300.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⟲</w:t>
      </w:r>
      <w:r>
        <w:t xml:space="preserve"> </w:t>
      </w:r>
      <w:r>
        <w:t xml:space="preserve">to restore a single entry to its default;</w:t>
      </w:r>
      <w:r>
        <w:t xml:space="preserve"> </w:t>
      </w:r>
      <w:r>
        <w:t xml:space="preserve">“</w:t>
      </w:r>
      <w:r>
        <w:t xml:space="preserve">Restore all defaults</w:t>
      </w:r>
      <w:r>
        <w:t xml:space="preserve">”</w:t>
      </w:r>
      <w:r>
        <w:t xml:space="preserve"> </w:t>
      </w:r>
      <w:r>
        <w:t xml:space="preserve">in the page header restores them one by one (confirmation required).</w:t>
      </w:r>
    </w:p>
    <w:bookmarkEnd w:id="48"/>
    <w:bookmarkStart w:id="49" w:name="example-adding-a-custom-parameter"/>
    <w:p>
      <w:pPr>
        <w:pStyle w:val="Heading3"/>
      </w:pPr>
      <w:r>
        <w:t xml:space="preserve">8.3 Example: adding a custom parameter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rPr>
          <w:bCs/>
          <w:b/>
        </w:rPr>
        <w:t xml:space="preserve">Add Custom Parameter</w:t>
      </w:r>
      <w:r>
        <w:t xml:space="preserve">”</w:t>
      </w:r>
      <w:r>
        <w:t xml:space="preserve"> </w:t>
      </w:r>
      <w:r>
        <w:t xml:space="preserve">→ drawer: enter key</w:t>
      </w:r>
      <w:r>
        <w:t xml:space="preserve"> </w:t>
      </w:r>
      <w:r>
        <w:rPr>
          <w:rStyle w:val="VerbatimChar"/>
        </w:rPr>
        <w:t xml:space="preserve">custom_pue_target</w:t>
      </w:r>
      <w:r>
        <w:t xml:space="preserve"> </w:t>
      </w:r>
      <w:r>
        <w:t xml:space="preserve">(the system automatically adds the</w:t>
      </w:r>
      <w:r>
        <w:t xml:space="preserve"> </w:t>
      </w:r>
      <w:r>
        <w:rPr>
          <w:rStyle w:val="VerbatimChar"/>
        </w:rPr>
        <w:t xml:space="preserve">custom_</w:t>
      </w:r>
      <w:r>
        <w:t xml:space="preserve"> </w:t>
      </w:r>
      <w:r>
        <w:t xml:space="preserve">prefix; alphanumeric and underscore only, duplicates flagged immediately).</w:t>
      </w:r>
    </w:p>
    <w:p>
      <w:pPr>
        <w:numPr>
          <w:ilvl w:val="0"/>
          <w:numId w:val="1017"/>
        </w:numPr>
        <w:pStyle w:val="Compact"/>
      </w:pPr>
      <w:r>
        <w:t xml:space="preserve">Value</w:t>
      </w:r>
      <w:r>
        <w:t xml:space="preserve"> </w:t>
      </w:r>
      <w:r>
        <w:rPr>
          <w:rStyle w:val="VerbatimChar"/>
        </w:rPr>
        <w:t xml:space="preserve">1.25</w:t>
      </w:r>
      <w:r>
        <w:t xml:space="preserve">, unit</w:t>
      </w:r>
      <w:r>
        <w:t xml:space="preserve"> </w:t>
      </w:r>
      <w:r>
        <w:rPr>
          <w:rStyle w:val="VerbatimChar"/>
        </w:rPr>
        <w:t xml:space="preserve">ratio</w:t>
      </w:r>
      <w:r>
        <w:t xml:space="preserve">, category defaults to</w:t>
      </w:r>
      <w:r>
        <w:t xml:space="preserve"> </w:t>
      </w:r>
      <w:r>
        <w:t xml:space="preserve">“</w:t>
      </w:r>
      <w:r>
        <w:t xml:space="preserve">Custom Parameters</w:t>
      </w:r>
      <w:r>
        <w:t xml:space="preserve">”</w:t>
      </w:r>
      <w:r>
        <w:t xml:space="preserve">, description</w:t>
      </w:r>
      <w:r>
        <w:t xml:space="preserve"> </w:t>
      </w:r>
      <w:r>
        <w:t xml:space="preserve">“</w:t>
      </w:r>
      <w:r>
        <w:t xml:space="preserve">Target PUE (for custom algorithms)</w:t>
      </w:r>
      <w:r>
        <w:t xml:space="preserve">”</w:t>
      </w:r>
      <w:r>
        <w:t xml:space="preserve"> </w:t>
      </w:r>
      <w:r>
        <w:t xml:space="preserve">→ Create.</w:t>
      </w:r>
    </w:p>
    <w:p>
      <w:pPr>
        <w:numPr>
          <w:ilvl w:val="0"/>
          <w:numId w:val="1017"/>
        </w:numPr>
        <w:pStyle w:val="Compact"/>
      </w:pPr>
      <w:r>
        <w:t xml:space="preserve">Use: when writing custom formulas in</w:t>
      </w:r>
      <w:r>
        <w:t xml:space="preserve"> </w:t>
      </w:r>
      <w:r>
        <w:t xml:space="preserve">“</w:t>
      </w:r>
      <w:r>
        <w:t xml:space="preserve">Algorithms</w:t>
      </w:r>
      <w:r>
        <w:t xml:space="preserve">”</w:t>
      </w:r>
      <w:r>
        <w:t xml:space="preserve"> </w:t>
      </w:r>
      <w:r>
        <w:t xml:space="preserve">you can directly reference</w:t>
      </w:r>
      <w:r>
        <w:t xml:space="preserve"> </w:t>
      </w:r>
      <w:r>
        <w:rPr>
          <w:rStyle w:val="VerbatimChar"/>
        </w:rPr>
        <w:t xml:space="preserve">custom_pue_target</w:t>
      </w:r>
      <w:r>
        <w:t xml:space="preserve"> </w:t>
      </w:r>
      <w:r>
        <w:t xml:space="preserve">(its value is auto-filled during evaluation); custom parameters can be deleted, built-in parameters cannot (they can only be adjusted or restored).</w:t>
      </w:r>
    </w:p>
    <w:bookmarkEnd w:id="49"/>
    <w:bookmarkStart w:id="50" w:name="change-history"/>
    <w:p>
      <w:pPr>
        <w:pStyle w:val="Heading3"/>
      </w:pPr>
      <w:r>
        <w:t xml:space="preserve">8.4 Change history</w:t>
      </w:r>
    </w:p>
    <w:p>
      <w:pPr>
        <w:pStyle w:val="FirstParagraph"/>
      </w:pPr>
      <w:r>
        <w:t xml:space="preserve">The panel shows the most recent 50 entries: action badge (update/create/reset/delete), old value → new value, timestamp. Modifications not yet restored in the current session are grouped at the top and can be restored row by row.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chapter-9-algorithms-algorithms"/>
    <w:p>
      <w:pPr>
        <w:pStyle w:val="Heading2"/>
      </w:pPr>
      <w:r>
        <w:t xml:space="preserve">Chapter 9　Algorithms (/algorithms)</w:t>
      </w:r>
    </w:p>
    <w:bookmarkStart w:id="52" w:name="navigating-the-registry"/>
    <w:p>
      <w:pPr>
        <w:pStyle w:val="Heading3"/>
      </w:pPr>
      <w:r>
        <w:t xml:space="preserve">9.1 Navigating the registry</w:t>
      </w:r>
    </w:p>
    <w:p>
      <w:pPr>
        <w:pStyle w:val="FirstParagraph"/>
      </w:pPr>
      <w:r>
        <w:t xml:space="preserve">15 built-in algorithms (corresponding to paper Eq. 1–19 and architectural methods), grouped by category: Storage Estimation (3), IT Model (5), Redundancy (1), Cooling &amp; Power Equipment (3), Architecture &amp; Design (3). Select one in the left list; the right side shows: equation number (e.g., Eq. (2)(5)), version, formula card (color-coded variables), description, enabled switch, and parameter bindings.</w:t>
      </w:r>
    </w:p>
    <w:bookmarkEnd w:id="52"/>
    <w:bookmarkStart w:id="53" w:name="adjusting-built-in-algorithms"/>
    <w:p>
      <w:pPr>
        <w:pStyle w:val="Heading3"/>
      </w:pPr>
      <w:r>
        <w:t xml:space="preserve">9.2 Adjusting built-in algorithms</w:t>
      </w:r>
    </w:p>
    <w:p>
      <w:pPr>
        <w:numPr>
          <w:ilvl w:val="0"/>
          <w:numId w:val="1018"/>
        </w:numPr>
        <w:pStyle w:val="Compact"/>
      </w:pPr>
      <w:r>
        <w:t xml:space="preserve">Editable: description,</w:t>
      </w:r>
      <w:r>
        <w:t xml:space="preserve"> </w:t>
      </w:r>
      <w:r>
        <w:rPr>
          <w:bCs/>
          <w:b/>
        </w:rPr>
        <w:t xml:space="preserve">parameter bindings</w:t>
      </w:r>
      <w:r>
        <w:t xml:space="preserve"> </w:t>
      </w:r>
      <w:r>
        <w:t xml:space="preserve">(formula variables ↔ global parameter keys), enabled, category; after saving, the version number auto-increments by +0.1 (e.g., 1.0 → 1.1, and a</w:t>
      </w:r>
      <w:r>
        <w:t xml:space="preserve"> </w:t>
      </w:r>
      <w:r>
        <w:t xml:space="preserve">“</w:t>
      </w:r>
      <w:r>
        <w:t xml:space="preserve">modified</w:t>
      </w:r>
      <w:r>
        <w:t xml:space="preserve">”</w:t>
      </w:r>
      <w:r>
        <w:t xml:space="preserve"> </w:t>
      </w:r>
      <w:r>
        <w:t xml:space="preserve">badge appears in the list).</w:t>
      </w:r>
    </w:p>
    <w:p>
      <w:pPr>
        <w:numPr>
          <w:ilvl w:val="0"/>
          <w:numId w:val="1018"/>
        </w:numPr>
        <w:pStyle w:val="Compact"/>
      </w:pPr>
      <w:r>
        <w:t xml:space="preserve">Not editable: built-in core formulas (to protect model correctness). To change a formula → use</w:t>
      </w:r>
      <w:r>
        <w:t xml:space="preserve"> </w:t>
      </w:r>
      <w:r>
        <w:t xml:space="preserve">“</w:t>
      </w:r>
      <w:r>
        <w:rPr>
          <w:bCs/>
          <w:b/>
        </w:rPr>
        <w:t xml:space="preserve">Duplicate as Custom</w:t>
      </w:r>
      <w:r>
        <w:t xml:space="preserve">”</w:t>
      </w:r>
      <w:r>
        <w:t xml:space="preserve"> </w:t>
      </w:r>
      <w:r>
        <w:t xml:space="preserve">to create an editable copy.</w:t>
      </w:r>
    </w:p>
    <w:bookmarkEnd w:id="53"/>
    <w:bookmarkStart w:id="54" w:name="evaluation-panel-example"/>
    <w:p>
      <w:pPr>
        <w:pStyle w:val="Heading3"/>
      </w:pPr>
      <w:r>
        <w:t xml:space="preserve">9.3 Evaluation panel (example)</w:t>
      </w:r>
    </w:p>
    <w:p>
      <w:pPr>
        <w:pStyle w:val="FirstParagraph"/>
      </w:pPr>
      <w:r>
        <w:t xml:space="preserve">Select</w:t>
      </w:r>
      <w:r>
        <w:t xml:space="preserve"> </w:t>
      </w:r>
      <w:r>
        <w:t xml:space="preserve">“</w:t>
      </w:r>
      <w:r>
        <w:t xml:space="preserve">Storage rack estimation (power proportion method)</w:t>
      </w:r>
      <w:r>
        <w:t xml:space="preserve">”</w:t>
      </w:r>
      <w:r>
        <w:t xml:space="preserve"> </w:t>
      </w:r>
      <w:r>
        <w:t xml:space="preserve">→ the evaluation panel lists the variables (</w:t>
      </w:r>
      <w:r>
        <w:rPr>
          <w:rStyle w:val="VerbatimChar"/>
        </w:rPr>
        <w:t xml:space="preserve">p, computeRacks, computeTdpKw, rackSize, nodeTdpKw</w:t>
      </w:r>
      <w:r>
        <w:t xml:space="preserve">) → global parameters with matching names are auto-filled; fill in the rest manually: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 = 0.042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computeRacks = 300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computeTdpKw = 158</w:t>
      </w:r>
      <w:r>
        <w:t xml:space="preserve">,</w:t>
      </w:r>
      <w:r>
        <w:t xml:space="preserve"> </w:t>
      </w:r>
      <w:r>
        <w:rPr>
          <w:rStyle w:val="VerbatimChar"/>
        </w:rPr>
        <w:t xml:space="preserve">rackSize = 42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nodeTdpKw = 0.708</w:t>
      </w:r>
    </w:p>
    <w:p>
      <w:pPr>
        <w:numPr>
          <w:ilvl w:val="0"/>
          <w:numId w:val="1019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Compute</w:t>
      </w:r>
      <w:r>
        <w:t xml:space="preserve">”</w:t>
      </w:r>
      <w:r>
        <w:t xml:space="preserve"> </w:t>
      </w:r>
      <w:r>
        <w:t xml:space="preserve">→ result</w:t>
      </w:r>
      <w:r>
        <w:t xml:space="preserve"> </w:t>
      </w:r>
      <w:r>
        <w:rPr>
          <w:bCs/>
          <w:b/>
        </w:rPr>
        <w:t xml:space="preserve">70</w:t>
      </w:r>
      <w:r>
        <w:t xml:space="preserve"> </w:t>
      </w:r>
      <w:r>
        <w:t xml:space="preserve">(⌈0.042×300×158 ÷ (0.958×42×0.708)⌉), with the substitution steps shown line by line below.</w:t>
      </w:r>
    </w:p>
    <w:bookmarkEnd w:id="54"/>
    <w:bookmarkStart w:id="55" w:name="complete-custom-algorithm-examples"/>
    <w:p>
      <w:pPr>
        <w:pStyle w:val="Heading3"/>
      </w:pPr>
      <w:r>
        <w:t xml:space="preserve">9.4 Complete custom algorithm examples</w:t>
      </w:r>
    </w:p>
    <w:p>
      <w:pPr>
        <w:pStyle w:val="FirstParagraph"/>
      </w:pPr>
      <w:r>
        <w:rPr>
          <w:bCs/>
          <w:b/>
        </w:rPr>
        <w:t xml:space="preserve">Example A: total power draw estimation with PUE</w:t>
      </w:r>
    </w:p>
    <w:p>
      <w:pPr>
        <w:numPr>
          <w:ilvl w:val="0"/>
          <w:numId w:val="1020"/>
        </w:numPr>
        <w:pStyle w:val="Compact"/>
      </w:pPr>
      <w:r>
        <w:t xml:space="preserve">“</w:t>
      </w:r>
      <w:r>
        <w:t xml:space="preserve">Add Custom Algorithm</w:t>
      </w:r>
      <w:r>
        <w:t xml:space="preserve">”</w:t>
      </w:r>
      <w:r>
        <w:t xml:space="preserve"> </w:t>
      </w:r>
      <w:r>
        <w:t xml:space="preserve">→ drawer:</w:t>
      </w:r>
    </w:p>
    <w:p>
      <w:pPr>
        <w:numPr>
          <w:ilvl w:val="1"/>
          <w:numId w:val="1021"/>
        </w:numPr>
        <w:pStyle w:val="Compact"/>
      </w:pPr>
      <w:r>
        <w:t xml:space="preserve">key:</w:t>
      </w:r>
      <w:r>
        <w:t xml:space="preserve"> </w:t>
      </w:r>
      <w:r>
        <w:rPr>
          <w:rStyle w:val="VerbatimChar"/>
        </w:rPr>
        <w:t xml:space="preserve">custom_total_power_with_pue</w:t>
      </w:r>
      <w:r>
        <w:t xml:space="preserve">, name:</w:t>
      </w:r>
      <w:r>
        <w:t xml:space="preserve"> </w:t>
      </w:r>
      <w:r>
        <w:rPr>
          <w:rStyle w:val="VerbatimChar"/>
        </w:rPr>
        <w:t xml:space="preserve">Total power estimation with PUE</w:t>
      </w:r>
      <w:r>
        <w:t xml:space="preserve">, category: Custom Algorithms</w:t>
      </w:r>
    </w:p>
    <w:p>
      <w:pPr>
        <w:numPr>
          <w:ilvl w:val="1"/>
          <w:numId w:val="1021"/>
        </w:numPr>
        <w:pStyle w:val="Compact"/>
      </w:pPr>
      <w:r>
        <w:t xml:space="preserve">Formula:</w:t>
      </w:r>
      <w:r>
        <w:t xml:space="preserve"> </w:t>
      </w:r>
      <w:r>
        <w:rPr>
          <w:rStyle w:val="VerbatimChar"/>
        </w:rPr>
        <w:t xml:space="preserve">itPowerMw * custom_pue_target</w:t>
      </w:r>
      <w:r>
        <w:t xml:space="preserve"> </w:t>
      </w:r>
      <w:r>
        <w:t xml:space="preserve">(first create</w:t>
      </w:r>
      <w:r>
        <w:t xml:space="preserve"> </w:t>
      </w:r>
      <w:r>
        <w:rPr>
          <w:rStyle w:val="VerbatimChar"/>
        </w:rPr>
        <w:t xml:space="preserve">custom_pue_target = 1.25</w:t>
      </w:r>
      <w:r>
        <w:t xml:space="preserve"> </w:t>
      </w:r>
      <w:r>
        <w:t xml:space="preserve">in Parameters)</w:t>
      </w:r>
    </w:p>
    <w:p>
      <w:pPr>
        <w:numPr>
          <w:ilvl w:val="1"/>
          <w:numId w:val="1021"/>
        </w:numPr>
        <w:pStyle w:val="Compact"/>
      </w:pPr>
      <w:r>
        <w:t xml:space="preserve">The editor performs</w:t>
      </w:r>
      <w:r>
        <w:t xml:space="preserve"> </w:t>
      </w:r>
      <w:r>
        <w:rPr>
          <w:bCs/>
          <w:b/>
        </w:rPr>
        <w:t xml:space="preserve">live syntax checking</w:t>
      </w:r>
      <w:r>
        <w:t xml:space="preserve"> </w:t>
      </w:r>
      <w:r>
        <w:t xml:space="preserve">(✓ green / ✕ red + a list of available variables); you can also click</w:t>
      </w:r>
      <w:r>
        <w:t xml:space="preserve"> </w:t>
      </w:r>
      <w:r>
        <w:t xml:space="preserve">“</w:t>
      </w:r>
      <w:r>
        <w:t xml:space="preserve">Insert parameter</w:t>
      </w:r>
      <w:r>
        <w:t xml:space="preserve">”</w:t>
      </w:r>
      <w:r>
        <w:t xml:space="preserve"> </w:t>
      </w:r>
      <w:r>
        <w:t xml:space="preserve">to insert a global parameter at the cursor.</w:t>
      </w:r>
    </w:p>
    <w:p>
      <w:pPr>
        <w:numPr>
          <w:ilvl w:val="0"/>
          <w:numId w:val="1020"/>
        </w:numPr>
        <w:pStyle w:val="Compact"/>
      </w:pPr>
      <w:r>
        <w:t xml:space="preserve">After saving, go to the evaluation panel:</w:t>
      </w:r>
      <w:r>
        <w:t xml:space="preserve"> </w:t>
      </w:r>
      <w:r>
        <w:rPr>
          <w:rStyle w:val="VerbatimChar"/>
        </w:rPr>
        <w:t xml:space="preserve">itPowerMw = 1000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custom_pue_target = 1.25</w:t>
      </w:r>
      <w:r>
        <w:t xml:space="preserve"> </w:t>
      </w:r>
      <w:r>
        <w:t xml:space="preserve">is auto-filled → result</w:t>
      </w:r>
      <w:r>
        <w:t xml:space="preserve"> </w:t>
      </w:r>
      <w:r>
        <w:rPr>
          <w:bCs/>
          <w:b/>
        </w:rPr>
        <w:t xml:space="preserve">1250 MW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Example B: improved storage estimation (change the proportion to 6%)</w:t>
      </w:r>
    </w:p>
    <w:p>
      <w:pPr>
        <w:numPr>
          <w:ilvl w:val="0"/>
          <w:numId w:val="1022"/>
        </w:numPr>
        <w:pStyle w:val="Compact"/>
      </w:pPr>
      <w:r>
        <w:t xml:space="preserve">On the built-in</w:t>
      </w:r>
      <w:r>
        <w:t xml:space="preserve"> </w:t>
      </w:r>
      <w:r>
        <w:rPr>
          <w:rStyle w:val="VerbatimChar"/>
        </w:rPr>
        <w:t xml:space="preserve">storage_from_power_proportion</w:t>
      </w:r>
      <w:r>
        <w:t xml:space="preserve">, click</w:t>
      </w:r>
      <w:r>
        <w:t xml:space="preserve"> </w:t>
      </w:r>
      <w:r>
        <w:t xml:space="preserve">“</w:t>
      </w:r>
      <w:r>
        <w:t xml:space="preserve">Duplicate as Custom</w:t>
      </w:r>
      <w:r>
        <w:t xml:space="preserve">”</w:t>
      </w:r>
      <w:r>
        <w:t xml:space="preserve"> </w:t>
      </w:r>
      <w:r>
        <w:t xml:space="preserve">→ enter newKey</w:t>
      </w:r>
      <w:r>
        <w:t xml:space="preserve"> </w:t>
      </w:r>
      <w:r>
        <w:rPr>
          <w:rStyle w:val="VerbatimChar"/>
        </w:rPr>
        <w:t xml:space="preserve">custom_storage_6pct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Edit the copy’s formula to:</w:t>
      </w:r>
      <w:r>
        <w:t xml:space="preserve"> </w:t>
      </w:r>
      <w:r>
        <w:rPr>
          <w:rStyle w:val="VerbatimChar"/>
        </w:rPr>
        <w:t xml:space="preserve">ceil(0.06 * computeRacks * computeTdpKw / ((1 - 0.06) * rackSize * nodeTdpKw))</w:t>
      </w:r>
      <w:r>
        <w:t xml:space="preserve"> </w:t>
      </w:r>
      <w:r>
        <w:t xml:space="preserve">(it must pass validation before saving).</w:t>
      </w:r>
    </w:p>
    <w:p>
      <w:pPr>
        <w:numPr>
          <w:ilvl w:val="0"/>
          <w:numId w:val="1022"/>
        </w:numPr>
        <w:pStyle w:val="Compact"/>
      </w:pPr>
      <w:r>
        <w:t xml:space="preserve">Evaluate with</w:t>
      </w:r>
      <w:r>
        <w:t xml:space="preserve"> </w:t>
      </w:r>
      <w:r>
        <w:rPr>
          <w:rStyle w:val="VerbatimChar"/>
        </w:rPr>
        <w:t xml:space="preserve">computeRacks=300, computeTdpKw=158, rackSize=42, nodeTdpKw=0.708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100</w:t>
      </w:r>
      <w:r>
        <w:t xml:space="preserve">.</w:t>
      </w:r>
    </w:p>
    <w:p>
      <w:pPr>
        <w:pStyle w:val="BlockText"/>
      </w:pPr>
      <w:r>
        <w:t xml:space="preserve">Formula support:</w:t>
      </w:r>
      <w:r>
        <w:t xml:space="preserve"> </w:t>
      </w:r>
      <w:r>
        <w:rPr>
          <w:rStyle w:val="VerbatimChar"/>
        </w:rPr>
        <w:t xml:space="preserve">+ - * / % ^</w:t>
      </w:r>
      <w:r>
        <w:t xml:space="preserve">, parentheses, functions</w:t>
      </w:r>
      <w:r>
        <w:t xml:space="preserve"> </w:t>
      </w:r>
      <w:r>
        <w:rPr>
          <w:rStyle w:val="VerbatimChar"/>
        </w:rPr>
        <w:t xml:space="preserve">ceil floor round sqrt abs min max log log10 exp pow sum</w:t>
      </w:r>
      <w:r>
        <w:t xml:space="preserve">. Formulas are not executed via eval; they are evaluated by a whitelist parser, so there is no injection risk.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chapter-10-hands-on-workflows"/>
    <w:p>
      <w:pPr>
        <w:pStyle w:val="Heading2"/>
      </w:pPr>
      <w:r>
        <w:t xml:space="preserve">Chapter 10　Hands-On Workflows</w:t>
      </w:r>
    </w:p>
    <w:bookmarkStart w:id="57" w:name="Xfe8d664560d618533eb60ac71eb8b97c8e5b704"/>
    <w:p>
      <w:pPr>
        <w:pStyle w:val="Heading3"/>
      </w:pPr>
      <w:r>
        <w:t xml:space="preserve">Workflow 1: Planning a 100MW AI inference center</w:t>
      </w:r>
    </w:p>
    <w:p>
      <w:pPr>
        <w:numPr>
          <w:ilvl w:val="0"/>
          <w:numId w:val="1023"/>
        </w:numPr>
        <w:pStyle w:val="Compact"/>
      </w:pPr>
      <w:r>
        <w:t xml:space="preserve">Generator: AI Inference ｜ power</w:t>
      </w:r>
      <w:r>
        <w:t xml:space="preserve"> </w:t>
      </w:r>
      <w:r>
        <w:rPr>
          <w:rStyle w:val="VerbatimChar"/>
        </w:rPr>
        <w:t xml:space="preserve">100MW</w:t>
      </w:r>
      <w:r>
        <w:t xml:space="preserve"> </w:t>
      </w:r>
      <w:r>
        <w:t xml:space="preserve">｜ Canonical 2024 ｜ dry cooling ｜ check both optimization criteria.</w:t>
      </w:r>
    </w:p>
    <w:p>
      <w:pPr>
        <w:numPr>
          <w:ilvl w:val="0"/>
          <w:numId w:val="1023"/>
        </w:numPr>
        <w:pStyle w:val="Compact"/>
      </w:pPr>
      <w:r>
        <w:t xml:space="preserve">Review results: rack count (on the order of ~29,000 racks), CPU-GPU/CPU/Storage distribution, and switch between the Space and Power equipment selections to compare.</w:t>
      </w:r>
    </w:p>
    <w:p>
      <w:pPr>
        <w:numPr>
          <w:ilvl w:val="0"/>
          <w:numId w:val="1023"/>
        </w:numPr>
        <w:pStyle w:val="Compact"/>
      </w:pPr>
      <w:r>
        <w:t xml:space="preserve">Save scenario</w:t>
      </w:r>
      <w:r>
        <w:t xml:space="preserve"> </w:t>
      </w:r>
      <w:r>
        <w:t xml:space="preserve">“</w:t>
      </w:r>
      <w:r>
        <w:t xml:space="preserve">100MW inference - dry</w:t>
      </w:r>
      <w:r>
        <w:t xml:space="preserve">”</w:t>
      </w:r>
      <w:r>
        <w:t xml:space="preserve">; change heat rejection to evaporative cooling, run again, and save</w:t>
      </w:r>
      <w:r>
        <w:t xml:space="preserve"> </w:t>
      </w:r>
      <w:r>
        <w:t xml:space="preserve">“</w:t>
      </w:r>
      <w:r>
        <w:t xml:space="preserve">100MW inference - evaporative</w:t>
      </w:r>
      <w:r>
        <w:t xml:space="preserve">”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Compare the two scenarios: outdoor Gray space (much larger for dry) vs cooling power (lower for evaporative) → write into your evaluation report.</w:t>
      </w:r>
    </w:p>
    <w:bookmarkEnd w:id="57"/>
    <w:bookmarkStart w:id="58" w:name="X5dbb273ea5001c4906a5661aea7f3028263a237"/>
    <w:p>
      <w:pPr>
        <w:pStyle w:val="Heading3"/>
      </w:pPr>
      <w:r>
        <w:t xml:space="preserve">Workflow 2: Evaluating the role of Delta equipment in a new design</w:t>
      </w:r>
    </w:p>
    <w:p>
      <w:pPr>
        <w:numPr>
          <w:ilvl w:val="0"/>
          <w:numId w:val="1024"/>
        </w:numPr>
        <w:pStyle w:val="Compact"/>
      </w:pPr>
      <w:r>
        <w:t xml:space="preserve">In the catalog, turn on</w:t>
      </w:r>
      <w:r>
        <w:t xml:space="preserve"> </w:t>
      </w:r>
      <w:r>
        <w:t xml:space="preserve">“</w:t>
      </w:r>
      <w:r>
        <w:t xml:space="preserve">Delta only</w:t>
      </w:r>
      <w:r>
        <w:t xml:space="preserve">”</w:t>
      </w:r>
      <w:r>
        <w:t xml:space="preserve"> </w:t>
      </w:r>
      <w:r>
        <w:t xml:space="preserve">and check the specs of GoCool-1500 (1.5MW CDU, GB200 NVL72 certified) and the DPH-G3-1250K UPS.</w:t>
      </w:r>
    </w:p>
    <w:p>
      <w:pPr>
        <w:numPr>
          <w:ilvl w:val="0"/>
          <w:numId w:val="1024"/>
        </w:numPr>
        <w:pStyle w:val="Compact"/>
      </w:pPr>
      <w:r>
        <w:t xml:space="preserve">Generate a high-density configuration (e.g., Canonical 2027).</w:t>
      </w:r>
    </w:p>
    <w:p>
      <w:pPr>
        <w:numPr>
          <w:ilvl w:val="0"/>
          <w:numId w:val="1024"/>
        </w:numPr>
        <w:pStyle w:val="Compact"/>
      </w:pPr>
      <w:r>
        <w:t xml:space="preserve">Check the BOM: if a Delta CDU wins in the cooling category it shows a green dot; see the winning UPS models and counts in the IT/facility phases.</w:t>
      </w:r>
    </w:p>
    <w:p>
      <w:pPr>
        <w:numPr>
          <w:ilvl w:val="0"/>
          <w:numId w:val="1024"/>
        </w:numPr>
        <w:pStyle w:val="Compact"/>
      </w:pPr>
      <w:r>
        <w:t xml:space="preserve">To force adoption of a specific Delta model: temporarily turn off competitors’ engineEligible and regenerate (or edit competitors’ capacity/efficiency in the catalog for what-if analysis).</w:t>
      </w:r>
    </w:p>
    <w:bookmarkEnd w:id="58"/>
    <w:bookmarkStart w:id="59" w:name="Xa6ef54c935c68ab5abcd862d11ec508d7dbc9c7"/>
    <w:p>
      <w:pPr>
        <w:pStyle w:val="Heading3"/>
      </w:pPr>
      <w:r>
        <w:t xml:space="preserve">Workflow 3: 2029 ultra-high density (1MW/rack) feasibility study</w:t>
      </w:r>
    </w:p>
    <w:p>
      <w:pPr>
        <w:numPr>
          <w:ilvl w:val="0"/>
          <w:numId w:val="1025"/>
        </w:numPr>
        <w:pStyle w:val="Compact"/>
      </w:pPr>
      <w:r>
        <w:t xml:space="preserve">AI Training ｜ rack count 5000 ｜ Canonical 2029 ｜ check both optimization criteria.</w:t>
      </w:r>
    </w:p>
    <w:p>
      <w:pPr>
        <w:numPr>
          <w:ilvl w:val="0"/>
          <w:numId w:val="1025"/>
        </w:numPr>
        <w:pStyle w:val="Compact"/>
      </w:pPr>
      <w:r>
        <w:t xml:space="preserve">Observe: IT reaches several GW, Gray space may reach 4–6× White space — exactly the finding of paper §5.2.</w:t>
      </w:r>
    </w:p>
    <w:p>
      <w:pPr>
        <w:numPr>
          <w:ilvl w:val="0"/>
          <w:numId w:val="1025"/>
        </w:numPr>
        <w:pStyle w:val="Compact"/>
      </w:pPr>
      <w:r>
        <w:t xml:space="preserve">Combine with redundancy adjustments (e.g., heat rejection N+2) to evaluate the space cost; save three scenarios, compare them, and export CSV as evidence.</w:t>
      </w:r>
    </w:p>
    <w:bookmarkEnd w:id="59"/>
    <w:bookmarkStart w:id="60" w:name="X67cb8358bd95823149ad690274f5671409dc6b0"/>
    <w:p>
      <w:pPr>
        <w:pStyle w:val="Heading3"/>
      </w:pPr>
      <w:r>
        <w:t xml:space="preserve">Workflow 4: Plugging your own estimation model into the platform</w:t>
      </w:r>
    </w:p>
    <w:p>
      <w:pPr>
        <w:numPr>
          <w:ilvl w:val="0"/>
          <w:numId w:val="1026"/>
        </w:numPr>
        <w:pStyle w:val="Compact"/>
      </w:pPr>
      <w:r>
        <w:t xml:space="preserve">In Parameters, add</w:t>
      </w:r>
      <w:r>
        <w:t xml:space="preserve"> </w:t>
      </w:r>
      <w:r>
        <w:rPr>
          <w:rStyle w:val="VerbatimChar"/>
        </w:rPr>
        <w:t xml:space="preserve">custom_storage_ratio = 0.06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In Algorithms, add a formula (referencing</w:t>
      </w:r>
      <w:r>
        <w:t xml:space="preserve"> </w:t>
      </w:r>
      <w:r>
        <w:rPr>
          <w:rStyle w:val="VerbatimChar"/>
        </w:rPr>
        <w:t xml:space="preserve">custom_storage_ratio</w:t>
      </w:r>
      <w:r>
        <w:t xml:space="preserve">) and validate it with the evaluation panel.</w:t>
      </w:r>
    </w:p>
    <w:p>
      <w:pPr>
        <w:numPr>
          <w:ilvl w:val="0"/>
          <w:numId w:val="1026"/>
        </w:numPr>
        <w:pStyle w:val="Compact"/>
      </w:pPr>
      <w:r>
        <w:t xml:space="preserve">Back in the Generator, run the built-in model with the same inputs and compare against your estimate — the platform becomes your model validation tool.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hapter-11-faq-troubleshooting"/>
    <w:p>
      <w:pPr>
        <w:pStyle w:val="Heading2"/>
      </w:pPr>
      <w:r>
        <w:t xml:space="preserve">Chapter 11　FAQ &amp;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Clicking</w:t>
            </w:r>
            <w:r>
              <w:t xml:space="preserve"> </w:t>
            </w:r>
            <w:r>
              <w:t xml:space="preserve">“</w:t>
            </w:r>
            <w:r>
              <w:t xml:space="preserve">Generate</w:t>
            </w:r>
            <w:r>
              <w:t xml:space="preserve">”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t xml:space="preserve">“</w:t>
            </w:r>
            <w:r>
              <w:t xml:space="preserve">No matching IT configuration found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type/model/year combination (Reference’s</w:t>
            </w:r>
            <w:r>
              <w:t xml:space="preserve"> </w:t>
            </w:r>
            <w:r>
              <w:t xml:space="preserve">“</w:t>
            </w:r>
            <w:r>
              <w:t xml:space="preserve">Mixed AI Training &amp; Inference</w:t>
            </w:r>
            <w:r>
              <w:t xml:space="preserve">”</w:t>
            </w:r>
            <w:r>
              <w:t xml:space="preserve"> </w:t>
            </w:r>
            <w:r>
              <w:t xml:space="preserve">itself has no reference system; use Canonical instead)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device in the BOM table shows</w:t>
            </w:r>
            <w:r>
              <w:t xml:space="preserve"> </w:t>
            </w:r>
            <w:r>
              <w:t xml:space="preserve">“</w:t>
            </w:r>
            <w:r>
              <w:t xml:space="preserve">—</w:t>
            </w:r>
            <w:r>
              <w:t xml:space="preserve">”</w:t>
            </w:r>
            <w:r>
              <w:t xml:space="preserve"> </w:t>
            </w:r>
            <w:r>
              <w:t xml:space="preserve">for power 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manufacturer has not published that value (the catalog notes explain); you can edit the catalog entry to add a measured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 numbers differ from this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changed values in Parameters —</w:t>
            </w:r>
            <w:r>
              <w:t xml:space="preserve"> </w:t>
            </w:r>
            <w:r>
              <w:t xml:space="preserve">“</w:t>
            </w:r>
            <w:r>
              <w:t xml:space="preserve">Restore all defaults</w:t>
            </w:r>
            <w:r>
              <w:t xml:space="preserve">”</w:t>
            </w:r>
            <w:r>
              <w:t xml:space="preserve"> </w:t>
            </w:r>
            <w:r>
              <w:t xml:space="preserve">and re-run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 changed but results didn’t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equipment’s engineEligible is on; and it only wins if its efficiency/space efficiency truly beats others in the same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formula won’t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 check failed (red ✕) — fix per the hints; variable names may use only alphanumeric characters and underscores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Want to change a built-in algorithm’s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formulas are locked; use</w:t>
            </w:r>
            <w:r>
              <w:t xml:space="preserve"> </w:t>
            </w:r>
            <w:r>
              <w:t xml:space="preserve">“</w:t>
            </w:r>
            <w:r>
              <w:t xml:space="preserve">Duplicate as Custom</w:t>
            </w:r>
            <w:r>
              <w:t xml:space="preserve">”</w:t>
            </w:r>
            <w:r>
              <w:t xml:space="preserve"> </w:t>
            </w:r>
            <w:r>
              <w:t xml:space="preserve">and edit the 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 to delete a built-in parameter/algorithm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items can only be adjusted or disabled, not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string format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</w:t>
            </w:r>
            <w:r>
              <w:t xml:space="preserve"> </w:t>
            </w:r>
            <w:r>
              <w:rPr>
                <w:rStyle w:val="VerbatimChar"/>
              </w:rPr>
              <w:t xml:space="preserve">number+W/kW/MW/GW/TW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500kW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1GW</w:t>
            </w:r>
            <w:r>
              <w:t xml:space="preserve">); must be 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others see my changes?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hosted deployment shares one database among all visitors; changes are shared instantly (currently no login mechanism)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Will data disappear after an update?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full-stack version: no (data lives in the cloud DB; new versions do not wipe it); self-hosted version: in your own MySQL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reproduce someone else’s results?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them for the scenario’s</w:t>
            </w:r>
            <w:r>
              <w:t xml:space="preserve"> </w:t>
            </w:r>
            <w:r>
              <w:t xml:space="preserve">“</w:t>
            </w:r>
            <w:r>
              <w:t xml:space="preserve">parameter snapshot</w:t>
            </w:r>
            <w:r>
              <w:t xml:space="preserve">”</w:t>
            </w:r>
            <w:r>
              <w:t xml:space="preserve"> </w:t>
            </w:r>
            <w:r>
              <w:t xml:space="preserve">JSON, align values one by one in Parameters, then re-run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chapter-12-glossary"/>
    <w:p>
      <w:pPr>
        <w:pStyle w:val="Heading2"/>
      </w:pPr>
      <w:r>
        <w:t xml:space="preserve">Chapter 12　Glossary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Rack TDP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Rack TDP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power draw of a single rack (kW/rack)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/ CPU-GPU / CPU /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Conventional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42U (EIA-310); other sizes are normalized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HPC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HPC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Supercomputing cabinet; power converts to Cloud racks at × 2/3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Row-level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CDU, PDU (provisioned per pod)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DC-level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Chiller, heat rejection, UPS, MSB, 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Facility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second layer of UPS/MSB/Gen design supporting</w:t>
            </w:r>
            <w:r>
              <w:t xml:space="preserve"> </w:t>
            </w:r>
            <w:r>
              <w:t xml:space="preserve">“</w:t>
            </w:r>
            <w:r>
              <w:t xml:space="preserve">cooling power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Optimization 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 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(kW/m² priority) or Power (efficiency priority)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xN/y, each unit delivers only y/x × 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Parameter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global parameter values at the moment of calculation, for reproducibility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X0da80064dafcedd0278ac2c97eae6056493f518"/>
    <w:p>
      <w:pPr>
        <w:pStyle w:val="Heading2"/>
      </w:pPr>
      <w:r>
        <w:t xml:space="preserve">Appendix A　Expected Results Quick Reference (verification baseline)</w:t>
      </w:r>
    </w:p>
    <w:p>
      <w:pPr>
        <w:pStyle w:val="FirstParagraph"/>
      </w:pPr>
      <w:r>
        <w:t xml:space="preserve">The following baseline values have been verified item-by-item against the original Python DCGen under the same catalog (36/36 match) and can serve as a sanity check while you work: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Training 2024, 10,000 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Density 79.766 kW/m²; IT 1,435.791 MW; GPU 8,876 racks; White space 18,000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Training 2024, 1GW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racks 6,965 (GPU 6,182 + Storage 783); White space 12,536.9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2024, 10,000 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186.459 MW; density 10.359 kW/m²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Training 2024, 1,000 racks (dry cooling, sm 0.2, cooling N+1, power 2N)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pods; Power optimization: dry cooler ×4,983, chiller ×385, CDU ×150, PDU ×500, UPS ×276(IT)+52(facility), MSB ×30+6, generator ×36+8; cooling power 26.571 MW</w:t>
            </w:r>
          </w:p>
        </w:tc>
      </w:tr>
    </w:tbl>
    <w:bookmarkEnd w:id="64"/>
    <w:bookmarkStart w:id="65" w:name="appendix-b-built-in-algorithms-15"/>
    <w:p>
      <w:pPr>
        <w:pStyle w:val="Heading2"/>
      </w:pPr>
      <w:r>
        <w:t xml:space="preserve">Appendix B　Built-in Algorithms (15)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storage_from_capacity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rack estimation (capacity method)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Eq. 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storage_from_power_proportion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rack estimation (power proportion method)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Eq. (2)(5)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storage_from_iops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rack estimation (IOPS method)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Eq.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it_rack_distribution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rack distribution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Eq. (7a)(15a)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it_peak_power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peak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Eq. 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it_power_density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Eq. (9)(12)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it_floor_space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floor space (White space)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Eq. (10)(13)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rack_count_from_power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Rack count back-computed from power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Eq. (14)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rack_tdp_normalization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Rack size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Eq. (11)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npr_pod_hardware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N+r row-level equipment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Eq. (16a)(16b)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npr_dc_hardware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N+r DC-level equipment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Eq. (17a)(17b)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xny_effective_capacity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xN/y deliverable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Eq. (18a)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xny_hardware_count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xN/y equipment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Eq. (18b-c)(19a-b)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gray_space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 space estimation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Eq. (17c)(19c)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lpt_pod_packing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LPT rack pod packing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§4.6.1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system described in this manual is a research prototype; equipment specifications are taken from each vendor’s official catalog (see the data source statement on the system’s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Model Docs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page) and are for research use only. For the original DCGen model, please cite: Gnibga, W. E., &amp; Chien, A. A. (2026). DCGen 1.1 Technical Report. arXiv:2604.09616.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2026-08-17T07:47:37Z</dcterms:created>
  <dcterms:modified xsi:type="dcterms:W3CDTF">2026-08-17T07:47:37Z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