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457200" cy="457200"/>
            <wp:effectExtent t="0" r="0" b="0" l="0"/>
            <wp:docPr id="1" name="BC logo" descr="Government of British Columbia logo" title="B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Calendar advanced user manual</w:t>
      </w:r>
    </w:p>
    <w:p>
      <w:pPr>
        <w:spacing w:after="120"/>
      </w:pPr>
      <w:r>
        <w:rPr>
          <w:sz w:val="28"/>
          <w:szCs w:val="28"/>
        </w:rPr>
        <w:t xml:space="preserve">For: Calendar advanced users</w:t>
      </w:r>
    </w:p>
    <w:p>
      <w:pPr>
        <w:spacing w:after="480"/>
      </w:pPr>
      <w:r>
        <w:rPr>
          <w:sz w:val="24"/>
          <w:szCs w:val="24"/>
        </w:rPr>
        <w:t xml:space="preserve">Software version of October 30, 2026</w:t>
      </w:r>
    </w:p>
    <w:p>
      <w:r>
        <w:t xml:space="preserve">This manual has no pages yet.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  <w:lvl w:ilvl="2" w:tentative="1">
      <w:start w:val="1"/>
      <w:numFmt w:val="bullet"/>
      <w:lvlText w:val="•"/>
      <w:lvlJc w:val="left"/>
      <w:pPr>
        <w:ind w:left="1260" w:hanging="270"/>
      </w:pPr>
    </w:lvl>
    <w:lvl w:ilvl="3" w:tentative="1">
      <w:start w:val="1"/>
      <w:numFmt w:val="bullet"/>
      <w:lvlText w:val="–"/>
      <w:lvlJc w:val="left"/>
      <w:pPr>
        <w:ind w:left="162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  <w:lvl w:ilvl="1" w:tentative="1">
      <w:start w:val="1"/>
      <w:numFmt w:val="lowerLetter"/>
      <w:lvlText w:val="%2."/>
      <w:lvlJc w:val="left"/>
      <w:pPr>
        <w:ind w:left="900" w:hanging="360"/>
      </w:pPr>
    </w:lvl>
    <w:lvl w:ilvl="2" w:tentative="1">
      <w:start w:val="1"/>
      <w:numFmt w:val="decimal"/>
      <w:lvlText w:val="%3."/>
      <w:lvlJc w:val="left"/>
      <w:pPr>
        <w:ind w:left="1260" w:hanging="360"/>
      </w:pPr>
    </w:lvl>
    <w:lvl w:ilvl="3" w:tentative="1">
      <w:start w:val="1"/>
      <w:numFmt w:val="lowerLetter"/>
      <w:lvlText w:val="%4."/>
      <w:lvlJc w:val="left"/>
      <w:pPr>
        <w:ind w:left="16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C Sans" w:cs="BC Sans" w:eastAsia="BC Sans" w:hAnsi="BC Sans"/>
        <w:sz w:val="22"/>
        <w:szCs w:val="22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200"/>
    </w:pPr>
    <w:rPr>
      <w:rFonts w:ascii="BC Sans" w:cs="BC Sans" w:eastAsia="BC Sans" w:hAnsi="BC Sans"/>
      <w:b/>
      <w:bCs/>
      <w:color w:val="013366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BC Sans" w:cs="BC Sans" w:eastAsia="BC Sans" w:hAnsi="BC Sans"/>
      <w:b/>
      <w:bCs/>
      <w:color w:val="0133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</w:pPr>
    <w:rPr>
      <w:rFonts w:ascii="BC Sans" w:cs="BC Sans" w:eastAsia="BC Sans" w:hAnsi="BC Sans"/>
      <w:b/>
      <w:bCs/>
      <w:color w:val="01336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160"/>
    </w:pPr>
    <w:rPr>
      <w:rFonts w:ascii="BC Sans" w:cs="BC Sans" w:eastAsia="BC Sans" w:hAnsi="BC Sans"/>
      <w:b/>
      <w:bCs/>
      <w:color w:val="01336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20"/>
    </w:pPr>
    <w:rPr>
      <w:rFonts w:ascii="BC Sans" w:cs="BC Sans" w:eastAsia="BC Sans" w:hAnsi="BC Sans"/>
      <w:b/>
      <w:bCs/>
      <w:sz w:val="24"/>
      <w:szCs w:val="24"/>
    </w:rPr>
  </w:style>
  <w:style w:type="paragraph" w:styleId="Heading5">
    <w:name w:val="Heading 5"/>
    <w:basedOn w:val="Normal"/>
    <w:next w:val="Normal"/>
    <w:qFormat/>
    <w:rPr>
      <w:rFonts w:ascii="BC Sans" w:cs="BC Sans" w:eastAsia="BC Sans" w:hAnsi="BC Sans"/>
      <w:b/>
      <w:bCs/>
      <w:sz w:val="22"/>
      <w:szCs w:val="22"/>
    </w:rPr>
  </w:style>
  <w:style w:type="paragraph" w:styleId="Heading6">
    <w:name w:val="Heading 6"/>
    <w:basedOn w:val="Normal"/>
    <w:next w:val="Normal"/>
    <w:qFormat/>
    <w:rPr>
      <w:rFonts w:ascii="BC Sans" w:cs="BC Sans" w:eastAsia="BC Sans" w:hAnsi="BC Sans"/>
      <w:b/>
      <w:bCs/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b07eeb64db49ef12cc1ad47f140e7d54d58ae4a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Calendar advanced user manual</dc:title>
  <dc:creator>GCPE News</dc:creator>
  <dc:description>Software version of October 30, 2026</dc:description>
  <cp:lastModifiedBy>Un-named</cp:lastModifiedBy>
  <cp:revision>1</cp:revision>
  <dcterms:created xsi:type="dcterms:W3CDTF">2026-10-30T00:00:00Z</dcterms:created>
  <dcterms:modified xsi:type="dcterms:W3CDTF">2026-10-30T00:00:00Z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