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Programmateur d'arrosage — Carte Alimentation</w:t>
      </w:r>
    </w:p>
    <w:p>
      <w:pPr>
        <w:spacing w:after="300"/>
      </w:pPr>
      <w:r>
        <w:rPr>
          <w:i/>
          <w:iCs/>
          <w:color w:val="555555"/>
          <w:sz w:val="24"/>
          <w:szCs w:val="24"/>
        </w:rPr>
        <w:t xml:space="preserve">Synthèse des essais et réglages — carte "Alimentation BTS SNIR"</w:t>
      </w:r>
    </w:p>
    <w:p>
      <w:pPr>
        <w:pStyle w:val="Heading1"/>
        <w:spacing w:after="160" w:before="360"/>
      </w:pPr>
      <w:r>
        <w:t xml:space="preserve">1. Contexte</w:t>
      </w:r>
    </w:p>
    <w:p>
      <w:pPr>
        <w:spacing w:after="120"/>
      </w:pPr>
      <w:r>
        <w:t xml:space="preserve">Ce document synthétise les essais réalisés sur la carte d'alimentation du boîtier d'arrosage : validation du chemin de charge solaire → batterie, mesure et équilibrage du pack, réglage des trois convertisseurs DC-DC, et clarification du rôle de chaque interrupteur (Q1/GPIO13 et S1). Il sert de référence pour la suite du câblage (alimentation des électrovannes) et l'intégration logicielle dans le firmware principal.</w:t>
      </w:r>
    </w:p>
    <w:p>
      <w:pPr>
        <w:pStyle w:val="Heading1"/>
        <w:spacing w:after="160" w:before="360"/>
      </w:pPr>
      <w:r>
        <w:t xml:space="preserve">2. Architecture d'alimentation</w:t>
      </w:r>
    </w:p>
    <w:p>
      <w:pPr>
        <w:spacing w:after="120"/>
      </w:pPr>
      <w:r>
        <w:t xml:space="preserve">Chaîne d'énergie retenue, de la source à chaque consommateur :</w:t>
      </w:r>
    </w:p>
    <w:p>
      <w:pPr>
        <w:pStyle w:val="ListParagraph"/>
        <w:numPr>
          <w:ilvl w:val="0"/>
          <w:numId w:val="2"/>
        </w:numPr>
        <w:spacing w:after="80"/>
      </w:pPr>
      <w:r>
        <w:t xml:space="preserve">Panneau solaire (100 W, Voc ≈ 21 V, Vmp ≈ 17-18 V) → J1 → DC1 (13,5 V) → D1 → rail principal.</w:t>
      </w:r>
    </w:p>
    <w:p>
      <w:pPr>
        <w:pStyle w:val="ListParagraph"/>
        <w:numPr>
          <w:ilvl w:val="0"/>
          <w:numId w:val="2"/>
        </w:numPr>
        <w:spacing w:after="80"/>
      </w:pPr>
      <w:r>
        <w:t xml:space="preserve">Rail principal → INA219 (mesure) → CH1 (chargeur/équilibreur 3S) → pack batterie B1 (3S, 3000 mAh).</w:t>
      </w:r>
    </w:p>
    <w:p>
      <w:pPr>
        <w:pStyle w:val="ListParagraph"/>
        <w:numPr>
          <w:ilvl w:val="0"/>
          <w:numId w:val="2"/>
        </w:numPr>
        <w:spacing w:after="80"/>
      </w:pPr>
      <w:r>
        <w:t xml:space="preserve">Rail principal → S1 (interrupteur manuel "INV") → DC2 (5 V) → ESP32.</w:t>
      </w:r>
    </w:p>
    <w:p>
      <w:pPr>
        <w:pStyle w:val="ListParagraph"/>
        <w:numPr>
          <w:ilvl w:val="0"/>
          <w:numId w:val="2"/>
        </w:numPr>
        <w:spacing w:after="80"/>
      </w:pPr>
      <w:r>
        <w:t xml:space="preserve">Rail principal → S1 → futur module LM2596 (9 V) → J4 → L298 → électrovannes (en parallèle de DC2, même point de coupure S1).</w:t>
      </w:r>
    </w:p>
    <w:p>
      <w:pPr>
        <w:pStyle w:val="ListParagraph"/>
        <w:numPr>
          <w:ilvl w:val="0"/>
          <w:numId w:val="2"/>
        </w:numPr>
        <w:spacing w:after="80"/>
      </w:pPr>
      <w:r>
        <w:t xml:space="preserve">Rail principal → J4 "12V OUT" : point de piquage du futur module 9 V dédié aux vannes.</w:t>
      </w:r>
    </w:p>
    <w:p>
      <w:pPr>
        <w:spacing w:after="120"/>
      </w:pPr>
      <w:r>
        <w:t xml:space="preserve"/>
      </w:r>
    </w:p>
    <w:p>
      <w:pPr>
        <w:pStyle w:val="Heading2"/>
        <w:spacing w:after="120" w:before="260"/>
      </w:pPr>
      <w:r>
        <w:t xml:space="preserve">2.1 Réglages des convertisseurs DC-DC</w:t>
      </w:r>
    </w:p>
    <w:p>
      <w:pPr>
        <w:spacing w:after="120"/>
      </w:pPr>
      <w:r>
        <w:t xml:space="preserve">Les trois convertisseurs de la carte sont tous des modules LM2596 (abaisseurs / buck). Point important : un buck ne peut jamais sortir une tension supérieure à sa tension d'entrée moins ~1,5 V de chute minimale — DC1 nécessite donc une tension d'entrée d'au moins ≈ 15 V pour pouvoir sortir 13,5 V (le panneau solaire convient ; une alimentation de laboratoire de secours devra respecter cette contrainte).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200"/>
      </w:tblGrid>
      <w:tr>
        <w:tc>
          <w:tcPr>
            <w:tcW w:type="dxa" w:w="2400"/>
            <w:shd w:fill="E7EEF1" w:val="clear"/>
            <w:tcMar>
              <w:top w:type="dxa" w:w="80"/>
              <w:left w:type="dxa" w:w="100"/>
              <w:bottom w:type="dxa" w:w="80"/>
              <w:right w:type="dxa" w:w="100"/>
            </w:tcMar>
          </w:tcPr>
          <w:p>
            <w:r>
              <w:rPr>
                <w:b/>
                <w:bCs/>
              </w:rPr>
              <w:t xml:space="preserve">Convertisseur</w:t>
            </w:r>
          </w:p>
        </w:tc>
        <w:tc>
          <w:tcPr>
            <w:tcW w:type="dxa" w:w="1600"/>
            <w:shd w:fill="E7EEF1" w:val="clear"/>
            <w:tcMar>
              <w:top w:type="dxa" w:w="80"/>
              <w:left w:type="dxa" w:w="100"/>
              <w:bottom w:type="dxa" w:w="80"/>
              <w:right w:type="dxa" w:w="100"/>
            </w:tcMar>
          </w:tcPr>
          <w:p>
            <w:r>
              <w:rPr>
                <w:b/>
                <w:bCs/>
              </w:rPr>
              <w:t xml:space="preserve">Type / modèle</w:t>
            </w:r>
          </w:p>
        </w:tc>
        <w:tc>
          <w:tcPr>
            <w:tcW w:type="dxa" w:w="2200"/>
            <w:shd w:fill="E7EEF1" w:val="clear"/>
            <w:tcMar>
              <w:top w:type="dxa" w:w="80"/>
              <w:left w:type="dxa" w:w="100"/>
              <w:bottom w:type="dxa" w:w="80"/>
              <w:right w:type="dxa" w:w="100"/>
            </w:tcMar>
          </w:tcPr>
          <w:p>
            <w:r>
              <w:rPr>
                <w:b/>
                <w:bCs/>
              </w:rPr>
              <w:t xml:space="preserve">Réglage retenu</w:t>
            </w:r>
          </w:p>
        </w:tc>
        <w:tc>
          <w:tcPr>
            <w:tcW w:type="dxa" w:w="3200"/>
            <w:shd w:fill="E7EEF1" w:val="clear"/>
            <w:tcMar>
              <w:top w:type="dxa" w:w="80"/>
              <w:left w:type="dxa" w:w="100"/>
              <w:bottom w:type="dxa" w:w="80"/>
              <w:right w:type="dxa" w:w="100"/>
            </w:tcMar>
          </w:tcPr>
          <w:p>
            <w:r>
              <w:rPr>
                <w:b/>
                <w:bCs/>
              </w:rPr>
              <w:t xml:space="preserve">Alimente</w:t>
            </w:r>
          </w:p>
        </w:tc>
      </w:tr>
      <w:tr>
        <w:tc>
          <w:tcPr>
            <w:tcW w:type="dxa" w:w="2400"/>
            <w:tcMar>
              <w:top w:type="dxa" w:w="80"/>
              <w:left w:type="dxa" w:w="100"/>
              <w:bottom w:type="dxa" w:w="80"/>
              <w:right w:type="dxa" w:w="100"/>
            </w:tcMar>
          </w:tcPr>
          <w:p>
            <w:r>
              <w:t xml:space="preserve">DC1</w:t>
            </w:r>
          </w:p>
        </w:tc>
        <w:tc>
          <w:tcPr>
            <w:tcW w:type="dxa" w:w="1600"/>
            <w:tcMar>
              <w:top w:type="dxa" w:w="80"/>
              <w:left w:type="dxa" w:w="100"/>
              <w:bottom w:type="dxa" w:w="80"/>
              <w:right w:type="dxa" w:w="100"/>
            </w:tcMar>
          </w:tcPr>
          <w:p>
            <w:r>
              <w:t xml:space="preserve">LM2596 (buck)</w:t>
            </w:r>
          </w:p>
        </w:tc>
        <w:tc>
          <w:tcPr>
            <w:tcW w:type="dxa" w:w="2200"/>
            <w:tcMar>
              <w:top w:type="dxa" w:w="80"/>
              <w:left w:type="dxa" w:w="100"/>
              <w:bottom w:type="dxa" w:w="80"/>
              <w:right w:type="dxa" w:w="100"/>
            </w:tcMar>
          </w:tcPr>
          <w:p>
            <w:r>
              <w:t xml:space="preserve">13,5 V en sortie</w:t>
            </w:r>
          </w:p>
        </w:tc>
        <w:tc>
          <w:tcPr>
            <w:tcW w:type="dxa" w:w="3200"/>
            <w:tcMar>
              <w:top w:type="dxa" w:w="80"/>
              <w:left w:type="dxa" w:w="100"/>
              <w:bottom w:type="dxa" w:w="80"/>
              <w:right w:type="dxa" w:w="100"/>
            </w:tcMar>
          </w:tcPr>
          <w:p>
            <w:r>
              <w:t xml:space="preserve">Rail principal → chemin de charge batterie (via D1)</w:t>
            </w:r>
          </w:p>
        </w:tc>
      </w:tr>
      <w:tr>
        <w:tc>
          <w:tcPr>
            <w:tcW w:type="dxa" w:w="2400"/>
            <w:tcMar>
              <w:top w:type="dxa" w:w="80"/>
              <w:left w:type="dxa" w:w="100"/>
              <w:bottom w:type="dxa" w:w="80"/>
              <w:right w:type="dxa" w:w="100"/>
            </w:tcMar>
          </w:tcPr>
          <w:p>
            <w:r>
              <w:t xml:space="preserve">DC2</w:t>
            </w:r>
          </w:p>
        </w:tc>
        <w:tc>
          <w:tcPr>
            <w:tcW w:type="dxa" w:w="1600"/>
            <w:tcMar>
              <w:top w:type="dxa" w:w="80"/>
              <w:left w:type="dxa" w:w="100"/>
              <w:bottom w:type="dxa" w:w="80"/>
              <w:right w:type="dxa" w:w="100"/>
            </w:tcMar>
          </w:tcPr>
          <w:p>
            <w:r>
              <w:t xml:space="preserve">LM2596 (buck)</w:t>
            </w:r>
          </w:p>
        </w:tc>
        <w:tc>
          <w:tcPr>
            <w:tcW w:type="dxa" w:w="2200"/>
            <w:tcMar>
              <w:top w:type="dxa" w:w="80"/>
              <w:left w:type="dxa" w:w="100"/>
              <w:bottom w:type="dxa" w:w="80"/>
              <w:right w:type="dxa" w:w="100"/>
            </w:tcMar>
          </w:tcPr>
          <w:p>
            <w:r>
              <w:t xml:space="preserve">5 V en sortie</w:t>
            </w:r>
          </w:p>
        </w:tc>
        <w:tc>
          <w:tcPr>
            <w:tcW w:type="dxa" w:w="3200"/>
            <w:tcMar>
              <w:top w:type="dxa" w:w="80"/>
              <w:left w:type="dxa" w:w="100"/>
              <w:bottom w:type="dxa" w:w="80"/>
              <w:right w:type="dxa" w:w="100"/>
            </w:tcMar>
          </w:tcPr>
          <w:p>
            <w:r>
              <w:t xml:space="preserve">ESP32 (via J3), en aval de S1</w:t>
            </w:r>
          </w:p>
        </w:tc>
      </w:tr>
      <w:tr>
        <w:tc>
          <w:tcPr>
            <w:tcW w:type="dxa" w:w="2400"/>
            <w:tcMar>
              <w:top w:type="dxa" w:w="80"/>
              <w:left w:type="dxa" w:w="100"/>
              <w:bottom w:type="dxa" w:w="80"/>
              <w:right w:type="dxa" w:w="100"/>
            </w:tcMar>
          </w:tcPr>
          <w:p>
            <w:r>
              <w:t xml:space="preserve">Nouveau module (à ajouter)</w:t>
            </w:r>
          </w:p>
        </w:tc>
        <w:tc>
          <w:tcPr>
            <w:tcW w:type="dxa" w:w="1600"/>
            <w:tcMar>
              <w:top w:type="dxa" w:w="80"/>
              <w:left w:type="dxa" w:w="100"/>
              <w:bottom w:type="dxa" w:w="80"/>
              <w:right w:type="dxa" w:w="100"/>
            </w:tcMar>
          </w:tcPr>
          <w:p>
            <w:r>
              <w:t xml:space="preserve">LM2596 (buck)</w:t>
            </w:r>
          </w:p>
        </w:tc>
        <w:tc>
          <w:tcPr>
            <w:tcW w:type="dxa" w:w="2200"/>
            <w:tcMar>
              <w:top w:type="dxa" w:w="80"/>
              <w:left w:type="dxa" w:w="100"/>
              <w:bottom w:type="dxa" w:w="80"/>
              <w:right w:type="dxa" w:w="100"/>
            </w:tcMar>
          </w:tcPr>
          <w:p>
            <w:r>
              <w:t xml:space="preserve">9 V en sortie (à régler à vide avant connexion)</w:t>
            </w:r>
          </w:p>
        </w:tc>
        <w:tc>
          <w:tcPr>
            <w:tcW w:type="dxa" w:w="3200"/>
            <w:tcMar>
              <w:top w:type="dxa" w:w="80"/>
              <w:left w:type="dxa" w:w="100"/>
              <w:bottom w:type="dxa" w:w="80"/>
              <w:right w:type="dxa" w:w="100"/>
            </w:tcMar>
          </w:tcPr>
          <w:p>
            <w:r>
              <w:t xml:space="preserve">Électrovannes / L298 (via J4), en parallèle de DC2</w:t>
            </w:r>
          </w:p>
        </w:tc>
      </w:tr>
    </w:tbl>
    <w:p>
      <w:pPr>
        <w:pStyle w:val="Heading1"/>
        <w:spacing w:after="160" w:before="360"/>
      </w:pPr>
      <w:r>
        <w:t xml:space="preserve">3. Pack batterie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c>
          <w:tcPr>
            <w:tcW w:type="dxa" w:w="3600"/>
            <w:shd w:fill="E7EEF1" w:val="clear"/>
            <w:tcMar>
              <w:top w:type="dxa" w:w="80"/>
              <w:left w:type="dxa" w:w="100"/>
              <w:bottom w:type="dxa" w:w="80"/>
              <w:right w:type="dxa" w:w="100"/>
            </w:tcMar>
          </w:tcPr>
          <w:p>
            <w:r>
              <w:rPr>
                <w:b/>
                <w:bCs/>
              </w:rPr>
              <w:t xml:space="preserve">Caractéristique</w:t>
            </w:r>
          </w:p>
        </w:tc>
        <w:tc>
          <w:tcPr>
            <w:tcW w:type="dxa" w:w="5800"/>
            <w:shd w:fill="E7EEF1" w:val="clear"/>
            <w:tcMar>
              <w:top w:type="dxa" w:w="80"/>
              <w:left w:type="dxa" w:w="100"/>
              <w:bottom w:type="dxa" w:w="80"/>
              <w:right w:type="dxa" w:w="100"/>
            </w:tcMar>
          </w:tcPr>
          <w:p>
            <w:r>
              <w:rPr>
                <w:b/>
                <w:bCs/>
              </w:rPr>
              <w:t xml:space="preserve">Valeur</w:t>
            </w:r>
          </w:p>
        </w:tc>
      </w:tr>
      <w:tr>
        <w:tc>
          <w:tcPr>
            <w:tcW w:type="dxa" w:w="3600"/>
            <w:tcMar>
              <w:top w:type="dxa" w:w="80"/>
              <w:left w:type="dxa" w:w="100"/>
              <w:bottom w:type="dxa" w:w="80"/>
              <w:right w:type="dxa" w:w="100"/>
            </w:tcMar>
          </w:tcPr>
          <w:p>
            <w:r>
              <w:t xml:space="preserve">Référence cellule</w:t>
            </w:r>
          </w:p>
        </w:tc>
        <w:tc>
          <w:tcPr>
            <w:tcW w:type="dxa" w:w="5800"/>
            <w:tcMar>
              <w:top w:type="dxa" w:w="80"/>
              <w:left w:type="dxa" w:w="100"/>
              <w:bottom w:type="dxa" w:w="80"/>
              <w:right w:type="dxa" w:w="100"/>
            </w:tcMar>
          </w:tcPr>
          <w:p>
            <w:r>
              <w:t xml:space="preserve">MXJO IMR 18650, 3000 mAh, 3,7 V nominal, 35 A décharge continue max</w:t>
            </w:r>
          </w:p>
        </w:tc>
      </w:tr>
      <w:tr>
        <w:tc>
          <w:tcPr>
            <w:tcW w:type="dxa" w:w="3600"/>
            <w:tcMar>
              <w:top w:type="dxa" w:w="80"/>
              <w:left w:type="dxa" w:w="100"/>
              <w:bottom w:type="dxa" w:w="80"/>
              <w:right w:type="dxa" w:w="100"/>
            </w:tcMar>
          </w:tcPr>
          <w:p>
            <w:r>
              <w:t xml:space="preserve">Configuration pack</w:t>
            </w:r>
          </w:p>
        </w:tc>
        <w:tc>
          <w:tcPr>
            <w:tcW w:type="dxa" w:w="5800"/>
            <w:tcMar>
              <w:top w:type="dxa" w:w="80"/>
              <w:left w:type="dxa" w:w="100"/>
              <w:bottom w:type="dxa" w:w="80"/>
              <w:right w:type="dxa" w:w="100"/>
            </w:tcMar>
          </w:tcPr>
          <w:p>
            <w:r>
              <w:t xml:space="preserve">3S1P (3 cellules en série), capacité pack ≈ 3000 mAh</w:t>
            </w:r>
          </w:p>
        </w:tc>
      </w:tr>
      <w:tr>
        <w:tc>
          <w:tcPr>
            <w:tcW w:type="dxa" w:w="3600"/>
            <w:tcMar>
              <w:top w:type="dxa" w:w="80"/>
              <w:left w:type="dxa" w:w="100"/>
              <w:bottom w:type="dxa" w:w="80"/>
              <w:right w:type="dxa" w:w="100"/>
            </w:tcMar>
          </w:tcPr>
          <w:p>
            <w:r>
              <w:t xml:space="preserve">Tension pleine charge</w:t>
            </w:r>
          </w:p>
        </w:tc>
        <w:tc>
          <w:tcPr>
            <w:tcW w:type="dxa" w:w="5800"/>
            <w:tcMar>
              <w:top w:type="dxa" w:w="80"/>
              <w:left w:type="dxa" w:w="100"/>
              <w:bottom w:type="dxa" w:w="80"/>
              <w:right w:type="dxa" w:w="100"/>
            </w:tcMar>
          </w:tcPr>
          <w:p>
            <w:r>
              <w:t xml:space="preserve">12,6 V (3 × 4,2 V)</w:t>
            </w:r>
          </w:p>
        </w:tc>
      </w:tr>
      <w:tr>
        <w:tc>
          <w:tcPr>
            <w:tcW w:type="dxa" w:w="3600"/>
            <w:tcMar>
              <w:top w:type="dxa" w:w="80"/>
              <w:left w:type="dxa" w:w="100"/>
              <w:bottom w:type="dxa" w:w="80"/>
              <w:right w:type="dxa" w:w="100"/>
            </w:tcMar>
          </w:tcPr>
          <w:p>
            <w:r>
              <w:t xml:space="preserve">Tension nominale</w:t>
            </w:r>
          </w:p>
        </w:tc>
        <w:tc>
          <w:tcPr>
            <w:tcW w:type="dxa" w:w="5800"/>
            <w:tcMar>
              <w:top w:type="dxa" w:w="80"/>
              <w:left w:type="dxa" w:w="100"/>
              <w:bottom w:type="dxa" w:w="80"/>
              <w:right w:type="dxa" w:w="100"/>
            </w:tcMar>
          </w:tcPr>
          <w:p>
            <w:r>
              <w:t xml:space="preserve">11,1 V (3 × 3,7 V)</w:t>
            </w:r>
          </w:p>
        </w:tc>
      </w:tr>
      <w:tr>
        <w:tc>
          <w:tcPr>
            <w:tcW w:type="dxa" w:w="3600"/>
            <w:tcMar>
              <w:top w:type="dxa" w:w="80"/>
              <w:left w:type="dxa" w:w="100"/>
              <w:bottom w:type="dxa" w:w="80"/>
              <w:right w:type="dxa" w:w="100"/>
            </w:tcMar>
          </w:tcPr>
          <w:p>
            <w:r>
              <w:t xml:space="preserve">Seuil bas retenu (logiciel)</w:t>
            </w:r>
          </w:p>
        </w:tc>
        <w:tc>
          <w:tcPr>
            <w:tcW w:type="dxa" w:w="5800"/>
            <w:tcMar>
              <w:top w:type="dxa" w:w="80"/>
              <w:left w:type="dxa" w:w="100"/>
              <w:bottom w:type="dxa" w:w="80"/>
              <w:right w:type="dxa" w:w="100"/>
            </w:tcMar>
          </w:tcPr>
          <w:p>
            <w:r>
              <w:t xml:space="preserve">9,9 V (3 × 3,3 V), marge de sécurité avant 3,0 V/cellule</w:t>
            </w:r>
          </w:p>
        </w:tc>
      </w:tr>
      <w:tr>
        <w:tc>
          <w:tcPr>
            <w:tcW w:type="dxa" w:w="3600"/>
            <w:tcMar>
              <w:top w:type="dxa" w:w="80"/>
              <w:left w:type="dxa" w:w="100"/>
              <w:bottom w:type="dxa" w:w="80"/>
              <w:right w:type="dxa" w:w="100"/>
            </w:tcMar>
          </w:tcPr>
          <w:p>
            <w:r>
              <w:t xml:space="preserve">Chargeur</w:t>
            </w:r>
          </w:p>
        </w:tc>
        <w:tc>
          <w:tcPr>
            <w:tcW w:type="dxa" w:w="5800"/>
            <w:tcMar>
              <w:top w:type="dxa" w:w="80"/>
              <w:left w:type="dxa" w:w="100"/>
              <w:bottom w:type="dxa" w:w="80"/>
              <w:right w:type="dxa" w:w="100"/>
            </w:tcMar>
          </w:tcPr>
          <w:p>
            <w:r>
              <w:t xml:space="preserve">CH1 — module de charge/équilibrage 3S avec dérivation (bypass) passive par cellule</w:t>
            </w:r>
          </w:p>
        </w:tc>
      </w:tr>
    </w:tbl>
    <w:p>
      <w:pPr>
        <w:spacing w:after="120"/>
      </w:pPr>
      <w:r>
        <w:t xml:space="preserve"/>
      </w:r>
    </w:p>
    <w:p>
      <w:pPr>
        <w:pStyle w:val="Heading2"/>
        <w:spacing w:after="120" w:before="260"/>
      </w:pPr>
      <w:r>
        <w:t xml:space="preserve">3.1 Déséquilibre des cellules — constat et méthode</w:t>
      </w:r>
    </w:p>
    <w:p>
      <w:pPr>
        <w:spacing w:after="120"/>
      </w:pPr>
      <w:r>
        <w:t xml:space="preserve">Un déséquilibre important a été observé entre cellules (jusqu'à 0,6 V d'écart), suffisant pour déclencher la protection de CH1 dès qu'une cellule atteint 4,2 V, réduisant alors le courant de charge global à quelques mA quelles que soient les deux autres cellules. Le chargeur CH1 ne peut pas résorber rapidement un écart de cet ordre : sa dérivation (bypass) passive par cellule n'a qu'une capacité de quelques dizaines de mA.</w:t>
      </w:r>
    </w:p>
    <w:p>
      <w:pPr>
        <w:spacing w:after="120"/>
      </w:pPr>
      <w:r>
        <w:t xml:space="preserve">Méthode retenue et validée :</w:t>
      </w:r>
    </w:p>
    <w:p>
      <w:pPr>
        <w:pStyle w:val="ListParagraph"/>
        <w:numPr>
          <w:ilvl w:val="0"/>
          <w:numId w:val="2"/>
        </w:numPr>
        <w:spacing w:after="80"/>
      </w:pPr>
      <w:r>
        <w:t xml:space="preserve">Mesurer individuellement chaque cellule disponible au repos (voltmètre, points de test CH1).</w:t>
      </w:r>
    </w:p>
    <w:p>
      <w:pPr>
        <w:pStyle w:val="ListParagraph"/>
        <w:numPr>
          <w:ilvl w:val="0"/>
          <w:numId w:val="2"/>
        </w:numPr>
        <w:spacing w:after="80"/>
      </w:pPr>
      <w:r>
        <w:t xml:space="preserve">Assembler les 3 cellules dont l'écart de tension est le plus faible (idéalement &lt; 0,2 V).</w:t>
      </w:r>
    </w:p>
    <w:p>
      <w:pPr>
        <w:pStyle w:val="ListParagraph"/>
        <w:numPr>
          <w:ilvl w:val="0"/>
          <w:numId w:val="2"/>
        </w:numPr>
        <w:spacing w:after="80"/>
      </w:pPr>
      <w:r>
        <w:t xml:space="preserve">Isoler et recharger séparément (chargeur mono-cellule dédié type TP4056) toute cellule mise de côté, plutôt que de la laisser stocker à basse tension.</w:t>
      </w:r>
    </w:p>
    <w:p>
      <w:pPr>
        <w:pStyle w:val="ListParagraph"/>
        <w:numPr>
          <w:ilvl w:val="0"/>
          <w:numId w:val="2"/>
        </w:numPr>
        <w:spacing w:after="80"/>
      </w:pPr>
      <w:r>
        <w:t xml:space="preserve">Étiqueter physiquement les cellules pour éviter toute confusion de numérotation d'une session à l'autre.</w:t>
      </w:r>
    </w:p>
    <w:p>
      <w:pPr>
        <w:spacing w:after="120"/>
      </w:pPr>
      <w:r>
        <w:t xml:space="preserve">Avec un écart ramené à 0,16 V puis 0,05 V après tri, le cycle de charge s'est déroulé normalement, avec un courant décroissant progressivement en fin de charge (phase CV), signe d'un comportement correct de CH1 dans ces conditions.</w:t>
      </w:r>
    </w:p>
    <w:p>
      <w:pPr>
        <w:spacing w:after="120"/>
      </w:pPr>
      <w:r>
        <w:t xml:space="preserve"/>
      </w:r>
    </w:p>
    <w:p>
      <w:pPr>
        <w:pStyle w:val="Heading2"/>
        <w:spacing w:after="120" w:before="260"/>
      </w:pPr>
      <w:r>
        <w:t xml:space="preserve">3.2 Incident CH1 "sortie ouverte" — solution</w:t>
      </w:r>
    </w:p>
    <w:p>
      <w:pPr>
        <w:spacing w:after="120"/>
      </w:pPr>
      <w:r>
        <w:t xml:space="preserve">Un cas a été observé où CH1 semblait bloqué en sortie ouverte (tension INA219 anormalement proche de la tension d'entrée plutôt que de la tension batterie réelle, courant quasi nul en plein soleil). Un débranchement/rebranchement du pack côté CH1 a suffi à réinitialiser le chargeur et à faire reprendre la charge normalement. À retenir comme geste de dépannage simple en cas de blocage apparent.</w:t>
      </w:r>
    </w:p>
    <w:p>
      <w:pPr>
        <w:pStyle w:val="Heading1"/>
        <w:spacing w:after="160" w:before="360"/>
      </w:pPr>
      <w:r>
        <w:t xml:space="preserve">4. Électrovannes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c>
          <w:tcPr>
            <w:tcW w:type="dxa" w:w="3600"/>
            <w:shd w:fill="E7EEF1" w:val="clear"/>
            <w:tcMar>
              <w:top w:type="dxa" w:w="80"/>
              <w:left w:type="dxa" w:w="100"/>
              <w:bottom w:type="dxa" w:w="80"/>
              <w:right w:type="dxa" w:w="100"/>
            </w:tcMar>
          </w:tcPr>
          <w:p>
            <w:r>
              <w:rPr>
                <w:b/>
                <w:bCs/>
              </w:rPr>
              <w:t xml:space="preserve">Caractéristique</w:t>
            </w:r>
          </w:p>
        </w:tc>
        <w:tc>
          <w:tcPr>
            <w:tcW w:type="dxa" w:w="5800"/>
            <w:shd w:fill="E7EEF1" w:val="clear"/>
            <w:tcMar>
              <w:top w:type="dxa" w:w="80"/>
              <w:left w:type="dxa" w:w="100"/>
              <w:bottom w:type="dxa" w:w="80"/>
              <w:right w:type="dxa" w:w="100"/>
            </w:tcMar>
          </w:tcPr>
          <w:p>
            <w:r>
              <w:rPr>
                <w:b/>
                <w:bCs/>
              </w:rPr>
              <w:t xml:space="preserve">Valeur</w:t>
            </w:r>
          </w:p>
        </w:tc>
      </w:tr>
      <w:tr>
        <w:tc>
          <w:tcPr>
            <w:tcW w:type="dxa" w:w="3600"/>
            <w:tcMar>
              <w:top w:type="dxa" w:w="80"/>
              <w:left w:type="dxa" w:w="100"/>
              <w:bottom w:type="dxa" w:w="80"/>
              <w:right w:type="dxa" w:w="100"/>
            </w:tcMar>
          </w:tcPr>
          <w:p>
            <w:r>
              <w:t xml:space="preserve">Référence</w:t>
            </w:r>
          </w:p>
        </w:tc>
        <w:tc>
          <w:tcPr>
            <w:tcW w:type="dxa" w:w="5800"/>
            <w:tcMar>
              <w:top w:type="dxa" w:w="80"/>
              <w:left w:type="dxa" w:w="100"/>
              <w:bottom w:type="dxa" w:w="80"/>
              <w:right w:type="dxa" w:w="100"/>
            </w:tcMar>
          </w:tcPr>
          <w:p>
            <w:r>
              <w:t xml:space="preserve">Antelco eZyvalve 4 — 9 Vdc, électrovannes bistables (latching)</w:t>
            </w:r>
          </w:p>
        </w:tc>
      </w:tr>
      <w:tr>
        <w:tc>
          <w:tcPr>
            <w:tcW w:type="dxa" w:w="3600"/>
            <w:tcMar>
              <w:top w:type="dxa" w:w="80"/>
              <w:left w:type="dxa" w:w="100"/>
              <w:bottom w:type="dxa" w:w="80"/>
              <w:right w:type="dxa" w:w="100"/>
            </w:tcMar>
          </w:tcPr>
          <w:p>
            <w:r>
              <w:t xml:space="preserve">Tension d'alimentation</w:t>
            </w:r>
          </w:p>
        </w:tc>
        <w:tc>
          <w:tcPr>
            <w:tcW w:type="dxa" w:w="5800"/>
            <w:tcMar>
              <w:top w:type="dxa" w:w="80"/>
              <w:left w:type="dxa" w:w="100"/>
              <w:bottom w:type="dxa" w:w="80"/>
              <w:right w:type="dxa" w:w="100"/>
            </w:tcMar>
          </w:tcPr>
          <w:p>
            <w:r>
              <w:t xml:space="preserve">9 Vdc</w:t>
            </w:r>
          </w:p>
        </w:tc>
      </w:tr>
      <w:tr>
        <w:tc>
          <w:tcPr>
            <w:tcW w:type="dxa" w:w="3600"/>
            <w:tcMar>
              <w:top w:type="dxa" w:w="80"/>
              <w:left w:type="dxa" w:w="100"/>
              <w:bottom w:type="dxa" w:w="80"/>
              <w:right w:type="dxa" w:w="100"/>
            </w:tcMar>
          </w:tcPr>
          <w:p>
            <w:r>
              <w:t xml:space="preserve">Courant d'appel (inrush)</w:t>
            </w:r>
          </w:p>
        </w:tc>
        <w:tc>
          <w:tcPr>
            <w:tcW w:type="dxa" w:w="5800"/>
            <w:tcMar>
              <w:top w:type="dxa" w:w="80"/>
              <w:left w:type="dxa" w:w="100"/>
              <w:bottom w:type="dxa" w:w="80"/>
              <w:right w:type="dxa" w:w="100"/>
            </w:tcMar>
          </w:tcPr>
          <w:p>
            <w:r>
              <w:t xml:space="preserve">1200 mA</w:t>
            </w:r>
          </w:p>
        </w:tc>
      </w:tr>
      <w:tr>
        <w:tc>
          <w:tcPr>
            <w:tcW w:type="dxa" w:w="3600"/>
            <w:tcMar>
              <w:top w:type="dxa" w:w="80"/>
              <w:left w:type="dxa" w:w="100"/>
              <w:bottom w:type="dxa" w:w="80"/>
              <w:right w:type="dxa" w:w="100"/>
            </w:tcMar>
          </w:tcPr>
          <w:p>
            <w:r>
              <w:t xml:space="preserve">Nombre de vannes</w:t>
            </w:r>
          </w:p>
        </w:tc>
        <w:tc>
          <w:tcPr>
            <w:tcW w:type="dxa" w:w="5800"/>
            <w:tcMar>
              <w:top w:type="dxa" w:w="80"/>
              <w:left w:type="dxa" w:w="100"/>
              <w:bottom w:type="dxa" w:w="80"/>
              <w:right w:type="dxa" w:w="100"/>
            </w:tcMar>
          </w:tcPr>
          <w:p>
            <w:r>
              <w:t xml:space="preserve">4 (une seule pilotée à la fois — mutex logiciel)</w:t>
            </w:r>
          </w:p>
        </w:tc>
      </w:tr>
      <w:tr>
        <w:tc>
          <w:tcPr>
            <w:tcW w:type="dxa" w:w="3600"/>
            <w:tcMar>
              <w:top w:type="dxa" w:w="80"/>
              <w:left w:type="dxa" w:w="100"/>
              <w:bottom w:type="dxa" w:w="80"/>
              <w:right w:type="dxa" w:w="100"/>
            </w:tcMar>
          </w:tcPr>
          <w:p>
            <w:r>
              <w:t xml:space="preserve">Plage de température</w:t>
            </w:r>
          </w:p>
        </w:tc>
        <w:tc>
          <w:tcPr>
            <w:tcW w:type="dxa" w:w="5800"/>
            <w:tcMar>
              <w:top w:type="dxa" w:w="80"/>
              <w:left w:type="dxa" w:w="100"/>
              <w:bottom w:type="dxa" w:w="80"/>
              <w:right w:type="dxa" w:w="100"/>
            </w:tcMar>
          </w:tcPr>
          <w:p>
            <w:r>
              <w:t xml:space="preserve">2 °C à 60 °C</w:t>
            </w:r>
          </w:p>
        </w:tc>
      </w:tr>
      <w:tr>
        <w:tc>
          <w:tcPr>
            <w:tcW w:type="dxa" w:w="3600"/>
            <w:tcMar>
              <w:top w:type="dxa" w:w="80"/>
              <w:left w:type="dxa" w:w="100"/>
              <w:bottom w:type="dxa" w:w="80"/>
              <w:right w:type="dxa" w:w="100"/>
            </w:tcMar>
          </w:tcPr>
          <w:p>
            <w:r>
              <w:t xml:space="preserve">Débit / pression</w:t>
            </w:r>
          </w:p>
        </w:tc>
        <w:tc>
          <w:tcPr>
            <w:tcW w:type="dxa" w:w="5800"/>
            <w:tcMar>
              <w:top w:type="dxa" w:w="80"/>
              <w:left w:type="dxa" w:w="100"/>
              <w:bottom w:type="dxa" w:w="80"/>
              <w:right w:type="dxa" w:w="100"/>
            </w:tcMar>
          </w:tcPr>
          <w:p>
            <w:r>
              <w:t xml:space="preserve">1 à 30 L/min, 20 à 750 kPa</w:t>
            </w:r>
          </w:p>
        </w:tc>
      </w:tr>
    </w:tbl>
    <w:p>
      <w:pPr>
        <w:spacing w:after="120"/>
      </w:pPr>
      <w:r>
        <w:t xml:space="preserve"/>
      </w:r>
    </w:p>
    <w:p>
      <w:pPr>
        <w:spacing w:after="120"/>
      </w:pPr>
      <w:r>
        <w:t xml:space="preserve">Le module 9 V dédié devra être dimensionné avec de la marge par rapport à l'appel de courant (2 A en continu / 3 A en crête recommandés pour le LM2596 retenu). Le réglage doit être effectué à vide avant toute connexion au L298, en visant 9,0-9,2 V. Un condensateur additionnel en sortie (470-1000 µF) est recommandé si un creux de tension est observé au moment de l'appel de courant.</w:t>
      </w:r>
    </w:p>
    <w:p>
      <w:pPr>
        <w:pStyle w:val="Heading1"/>
        <w:spacing w:after="160" w:before="360"/>
      </w:pPr>
      <w:r>
        <w:t xml:space="preserve">5. Rôle des interrupteurs Q1 et S1</w:t>
      </w:r>
    </w:p>
    <w:p>
      <w:pPr>
        <w:pStyle w:val="Heading2"/>
        <w:spacing w:after="120" w:before="260"/>
      </w:pPr>
      <w:r>
        <w:t xml:space="preserve">5.1 Q1 (IRF9530, piloté par Q2 / GPIO13)</w:t>
      </w:r>
    </w:p>
    <w:p>
      <w:pPr>
        <w:spacing w:after="120"/>
      </w:pPr>
      <w:r>
        <w:t xml:space="preserve">Rôle prévu à l'origine (conception héritée d'un usage ballon sonde) : couper uniquement le chemin de charge du pack, par exemple par température négative, pour éviter le placage de lithium lors d'une charge sous 0 °C.</w:t>
      </w:r>
    </w:p>
    <w:p>
      <w:pPr>
        <w:spacing w:after="120"/>
      </w:pPr>
      <w:r>
        <w:t xml:space="preserve">Décision retenue : </w:t>
      </w:r>
    </w:p>
    <w:p>
      <w:pPr>
        <w:spacing w:after="160"/>
      </w:pPr>
      <w:r>
        <w:t xml:space="preserve">le point de commande de Q1 reste câblé en dur sur +5 V (Q1 en permanence fermé). </w:t>
      </w:r>
      <w:r>
        <w:rPr>
          <w:b/>
          <w:bCs/>
          <w:color w:val="2E7D32"/>
        </w:rPr>
        <w:t xml:space="preserve">Aucun pilotage logiciel via GPIO13.</w:t>
      </w:r>
    </w:p>
    <w:p>
      <w:pPr>
        <w:spacing w:after="120"/>
      </w:pPr>
      <w:r>
        <w:t xml:space="preserve">Justification : en cas de température trop basse, l'ensemble du système (électrovannes comprises, qui risqueraient de geler) doit être purgé et arrêté — une coupure sélective de la seule charge batterie, sans arrêt du reste du système, n'aurait pas de sens dans ce cas d'usage. La protection gel sera donc traitée au niveau du firmware (arrêt complet + purge), pas au niveau de ce commutateur électronique.</w:t>
      </w:r>
    </w:p>
    <w:p>
      <w:pPr>
        <w:pStyle w:val="Heading2"/>
        <w:spacing w:after="120" w:before="260"/>
      </w:pPr>
      <w:r>
        <w:t xml:space="preserve">5.2 S1 ("INV")</w:t>
      </w:r>
    </w:p>
    <w:p>
      <w:pPr>
        <w:spacing w:after="120"/>
      </w:pPr>
      <w:r>
        <w:t xml:space="preserve">Interrupteur manuel qui coupe le rail après Q1, en amont de DC2 (ESP32) et du futur module 9 V (vannes). Indépendant de Q1 : sert de coupure générale manuelle (maintenance), sans lien avec la protection thermique de la charge.</w:t>
      </w:r>
    </w:p>
    <w:p>
      <w:pPr>
        <w:spacing w:after="120"/>
      </w:pPr>
      <w:r>
        <w:t xml:space="preserve">Vérification effectuée : l'ESP32 continue de fonctionner sur batterie, panneau solaire débranché, jusqu'à la coupure manuelle de S1 — confirme qu'il n'y a pas de dépendance circulaire entre l'alimentation de l'ESP32 et l'état de Q1.</w:t>
      </w:r>
    </w:p>
    <w:p>
      <w:pPr>
        <w:pStyle w:val="Heading1"/>
        <w:spacing w:after="160" w:before="360"/>
      </w:pPr>
      <w:r>
        <w:t xml:space="preserve">6. Suivi des essais de charge (chronologie)</w:t>
      </w:r>
    </w:p>
    <w:p>
      <w:pPr>
        <w:pStyle w:val="ListParagraph"/>
        <w:numPr>
          <w:ilvl w:val="0"/>
          <w:numId w:val="2"/>
        </w:numPr>
        <w:spacing w:after="80"/>
      </w:pPr>
      <w:r>
        <w:t xml:space="preserve">Essai alimentation 9 V puis 12 V en entrée de DC1 : pas de charge — normal, DC1 (buck) ne peut pas sortir plus que sa tension d'entrée.</w:t>
      </w:r>
    </w:p>
    <w:p>
      <w:pPr>
        <w:pStyle w:val="ListParagraph"/>
        <w:numPr>
          <w:ilvl w:val="0"/>
          <w:numId w:val="2"/>
        </w:numPr>
        <w:spacing w:after="80"/>
      </w:pPr>
      <w:r>
        <w:t xml:space="preserve">Mesure sortie DC1 sous 12 V : 11,5 V — confirme le comportement buck, pas un défaut du module.</w:t>
      </w:r>
    </w:p>
    <w:p>
      <w:pPr>
        <w:pStyle w:val="ListParagraph"/>
        <w:numPr>
          <w:ilvl w:val="0"/>
          <w:numId w:val="2"/>
        </w:numPr>
        <w:spacing w:after="80"/>
      </w:pPr>
      <w:r>
        <w:t xml:space="preserve">Test avec panneau solaire au soleil (~21 V à vide) : charge effective à ≈ 540-580 mA, régime C/5,5, sûr pour le pack.</w:t>
      </w:r>
    </w:p>
    <w:p>
      <w:pPr>
        <w:pStyle w:val="ListParagraph"/>
        <w:numPr>
          <w:ilvl w:val="0"/>
          <w:numId w:val="2"/>
        </w:numPr>
        <w:spacing w:after="80"/>
      </w:pPr>
      <w:r>
        <w:t xml:space="preserve">Coupure via S1 : arrêt net du courant (0 mA) — comportement attendu.</w:t>
      </w:r>
    </w:p>
    <w:p>
      <w:pPr>
        <w:pStyle w:val="ListParagraph"/>
        <w:numPr>
          <w:ilvl w:val="0"/>
          <w:numId w:val="2"/>
        </w:numPr>
        <w:spacing w:after="80"/>
      </w:pPr>
      <w:r>
        <w:t xml:space="preserve">Détection d'un déséquilibre de cellules (jusqu'à 0,6 V d'écart) limitant le courant de charge à quelques mA malgré un pack non plein.</w:t>
      </w:r>
    </w:p>
    <w:p>
      <w:pPr>
        <w:pStyle w:val="ListParagraph"/>
        <w:numPr>
          <w:ilvl w:val="0"/>
          <w:numId w:val="2"/>
        </w:numPr>
        <w:spacing w:after="80"/>
      </w:pPr>
      <w:r>
        <w:t xml:space="preserve">Tri et réassemblage des cellules (écart réduit à 0,16 V puis 0,05 V) : reprise d'une charge normale, décroissance progressive du courant en fin de charge.</w:t>
      </w:r>
    </w:p>
    <w:p>
      <w:pPr>
        <w:pStyle w:val="ListParagraph"/>
        <w:numPr>
          <w:ilvl w:val="0"/>
          <w:numId w:val="2"/>
        </w:numPr>
        <w:spacing w:after="80"/>
      </w:pPr>
      <w:r>
        <w:t xml:space="preserve">Incident CH1 "sortie ouverte" résolu par débranchement/rebranchement du pack.</w:t>
      </w:r>
    </w:p>
    <w:p>
      <w:pPr>
        <w:pStyle w:val="ListParagraph"/>
        <w:numPr>
          <w:ilvl w:val="0"/>
          <w:numId w:val="2"/>
        </w:numPr>
        <w:spacing w:after="80"/>
      </w:pPr>
      <w:r>
        <w:t xml:space="preserve">Réglage final retenu : DC1 à 13,5 V en sortie (source : panneau solaire, jamais une alimentation &lt; 15 V).</w:t>
      </w:r>
    </w:p>
    <w:p>
      <w:pPr>
        <w:pStyle w:val="Heading1"/>
        <w:spacing w:after="160" w:before="360"/>
      </w:pPr>
      <w:r>
        <w:t xml:space="preserve">7. Suivi logiciel — classes créées (firmware)</w:t>
      </w:r>
    </w:p>
    <w:p>
      <w:pPr>
        <w:spacing w:after="120"/>
      </w:pPr>
      <w:r>
        <w:t xml:space="preserve">Les classes suivantes ont été ajoutées à lib/ du firmware BoitierCommandeArrosage, dans l'esprit des conventions du projet, en vue d'une intégration dans BoitierPilotageArrosage :</w:t>
      </w:r>
    </w:p>
    <w:p>
      <w:pPr>
        <w:spacing w:after="100"/>
      </w:pPr>
      <w:r>
        <w:rPr>
          <w:b/>
          <w:bCs/>
        </w:rPr>
        <w:t xml:space="preserve">MesureBatteries — </w:t>
      </w:r>
      <w:r>
        <w:t xml:space="preserve">encapsule l'INA219 (tension, courant, puissance, pourcentage estimé, détection charge/décharge). </w:t>
      </w:r>
      <w:r>
        <w:rPr>
          <w:b/>
          <w:bCs/>
          <w:color w:val="2E7D32"/>
        </w:rPr>
        <w:t xml:space="preserve">Validée sur matériel.</w:t>
      </w:r>
    </w:p>
    <w:p>
      <w:pPr>
        <w:spacing w:after="100"/>
      </w:pPr>
      <w:r>
        <w:rPr>
          <w:b/>
          <w:bCs/>
        </w:rPr>
        <w:t xml:space="preserve">BoutonPoussoir — </w:t>
      </w:r>
      <w:r>
        <w:t xml:space="preserve">lecture anti-rebond générique, compatible GPIO34-39 (sans tirage interne). </w:t>
      </w:r>
      <w:r>
        <w:rPr>
          <w:b/>
          <w:bCs/>
          <w:color w:val="2E7D32"/>
        </w:rPr>
        <w:t xml:space="preserve">Validée sur matériel (BP2).</w:t>
      </w:r>
    </w:p>
    <w:p>
      <w:pPr>
        <w:spacing w:after="160"/>
      </w:pPr>
      <w:r>
        <w:rPr>
          <w:b/>
          <w:bCs/>
        </w:rPr>
        <w:t xml:space="preserve">CommutateurAlimentation — </w:t>
      </w:r>
      <w:r>
        <w:t xml:space="preserve">pilotage logiciel de Q1 via GPIO13. </w:t>
      </w:r>
      <w:r>
        <w:rPr>
          <w:b/>
          <w:bCs/>
          <w:color w:val="B45309"/>
        </w:rPr>
        <w:t xml:space="preserve">Devenue obsolète suite à la décision du §5.1 (Q1 fixé matériellement) — à retirer du dépôt ou à documenter explicitement comme non utilisée.</w:t>
      </w:r>
    </w:p>
    <w:p>
      <w:pPr>
        <w:spacing w:after="120"/>
      </w:pPr>
      <w:r>
        <w:t xml:space="preserve">Programmes de test associés : test_MesureBatteries (test matériel interactif, port série) et test_batterie_oled_main (affichage OLED 15 s + deep sleep, réveil sur BP2), tous deux fonctionnels.</w:t>
      </w:r>
    </w:p>
    <w:p>
      <w:pPr>
        <w:pStyle w:val="Heading1"/>
        <w:spacing w:after="160" w:before="360"/>
      </w:pPr>
      <w:r>
        <w:t xml:space="preserve">8. Points ouverts / actions restantes</w:t>
      </w:r>
    </w:p>
    <w:p>
      <w:pPr>
        <w:pStyle w:val="ListParagraph"/>
        <w:numPr>
          <w:ilvl w:val="0"/>
          <w:numId w:val="2"/>
        </w:numPr>
        <w:spacing w:after="80"/>
      </w:pPr>
      <w:r>
        <w:t xml:space="preserve">Câbler le module LM2596 dédié aux vannes (9 V), en parallèle de DC2, avec réglage à vide avant connexion au L298.</w:t>
      </w:r>
    </w:p>
    <w:p>
      <w:pPr>
        <w:pStyle w:val="ListParagraph"/>
        <w:numPr>
          <w:ilvl w:val="0"/>
          <w:numId w:val="2"/>
        </w:numPr>
        <w:spacing w:after="80"/>
      </w:pPr>
      <w:r>
        <w:t xml:space="preserve">Vérifier la stabilité de la tension 9 V pendant l'appel de courant réel (1200 mA) ; ajouter un condensateur de sortie si besoin.</w:t>
      </w:r>
    </w:p>
    <w:p>
      <w:pPr>
        <w:pStyle w:val="ListParagraph"/>
        <w:numPr>
          <w:ilvl w:val="0"/>
          <w:numId w:val="2"/>
        </w:numPr>
        <w:spacing w:after="80"/>
      </w:pPr>
      <w:r>
        <w:t xml:space="preserve">Retirer (ou documenter comme inutilisée) la classe CommutateurAlimentation, Q1 restant piloté matériellement.</w:t>
      </w:r>
    </w:p>
    <w:p>
      <w:pPr>
        <w:pStyle w:val="ListParagraph"/>
        <w:numPr>
          <w:ilvl w:val="0"/>
          <w:numId w:val="2"/>
        </w:numPr>
        <w:spacing w:after="80"/>
      </w:pPr>
      <w:r>
        <w:t xml:space="preserve">Concevoir la logique de protection gel au niveau firmware (lecture température DS3231, seuil avec hystérésis, séquence de purge + arrêt complet).</w:t>
      </w:r>
    </w:p>
    <w:p>
      <w:pPr>
        <w:pStyle w:val="ListParagraph"/>
        <w:numPr>
          <w:ilvl w:val="0"/>
          <w:numId w:val="2"/>
        </w:numPr>
        <w:spacing w:after="80"/>
      </w:pPr>
      <w:r>
        <w:t xml:space="preserve">Mesurer la consommation réelle du firmware principal sur 24 h une fois l'intégration terminée, pour chiffrer précisément l'autonomie par temps couvert prolongé.</w:t>
      </w:r>
    </w:p>
    <w:p>
      <w:pPr>
        <w:pStyle w:val="ListParagraph"/>
        <w:numPr>
          <w:ilvl w:val="0"/>
          <w:numId w:val="2"/>
        </w:numPr>
        <w:spacing w:after="80"/>
      </w:pPr>
      <w:r>
        <w:t xml:space="preserve">Poursuivre la surveillance de l'équilibrage des cellules sur plusieurs cycles de charge complets.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2026-07-24T13:59:53.509Z</dcterms:created>
  <dcterms:modified xsi:type="dcterms:W3CDTF">2026-07-24T13:59:53.524Z</dcterms:modified>
</cp:coreProperties>
</file>

<file path=docProps/custom.xml><?xml version="1.0" encoding="utf-8"?>
<Properties xmlns="http://schemas.openxmlformats.org/officeDocument/2006/custom-properties" xmlns:vt="http://schemas.openxmlformats.org/officeDocument/2006/docPropsVTypes"/>
</file>