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jc w:val="center"/>
      </w:pPr>
      <w:r>
        <w:rPr>
          <w:rFonts w:ascii="Calibri" w:cs="Calibri" w:eastAsia="Calibri" w:hAnsi="Calibri"/>
          <w:b/>
          <w:bCs/>
          <w:color w:val="1F497D"/>
          <w:sz w:val="36"/>
          <w:szCs w:val="36"/>
        </w:rPr>
        <w:t xml:space="preserve">DOSSIER COMMUN</w:t>
      </w:r>
    </w:p>
    <w:p>
      <w:pPr>
        <w:spacing w:after="40"/>
        <w:jc w:val="center"/>
      </w:pPr>
      <w:r>
        <w:rPr>
          <w:rFonts w:ascii="Calibri" w:cs="Calibri" w:eastAsia="Calibri" w:hAnsi="Calibri"/>
          <w:b/>
          <w:bCs/>
          <w:color w:val="2E75B6"/>
          <w:sz w:val="28"/>
          <w:szCs w:val="28"/>
        </w:rPr>
        <w:t xml:space="preserve">Programmateur d'arrosage autonome</w:t>
      </w:r>
    </w:p>
    <w:p>
      <w:pPr>
        <w:spacing w:after="40"/>
        <w:jc w:val="center"/>
      </w:pPr>
      <w:r>
        <w:rPr>
          <w:rFonts w:ascii="Calibri" w:cs="Calibri" w:eastAsia="Calibri" w:hAnsi="Calibri"/>
          <w:color w:val="555555"/>
          <w:sz w:val="20"/>
          <w:szCs w:val="20"/>
        </w:rPr>
        <w:t xml:space="preserve">BTS CIEL — Option IR — Projet TW2 — Session 2025</w:t>
      </w:r>
    </w:p>
    <w:p>
      <w:pPr>
        <w:spacing w:after="200"/>
        <w:jc w:val="center"/>
      </w:pPr>
      <w:r>
        <w:rPr>
          <w:rFonts w:ascii="Calibri" w:cs="Calibri" w:eastAsia="Calibri" w:hAnsi="Calibri"/>
          <w:i/>
          <w:iCs/>
          <w:color w:val="555555"/>
          <w:sz w:val="20"/>
          <w:szCs w:val="20"/>
        </w:rPr>
        <w:t xml:space="preserve">Lycée Touchard-Washington — Le Mans</w:t>
      </w:r>
    </w:p>
    <w:p>
      <w:pPr>
        <w:pBdr>
          <w:bottom w:val="single" w:color="2E75B6" w:sz="4"/>
        </w:pBdr>
        <w:spacing w:after="60" w:before="60"/>
      </w:pPr>
      <w:r>
        <w:t xml:space="preserve"/>
      </w:r>
    </w:p>
    <w:p>
      <w:pPr>
        <w:spacing w:after="80"/>
      </w:pPr>
      <w:r>
        <w:t xml:space="preserve"/>
      </w:r>
    </w:p>
    <w:p>
      <w:pPr>
        <w:pStyle w:val="Heading1"/>
        <w:spacing w:after="120" w:before="360"/>
      </w:pPr>
      <w:r>
        <w:rPr>
          <w:rFonts w:ascii="Calibri" w:cs="Calibri" w:eastAsia="Calibri" w:hAnsi="Calibri"/>
          <w:b/>
          <w:bCs/>
          <w:color w:val="1F497D"/>
          <w:sz w:val="26"/>
          <w:szCs w:val="26"/>
        </w:rPr>
        <w:t xml:space="preserve">1 – Présentation du projet</w:t>
      </w:r>
    </w:p>
    <w:p>
      <w:pPr>
        <w:spacing w:after="120"/>
        <w:jc w:val="both"/>
      </w:pPr>
      <w:r>
        <w:rPr>
          <w:rFonts w:ascii="Calibri" w:cs="Calibri" w:eastAsia="Calibri" w:hAnsi="Calibri"/>
          <w:b w:val="false"/>
          <w:bCs w:val="false"/>
          <w:i w:val="false"/>
          <w:iCs w:val="false"/>
          <w:color w:val="000000"/>
          <w:sz w:val="20"/>
          <w:szCs w:val="20"/>
        </w:rPr>
        <w:t xml:space="preserve">Le projet consiste à concevoir et réaliser un système autonome de gestion de l'arrosage de jardins ou de cultures sous serre. Le système pilote quatre électrovannes bistables (Antelco eZyvalve 4 — 9 Vdc) réparties sur autant de zones indépendantes. L'utilisateur peut programmer les cycles d'arrosage de chaque zone (heure de début, durée, fréquence) depuis une application mobile, ou agir manuellement sur chaque vanne à tout moment.</w:t>
      </w:r>
    </w:p>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L'ensemble du système fonctionne sans alimentation secteur : un panneau solaire de 100 W recharge en permanence un pack de batteries 3S 18650 qui alimente le boîtier. La communication entre le boîtier et le smartphone s'effectue en Wi-Fi via un protocole WebSocket, soit en mode point d'accès autonome (SSID ArrosageAP), soit via une box internet existante.</w:t>
      </w:r>
    </w:p>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Le projet mobilise quatre étudiants dont les périmètres couvrent respectivement le firmware embarqué et le pilotage des vannes (Étudiant 1), l'application mobile Qt/QML (Étudiant 2), la couche de communication WebSocket et le protocole JSON (Étudiant 3), et la chaîne d'alimentation solaire avec la surveillance de la batterie (Étudiant 4).</w:t>
      </w:r>
    </w:p>
    <w:p>
      <w:r>
        <w:br w:type="page"/>
      </w:r>
    </w:p>
    <w:p>
      <w:pPr>
        <w:pStyle w:val="Heading1"/>
        <w:spacing w:after="120" w:before="360"/>
      </w:pPr>
      <w:r>
        <w:rPr>
          <w:rFonts w:ascii="Calibri" w:cs="Calibri" w:eastAsia="Calibri" w:hAnsi="Calibri"/>
          <w:b/>
          <w:bCs/>
          <w:color w:val="1F497D"/>
          <w:sz w:val="26"/>
          <w:szCs w:val="26"/>
        </w:rPr>
        <w:t xml:space="preserve">2 – Analyse des besoins</w:t>
      </w:r>
    </w:p>
    <w:p>
      <w:pPr>
        <w:pStyle w:val="Heading2"/>
        <w:spacing w:after="80" w:before="240"/>
      </w:pPr>
      <w:r>
        <w:rPr>
          <w:rFonts w:ascii="Calibri" w:cs="Calibri" w:eastAsia="Calibri" w:hAnsi="Calibri"/>
          <w:b/>
          <w:bCs/>
          <w:color w:val="2E75B6"/>
          <w:sz w:val="22"/>
          <w:szCs w:val="22"/>
        </w:rPr>
        <w:t xml:space="preserve">2.1 – Entrées et sorties physiques du boîtier</w:t>
      </w:r>
    </w:p>
    <w:p>
      <w:pPr>
        <w:spacing w:after="120"/>
        <w:jc w:val="both"/>
      </w:pPr>
      <w:r>
        <w:rPr>
          <w:rFonts w:ascii="Calibri" w:cs="Calibri" w:eastAsia="Calibri" w:hAnsi="Calibri"/>
          <w:b w:val="false"/>
          <w:bCs w:val="false"/>
          <w:i w:val="false"/>
          <w:iCs w:val="false"/>
          <w:color w:val="000000"/>
          <w:sz w:val="20"/>
          <w:szCs w:val="20"/>
        </w:rPr>
        <w:t xml:space="preserve">Le tableau suivant recense l'ensemble des signaux physiques et logiques du microcontrôleur ESP32 (carte LOLIN32). Il constitue la base de la conception matérielle et la référence pour le câblage entre les étudiants 1 et 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2160"/>
        <w:gridCol w:w="2160"/>
      </w:tblGrid>
      <w:tr>
        <w:tc>
          <w:tcPr>
            <w:tcW w:type="dxa" w:w="14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GPIO</w:t>
            </w:r>
          </w:p>
        </w:tc>
        <w:tc>
          <w:tcPr>
            <w:tcW w:type="dxa" w:w="14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Direction</w:t>
            </w:r>
          </w:p>
        </w:tc>
        <w:tc>
          <w:tcPr>
            <w:tcW w:type="dxa" w:w="216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Signal / Bus</w:t>
            </w:r>
          </w:p>
        </w:tc>
        <w:tc>
          <w:tcPr>
            <w:tcW w:type="dxa" w:w="216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Composant</w:t>
            </w:r>
          </w:p>
        </w:tc>
        <w:tc>
          <w:tcPr>
            <w:tcW w:type="dxa" w:w="216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Rôle</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GPIO 21</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Sortie</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I2C — SDA</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DS3231, INA219, SSD1306</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Bus de données I²C</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GPIO 22</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Sortie</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I2C — SCL</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DS3231, INA219, SSD1306</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Bus d'horloge I²C</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GPIO 27</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Entrée</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IRQ RTC</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DS3231</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Réveil deep sleep sur alarme</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GPIO 36</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Entrée</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BP1 (sans pull-up)</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Bouton-poussoir</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Réveil deep/light sleep manuel</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GPIO 5 / 17 / 16 / 4</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Sortie</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SEL V1…V4</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L298 — pont en H</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Sélection de la vanne active</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GPIO 2 / 15</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Sortie</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INA / INB</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L298 — pont en H</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Sens de l'impulsion (ouverture / fermeture)</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(interne)</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Entrée/Sortie</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Wi-Fi 802.11 b/g/n</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Smartphone (App Qt)</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Communication WebSocket port 5000</w:t>
            </w:r>
          </w:p>
        </w:tc>
      </w:tr>
    </w:tbl>
    <w:p>
      <w:pPr>
        <w:spacing w:after="80"/>
      </w:pPr>
      <w:r>
        <w:t xml:space="preserve"/>
      </w:r>
    </w:p>
    <w:p>
      <w:pPr>
        <w:spacing w:after="120"/>
        <w:jc w:val="both"/>
      </w:pPr>
      <w:r>
        <w:rPr>
          <w:rFonts w:ascii="Calibri" w:cs="Calibri" w:eastAsia="Calibri" w:hAnsi="Calibri"/>
          <w:b w:val="false"/>
          <w:bCs w:val="false"/>
          <w:i/>
          <w:iCs/>
          <w:color w:val="555555"/>
          <w:sz w:val="18"/>
          <w:szCs w:val="18"/>
        </w:rPr>
        <w:t xml:space="preserve">Note : GPIO 21 (SDA) et GPIO 22 (SCL) sont communs aux trois périphériques I²C. Les broches GPIO 34 à 39 de la LOLIN32 ne disposent pas de résistance de tirage interne (entrées seules) — le bouton-poussoir BP1 sur GPIO 36 nécessite donc un montage avec résistance externe.</w:t>
      </w:r>
    </w:p>
    <w:p>
      <w:pPr>
        <w:pStyle w:val="Heading2"/>
        <w:spacing w:after="80" w:before="240"/>
      </w:pPr>
      <w:r>
        <w:rPr>
          <w:rFonts w:ascii="Calibri" w:cs="Calibri" w:eastAsia="Calibri" w:hAnsi="Calibri"/>
          <w:b/>
          <w:bCs/>
          <w:color w:val="2E75B6"/>
          <w:sz w:val="22"/>
          <w:szCs w:val="22"/>
        </w:rPr>
        <w:t xml:space="preserve">2.2 – Description des cas d'utilisation et répartition par étudiant</w:t>
      </w:r>
    </w:p>
    <w:p>
      <w:pPr>
        <w:pStyle w:val="Heading3"/>
        <w:spacing w:after="60" w:before="160"/>
      </w:pPr>
      <w:r>
        <w:rPr>
          <w:rFonts w:ascii="Calibri" w:cs="Calibri" w:eastAsia="Calibri" w:hAnsi="Calibri"/>
          <w:b/>
          <w:bCs/>
          <w:color w:val="2E75B6"/>
          <w:sz w:val="20"/>
          <w:szCs w:val="20"/>
        </w:rPr>
        <w:t xml:space="preserve">Boîtier de pilotage (firmware ESP32)</w:t>
      </w:r>
    </w:p>
    <w:p>
      <w:pPr>
        <w:spacing w:after="120"/>
        <w:jc w:val="both"/>
      </w:pPr>
      <w:r>
        <w:rPr>
          <w:rFonts w:ascii="Calibri" w:cs="Calibri" w:eastAsia="Calibri" w:hAnsi="Calibri"/>
          <w:b w:val="false"/>
          <w:bCs w:val="false"/>
          <w:i w:val="false"/>
          <w:iCs w:val="false"/>
          <w:color w:val="000000"/>
          <w:sz w:val="20"/>
          <w:szCs w:val="20"/>
        </w:rPr>
        <w:t xml:space="preserve">Gérer les cycles d'arrosage (Étudiant 1) : le firmware calcule la prochaine alarme RTC à partir de la programmation stockée en mémoire flash, programme le DS3231, puis entre en deep sleep. Au réveil sur alarme, il restaure l'état des vannes et exécute l'ouverture ou la fermeture programmée. Un mécanisme de sécurité ferme automatiquement toute vanne restée ouverte en cas de coupure d'alimentation.</w:t>
      </w:r>
    </w:p>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Piloter les électrovannes (Étudiant 1) : chaque vanne bistable est commandée par une impulsion de courte durée (≈ 500 ms) via le pont en H L298. L'ouverture et la fermeture correspondent à deux impulsions de polarité inversée. L'état logique de chaque vanne est conservé en mémoire flash (NVS) pour être restauré après un redémarrage.</w:t>
      </w:r>
    </w:p>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Surveiller et afficher l'état de charge de la batterie (Étudiant 4) : le composant INA219 mesure en continu la tension et le courant du pack batterie. Le niveau de charge est calculé en pourcentage et transmis à l'application mobile lors de chaque état système. Une alerte est déclenchée si le niveau descend sous un seuil critique.</w:t>
      </w:r>
    </w:p>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Synchroniser heure et état du système (Étudiant 3) : à chaque connexion d'un client, le boîtier reçoit l'heure courante du smartphone et met à jour le RTC DS3231. Il envoie en retour l'état complet du système (état et programmation des 4 vannes, heure courante, niveau de batterie). Les échanges suivants sont gérés par notifications spontanées.</w:t>
      </w:r>
    </w:p>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Visualiser l'état du système / Interface boîtier (Étudiant 1) : l'écran OLED SSD1306 affiche en permanence le mode Wi-Fi, l'adresse IP, l'état de connexion d'un client, l'état des quatre vannes et l'heure courante.</w:t>
      </w:r>
    </w:p>
    <w:p>
      <w:pPr>
        <w:pStyle w:val="Heading3"/>
        <w:spacing w:after="60" w:before="160"/>
      </w:pPr>
      <w:r>
        <w:rPr>
          <w:rFonts w:ascii="Calibri" w:cs="Calibri" w:eastAsia="Calibri" w:hAnsi="Calibri"/>
          <w:b/>
          <w:bCs/>
          <w:color w:val="2E75B6"/>
          <w:sz w:val="20"/>
          <w:szCs w:val="20"/>
        </w:rPr>
        <w:t xml:space="preserve">Contrôleur d'arrosage (application Qt)</w:t>
      </w:r>
    </w:p>
    <w:p>
      <w:pPr>
        <w:spacing w:after="120"/>
        <w:jc w:val="both"/>
      </w:pPr>
      <w:r>
        <w:rPr>
          <w:rFonts w:ascii="Calibri" w:cs="Calibri" w:eastAsia="Calibri" w:hAnsi="Calibri"/>
          <w:b w:val="false"/>
          <w:bCs w:val="false"/>
          <w:i w:val="false"/>
          <w:iCs w:val="false"/>
          <w:color w:val="000000"/>
          <w:sz w:val="20"/>
          <w:szCs w:val="20"/>
        </w:rPr>
        <w:t xml:space="preserve">Programmer les cycles d'arrosage par zone (Étudiant 2) : l'interface permet de configurer pour chaque vanne une heure de début, une durée en minutes et une périodicité en heures. Ces paramètres sont envoyés au boîtier via WebSocket et stockés en flash sur l'ESP32.</w:t>
      </w:r>
    </w:p>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Piloter les vannes manuellement depuis l'application (Étudiant 2) : un appui sur le bouton d'une vanne envoie une commande d'ouverture ou de fermeture immédiate au boîtier. Le mode de la vanne passe automatiquement en manuel, suspendant la programmation en cours.</w:t>
      </w:r>
    </w:p>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Paramétrer et configurer le système (Étudiant 2) : l'écran de configuration permet de saisir l'adresse IP et le port du boîtier. La connexion WebSocket est établie sur validation. L'heure du smartphone est automatiquement synchronisée à la connexion.</w:t>
      </w:r>
    </w:p>
    <w:p>
      <w:r>
        <w:br w:type="page"/>
      </w:r>
    </w:p>
    <w:p>
      <w:pPr>
        <w:pStyle w:val="Heading1"/>
        <w:spacing w:after="120" w:before="360"/>
      </w:pPr>
      <w:r>
        <w:rPr>
          <w:rFonts w:ascii="Calibri" w:cs="Calibri" w:eastAsia="Calibri" w:hAnsi="Calibri"/>
          <w:b/>
          <w:bCs/>
          <w:color w:val="1F497D"/>
          <w:sz w:val="26"/>
          <w:szCs w:val="26"/>
        </w:rPr>
        <w:t xml:space="preserve">3 – Architecture du système</w:t>
      </w:r>
    </w:p>
    <w:p>
      <w:pPr>
        <w:pStyle w:val="Heading2"/>
        <w:spacing w:after="80" w:before="240"/>
      </w:pPr>
      <w:r>
        <w:rPr>
          <w:rFonts w:ascii="Calibri" w:cs="Calibri" w:eastAsia="Calibri" w:hAnsi="Calibri"/>
          <w:b/>
          <w:bCs/>
          <w:color w:val="2E75B6"/>
          <w:sz w:val="22"/>
          <w:szCs w:val="22"/>
        </w:rPr>
        <w:t xml:space="preserve">3.1 – Diagramme de déploiement</w:t>
      </w:r>
    </w:p>
    <w:p>
      <w:pPr>
        <w:spacing w:after="120"/>
        <w:jc w:val="both"/>
      </w:pPr>
      <w:r>
        <w:rPr>
          <w:rFonts w:ascii="Calibri" w:cs="Calibri" w:eastAsia="Calibri" w:hAnsi="Calibri"/>
          <w:b w:val="false"/>
          <w:bCs w:val="false"/>
          <w:i w:val="false"/>
          <w:iCs w:val="false"/>
          <w:color w:val="000000"/>
          <w:sz w:val="20"/>
          <w:szCs w:val="20"/>
        </w:rPr>
        <w:t xml:space="preserve">Le diagramme de déploiement ci-dessous (Figure 1) présente les deux nœuds physiques du système et leurs connexions. Il sera à insérer depuis Modelio.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EF3FB" w:color="auto" w:val="clear"/>
            <w:tcMar>
              <w:top w:type="dxa" w:w="170"/>
              <w:left w:type="dxa" w:w="170"/>
              <w:bottom w:type="dxa" w:w="170"/>
              <w:right w:type="dxa" w:w="170"/>
            </w:tcMar>
          </w:tcPr>
          <w:p>
            <w:pPr>
              <w:spacing w:after="1701" w:before="1701"/>
              <w:jc w:val="center"/>
            </w:pPr>
            <w:r>
              <w:rPr>
                <w:rFonts w:ascii="Calibri" w:cs="Calibri" w:eastAsia="Calibri" w:hAnsi="Calibri"/>
                <w:i/>
                <w:iCs/>
                <w:color w:val="2E75B6"/>
                <w:sz w:val="20"/>
                <w:szCs w:val="20"/>
              </w:rPr>
              <w:t xml:space="preserve">[Figure 1 — Diagramme de déploiement à insérer]</w:t>
            </w:r>
          </w:p>
        </w:tc>
      </w:tr>
    </w:tbl>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Le nœud « Boîtier ESP32 LOLIN32 » héberge le firmware PlatformIO (C++/Arduino). Il embarque les bibliothèques Vanne, GestionnaireTemps, AfficheurOLED, StockageProgrammationVannes, StockageEtatVannes, MesureBatteries, ServeurWebSocket et ProtocoleArrosageServeur. Les connexions matérielles I²C relient le DS3231, l'INA219 et le SSD1306 sur les broches GPIO 21 (SDA) et GPIO 22 (SCL). Le pont en H L298 est piloté par les GPIO 2, 4, 5, 15, 16 et 17. La communication Wi-Fi (WebSocket, port 5000) relie le boîtier au smartphone.</w:t>
      </w:r>
    </w:p>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Le nœud « Smartphone Android » héberge l'application Qt/QML compilée avec Qt Creator. Elle contient les classes ControleurArrosage, Vanne (Qt), CommunicationESP32 et ArrosageProtocole, ainsi que les vues QML (PageAccueil, PageProgrammation, PageConfiguration).</w:t>
      </w:r>
    </w:p>
    <w:p>
      <w:pPr>
        <w:pStyle w:val="Heading2"/>
        <w:spacing w:after="80" w:before="240"/>
      </w:pPr>
      <w:r>
        <w:rPr>
          <w:rFonts w:ascii="Calibri" w:cs="Calibri" w:eastAsia="Calibri" w:hAnsi="Calibri"/>
          <w:b/>
          <w:bCs/>
          <w:color w:val="2E75B6"/>
          <w:sz w:val="22"/>
          <w:szCs w:val="22"/>
        </w:rPr>
        <w:t xml:space="preserve">3.2 – Modules du firmware (boîtier)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Module / Bibliothèque</w:t>
            </w:r>
          </w:p>
        </w:tc>
        <w:tc>
          <w:tcPr>
            <w:tcW w:type="dxa" w:w="23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Responsable</w:t>
            </w:r>
          </w:p>
        </w:tc>
        <w:tc>
          <w:tcPr>
            <w:tcW w:type="dxa" w:w="468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Rôle</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BoitierPilotageArrosage</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1</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Automate principal (8 états) — orchestre tous les composants</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Vanne</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1</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Pilotage bistable via pont en H L298 — gestion des impulsions</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AfficheurOLED</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1</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Affichage heure, IP, état Wi-Fi, état des 4 vannes (SSD1306)</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GestionnaireTemps</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1</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Lecture / écriture RTC DS3231, calcul alarmes, planification des cycles</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StockageProgrammationVannes</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1</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Persistance NVS (flash) — mode, heure, durée, fréquence par vanne</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StockageEtatVannes</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1</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Persistance NVS — état ouvert/fermé, horodatage d'ouverture, détection timeout</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MesureBatteries (INA219)</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4</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Mesure tension et courant batterie — alerte niveau bas</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ServeurWebSocket</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3</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Serveur AsyncWebSocket (port 5000) — modes AP et STA — gestion client unique</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ProtocoleArrosageServeur</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3</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Encodage / décodage des trames JSON du protocole v1</w:t>
            </w:r>
          </w:p>
        </w:tc>
      </w:tr>
    </w:tbl>
    <w:p>
      <w:pPr>
        <w:pStyle w:val="Heading2"/>
        <w:spacing w:after="80" w:before="240"/>
      </w:pPr>
      <w:r>
        <w:rPr>
          <w:rFonts w:ascii="Calibri" w:cs="Calibri" w:eastAsia="Calibri" w:hAnsi="Calibri"/>
          <w:b/>
          <w:bCs/>
          <w:color w:val="2E75B6"/>
          <w:sz w:val="22"/>
          <w:szCs w:val="22"/>
        </w:rPr>
        <w:t xml:space="preserve">3.3 – Modules de l'application Qt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Classe / Fichier QML</w:t>
            </w:r>
          </w:p>
        </w:tc>
        <w:tc>
          <w:tcPr>
            <w:tcW w:type="dxa" w:w="23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Responsable</w:t>
            </w:r>
          </w:p>
        </w:tc>
        <w:tc>
          <w:tcPr>
            <w:tcW w:type="dxa" w:w="468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Rôle</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ControleurArrosage</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2</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Orchestrateur Qt (QAbstractListModel) — modèle de données pour QML</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Vanne (Qt)</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2</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Objet métier côté application — état, mode, programmation</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PageAccueil / PageProgrammation / PageConfiguration (QML)</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2</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Interfaces utilisateur — commande manuelle, programmation par zone, configuration IP</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CommunicationESP32</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3</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Client WebSocket Qt — connexion, envoi/réception des trames, signaux Qt</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ArrosageProtocole (Qt)</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3</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Miroir Qt du protocole JSON — encodage des commandes, décodage des réponses</w:t>
            </w:r>
          </w:p>
        </w:tc>
      </w:tr>
    </w:tbl>
    <w:p>
      <w:r>
        <w:br w:type="page"/>
      </w:r>
    </w:p>
    <w:p>
      <w:pPr>
        <w:pStyle w:val="Heading1"/>
        <w:spacing w:after="120" w:before="360"/>
      </w:pPr>
      <w:r>
        <w:rPr>
          <w:rFonts w:ascii="Calibri" w:cs="Calibri" w:eastAsia="Calibri" w:hAnsi="Calibri"/>
          <w:b/>
          <w:bCs/>
          <w:color w:val="1F497D"/>
          <w:sz w:val="26"/>
          <w:szCs w:val="26"/>
        </w:rPr>
        <w:t xml:space="preserve">4 – Besoins de communication inter-modules</w:t>
      </w:r>
    </w:p>
    <w:p>
      <w:pPr>
        <w:spacing w:after="120"/>
        <w:jc w:val="both"/>
      </w:pPr>
      <w:r>
        <w:rPr>
          <w:rFonts w:ascii="Calibri" w:cs="Calibri" w:eastAsia="Calibri" w:hAnsi="Calibri"/>
          <w:b w:val="false"/>
          <w:bCs w:val="false"/>
          <w:i w:val="false"/>
          <w:iCs w:val="false"/>
          <w:color w:val="000000"/>
          <w:sz w:val="20"/>
          <w:szCs w:val="20"/>
        </w:rPr>
        <w:t xml:space="preserve">Cette section définit les échanges nécessaires entre les modules développés par les différents étudiants. Elle fixe le contrat d'interface que chaque étudiant doit respecter pour permettre l'intégration. La définition détaillée du protocole JSON (format des trames, codes de commande, gestion des erreurs) est traitée dans le dossier individuel de l'Étudiant 3.</w:t>
      </w:r>
    </w:p>
    <w:p>
      <w:pPr>
        <w:spacing w:after="80"/>
      </w:pPr>
      <w:r>
        <w:t xml:space="preserve"/>
      </w:r>
    </w:p>
    <w:p>
      <w:pPr>
        <w:pStyle w:val="Heading2"/>
        <w:spacing w:after="80" w:before="240"/>
      </w:pPr>
      <w:r>
        <w:rPr>
          <w:rFonts w:ascii="Calibri" w:cs="Calibri" w:eastAsia="Calibri" w:hAnsi="Calibri"/>
          <w:b/>
          <w:bCs/>
          <w:color w:val="2E75B6"/>
          <w:sz w:val="22"/>
          <w:szCs w:val="22"/>
        </w:rPr>
        <w:t xml:space="preserve">4.1 – Tableau des échanges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Déclencheur</w:t>
            </w:r>
          </w:p>
        </w:tc>
        <w:tc>
          <w:tcPr>
            <w:tcW w:type="dxa" w:w="23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Émetteur</w:t>
            </w:r>
          </w:p>
        </w:tc>
        <w:tc>
          <w:tcPr>
            <w:tcW w:type="dxa" w:w="23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Destinataire</w:t>
            </w:r>
          </w:p>
        </w:tc>
        <w:tc>
          <w:tcPr>
            <w:tcW w:type="dxa" w:w="312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Données échangées</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Connexion</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App Qt (Étudiant 2/3)</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Boîtier ESP32 (Étudiant 3)</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Heure système du smartphone → synchronisation RTC</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Connexion</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Boîtier ESP32 (Étudiant 3)</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App Qt (Étudiant 2)</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État complet du système : état des 4 vannes, mode, programmation, heure</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Action utilisateur</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App Qt (Étudiant 2)</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Boîtier ESP32 (Étudiant 1)</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Commande d'ouverture / fermeture d'une vanne (id vanne)</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Action utilisateur</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App Qt (Étudiant 2)</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Boîtier ESP32 (Étudiant 1)</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Programmation d'une vanne : heure début, durée (min), fréquence (h)</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Événement boîtier</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Boîtier ESP32 (Étudiant 1)</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App Qt (Étudiant 2)</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Notification spontanée : changement d'état vanne, entrée en veille</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Déconnexion</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Boîtier ESP32 (Étudiant 3)</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App Qt (Étudiant 2)</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Notification de mise en veille (avant deep sleep)</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Surveillance</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Boîtier ESP32 (Étudiant 4)</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App Qt (Étudiant 2)</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Niveau de batterie (%) inclus dans l'état système</w:t>
            </w:r>
          </w:p>
        </w:tc>
      </w:tr>
    </w:tbl>
    <w:p>
      <w:pPr>
        <w:spacing w:after="80"/>
      </w:pPr>
      <w:r>
        <w:t xml:space="preserve"/>
      </w:r>
    </w:p>
    <w:p>
      <w:pPr>
        <w:pStyle w:val="Heading2"/>
        <w:spacing w:after="80" w:before="240"/>
      </w:pPr>
      <w:r>
        <w:rPr>
          <w:rFonts w:ascii="Calibri" w:cs="Calibri" w:eastAsia="Calibri" w:hAnsi="Calibri"/>
          <w:b/>
          <w:bCs/>
          <w:color w:val="2E75B6"/>
          <w:sz w:val="22"/>
          <w:szCs w:val="22"/>
        </w:rPr>
        <w:t xml:space="preserve">4.2 – Diagramme de séquence — Scénario nominal</w:t>
      </w:r>
    </w:p>
    <w:p>
      <w:pPr>
        <w:spacing w:after="120"/>
        <w:jc w:val="both"/>
      </w:pPr>
      <w:r>
        <w:rPr>
          <w:rFonts w:ascii="Calibri" w:cs="Calibri" w:eastAsia="Calibri" w:hAnsi="Calibri"/>
          <w:b w:val="false"/>
          <w:bCs w:val="false"/>
          <w:i w:val="false"/>
          <w:iCs w:val="false"/>
          <w:color w:val="000000"/>
          <w:sz w:val="20"/>
          <w:szCs w:val="20"/>
        </w:rPr>
        <w:t xml:space="preserve">Le scénario suivant décrit le déroulement nominal d'une session d'utilisation depuis la connexion jusqu'à la déconnexion. Il sera à compléter depuis Modelio.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EF3FB" w:color="auto" w:val="clear"/>
            <w:tcMar>
              <w:top w:type="dxa" w:w="170"/>
              <w:left w:type="dxa" w:w="170"/>
              <w:bottom w:type="dxa" w:w="170"/>
              <w:right w:type="dxa" w:w="170"/>
            </w:tcMar>
          </w:tcPr>
          <w:p>
            <w:pPr>
              <w:spacing w:after="1701" w:before="1701"/>
              <w:jc w:val="center"/>
            </w:pPr>
            <w:r>
              <w:rPr>
                <w:rFonts w:ascii="Calibri" w:cs="Calibri" w:eastAsia="Calibri" w:hAnsi="Calibri"/>
                <w:i/>
                <w:iCs/>
                <w:color w:val="2E75B6"/>
                <w:sz w:val="20"/>
                <w:szCs w:val="20"/>
              </w:rPr>
              <w:t xml:space="preserve">[Figure 2 — Diagramme de séquence à insérer]</w:t>
            </w:r>
          </w:p>
        </w:tc>
      </w:tr>
    </w:tbl>
    <w:p>
      <w:pPr>
        <w:spacing w:after="80"/>
      </w:pPr>
      <w:r>
        <w:t xml:space="preserve"/>
      </w:r>
    </w:p>
    <w:p>
      <w:pPr>
        <w:spacing w:after="120"/>
        <w:jc w:val="both"/>
      </w:pPr>
      <w:r>
        <w:rPr>
          <w:rFonts w:ascii="Calibri" w:cs="Calibri" w:eastAsia="Calibri" w:hAnsi="Calibri"/>
          <w:b w:val="false"/>
          <w:bCs w:val="false"/>
          <w:i w:val="false"/>
          <w:iCs w:val="false"/>
          <w:color w:val="000000"/>
          <w:sz w:val="20"/>
          <w:szCs w:val="20"/>
        </w:rPr>
        <w:t xml:space="preserve">Étapes du scénario nominal :</w:t>
      </w:r>
    </w:p>
    <w:p>
      <w:pPr>
        <w:pStyle w:val="ListParagraph"/>
        <w:numPr>
          <w:ilvl w:val="0"/>
          <w:numId w:val="1"/>
        </w:numPr>
        <w:spacing w:after="60"/>
      </w:pPr>
      <w:r>
        <w:rPr>
          <w:rFonts w:ascii="Calibri" w:cs="Calibri" w:eastAsia="Calibri" w:hAnsi="Calibri"/>
          <w:sz w:val="20"/>
          <w:szCs w:val="20"/>
        </w:rPr>
        <w:t xml:space="preserve">L'utilisateur ouvre l'application et lance la connexion WebSocket vers l'adresse IP du boîtier.</w:t>
      </w:r>
    </w:p>
    <w:p>
      <w:pPr>
        <w:pStyle w:val="ListParagraph"/>
        <w:numPr>
          <w:ilvl w:val="0"/>
          <w:numId w:val="1"/>
        </w:numPr>
        <w:spacing w:after="60"/>
      </w:pPr>
      <w:r>
        <w:rPr>
          <w:rFonts w:ascii="Calibri" w:cs="Calibri" w:eastAsia="Calibri" w:hAnsi="Calibri"/>
          <w:sz w:val="20"/>
          <w:szCs w:val="20"/>
        </w:rPr>
        <w:t xml:space="preserve">L'application envoie l'heure système du smartphone au boîtier (synchronisation RTC).</w:t>
      </w:r>
    </w:p>
    <w:p>
      <w:pPr>
        <w:pStyle w:val="ListParagraph"/>
        <w:numPr>
          <w:ilvl w:val="0"/>
          <w:numId w:val="1"/>
        </w:numPr>
        <w:spacing w:after="60"/>
      </w:pPr>
      <w:r>
        <w:rPr>
          <w:rFonts w:ascii="Calibri" w:cs="Calibri" w:eastAsia="Calibri" w:hAnsi="Calibri"/>
          <w:sz w:val="20"/>
          <w:szCs w:val="20"/>
        </w:rPr>
        <w:t xml:space="preserve">Le boîtier répond avec l'état complet du système (4 vannes, programmation, heure, batterie).</w:t>
      </w:r>
    </w:p>
    <w:p>
      <w:pPr>
        <w:pStyle w:val="ListParagraph"/>
        <w:numPr>
          <w:ilvl w:val="0"/>
          <w:numId w:val="1"/>
        </w:numPr>
        <w:spacing w:after="60"/>
      </w:pPr>
      <w:r>
        <w:rPr>
          <w:rFonts w:ascii="Calibri" w:cs="Calibri" w:eastAsia="Calibri" w:hAnsi="Calibri"/>
          <w:sz w:val="20"/>
          <w:szCs w:val="20"/>
        </w:rPr>
        <w:t xml:space="preserve">L'utilisateur programme une zone (heure de début, durée, fréquence) → commande envoyée, accusé de réception reçu.</w:t>
      </w:r>
    </w:p>
    <w:p>
      <w:pPr>
        <w:pStyle w:val="ListParagraph"/>
        <w:numPr>
          <w:ilvl w:val="0"/>
          <w:numId w:val="1"/>
        </w:numPr>
        <w:spacing w:after="60"/>
      </w:pPr>
      <w:r>
        <w:rPr>
          <w:rFonts w:ascii="Calibri" w:cs="Calibri" w:eastAsia="Calibri" w:hAnsi="Calibri"/>
          <w:sz w:val="20"/>
          <w:szCs w:val="20"/>
        </w:rPr>
        <w:t xml:space="preserve">L'utilisateur commande l'ouverture manuelle d'une vanne → commande envoyée, notification de changement d'état reçue.</w:t>
      </w:r>
    </w:p>
    <w:p>
      <w:pPr>
        <w:pStyle w:val="ListParagraph"/>
        <w:numPr>
          <w:ilvl w:val="0"/>
          <w:numId w:val="1"/>
        </w:numPr>
        <w:spacing w:after="60"/>
      </w:pPr>
      <w:r>
        <w:rPr>
          <w:rFonts w:ascii="Calibri" w:cs="Calibri" w:eastAsia="Calibri" w:hAnsi="Calibri"/>
          <w:sz w:val="20"/>
          <w:szCs w:val="20"/>
        </w:rPr>
        <w:t xml:space="preserve">L'utilisateur ferme l'application → le boîtier envoie une notification de mise en veille, puis entre en deep sleep.</w:t>
      </w:r>
    </w:p>
    <w:p>
      <w:r>
        <w:br w:type="page"/>
      </w:r>
    </w:p>
    <w:p>
      <w:pPr>
        <w:pStyle w:val="Heading1"/>
        <w:spacing w:after="120" w:before="360"/>
      </w:pPr>
      <w:r>
        <w:rPr>
          <w:rFonts w:ascii="Calibri" w:cs="Calibri" w:eastAsia="Calibri" w:hAnsi="Calibri"/>
          <w:b/>
          <w:bCs/>
          <w:color w:val="1F497D"/>
          <w:sz w:val="26"/>
          <w:szCs w:val="26"/>
        </w:rPr>
        <w:t xml:space="preserve">5 – Planification détaillée</w:t>
      </w:r>
    </w:p>
    <w:p>
      <w:pPr>
        <w:spacing w:after="120"/>
        <w:jc w:val="both"/>
      </w:pPr>
      <w:r>
        <w:rPr>
          <w:rFonts w:ascii="Calibri" w:cs="Calibri" w:eastAsia="Calibri" w:hAnsi="Calibri"/>
          <w:b w:val="false"/>
          <w:bCs w:val="false"/>
          <w:i w:val="false"/>
          <w:iCs w:val="false"/>
          <w:color w:val="000000"/>
          <w:sz w:val="20"/>
          <w:szCs w:val="20"/>
        </w:rPr>
        <w:t xml:space="preserve">Le projet se déroule de la semaine 9 (24/02/2025) à la semaine 26 (27/06/2025), soit 150 heures de travaux dirigés et pratiques. Le diagramme de Gantt ci-dessous détaille les tâches de chaque étudiant et fait apparaître les dépendances critiques entre modules.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04"/>
        <w:gridCol w:w="504"/>
        <w:gridCol w:w="504"/>
        <w:gridCol w:w="504"/>
        <w:gridCol w:w="504"/>
        <w:gridCol w:w="756"/>
        <w:gridCol w:w="504"/>
        <w:gridCol w:w="504"/>
        <w:gridCol w:w="504"/>
        <w:gridCol w:w="504"/>
        <w:gridCol w:w="504"/>
        <w:gridCol w:w="504"/>
      </w:tblGrid>
      <w:tr>
        <w:tc>
          <w:tcPr>
            <w:tcW w:type="dxa" w:w="23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Tâche</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S9</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S10</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S11</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S12</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S13</w:t>
            </w:r>
          </w:p>
        </w:tc>
        <w:tc>
          <w:tcPr>
            <w:tcW w:type="dxa" w:w="756"/>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S14-17</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S18</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S19</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S20</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S21</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S22</w:t>
            </w:r>
          </w:p>
        </w:tc>
        <w:tc>
          <w:tcPr>
            <w:tcW w:type="dxa" w:w="504"/>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Livrés</w:t>
            </w:r>
          </w:p>
        </w:tc>
      </w:tr>
      <w:tr>
        <w:tc>
          <w:tcPr>
            <w:gridSpan w:val="13"/>
            <w:shd w:fill="2E75B6"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Jalons communs</w:t>
            </w:r>
          </w:p>
        </w:tc>
      </w:tr>
      <w:tr>
        <w:tc>
          <w:tcPr>
            <w:gridSpan w:val="1"/>
            <w:shd w:fill="F2F2F2"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Analyse besoins &amp; architecture</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F2F2F2"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Revue R1 (validation archi)</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F2F2F2"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Revue R2 (avancement)</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F2F2F2"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Intégration &amp; tests système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F2F2F2"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Revue R3 + remise dossiers</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F2F2F2"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Soutenance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r>
      <w:tr>
        <w:tc>
          <w:tcPr>
            <w:gridSpan w:val="13"/>
            <w:shd w:fill="4472C4"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Étudiant 1 — Firmware / Vannes / OLED</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Config. PlatformIO + câblage L298</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Bibliothèque Vanne (impulsion, tests)</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GestionnaireTemps + RTC DS3231</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Stockage NVS (programmation + état)</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Automate + deep/light sleep</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AfficheurOLED + intégration globale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BDD7EE"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3"/>
            <w:shd w:fill="70AD47"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Étudiant 2 — Application Qt/QML</w:t>
            </w:r>
          </w:p>
        </w:tc>
      </w:tr>
      <w:tr>
        <w:tc>
          <w:tcPr>
            <w:gridSpan w:val="1"/>
            <w:shd w:fill="E2EFDA"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Config. Qt Creator + projet Android</w:t>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2EFDA"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Classe Vanne Qt + ControleurArrosage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2EFDA"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Page accueil — commande manuelle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2EFDA"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Page programmation par zone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2EFDA"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Intégration WebSocket (dépend Étud.3)</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2EFDA"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3"/>
            <w:shd w:fill="ED7D31"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Étudiant 3 — Communication WebSocket</w:t>
            </w:r>
          </w:p>
        </w:tc>
      </w:tr>
      <w:tr>
        <w:tc>
          <w:tcPr>
            <w:gridSpan w:val="1"/>
            <w:shd w:fill="FCE4D6"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Définition protocole JSON v1</w:t>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FCE4D6"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ServeurWebSocket ESP32 (AP + STA)</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FCE4D6"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ProtocoleArrosageServeur (ESP32)</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FCE4D6"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CommunicationESP32 + ArrosageProtocole (Qt)</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FCE4D6"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Tests bout-en-bout WebSocket</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CE4D6"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3"/>
            <w:shd w:fill="7030A0"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Étudiant 4 — Alimentation &amp; Batterie</w:t>
            </w:r>
          </w:p>
        </w:tc>
      </w:tr>
      <w:tr>
        <w:tc>
          <w:tcPr>
            <w:gridSpan w:val="1"/>
            <w:shd w:fill="EAD1F5"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Câblage panneau solaire + régulateur LM2596</w:t>
            </w:r>
          </w:p>
        </w:tc>
        <w:tc>
          <w:tcPr>
            <w:gridSpan w:val="1"/>
            <w:shd w:fill="EAD1F5"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AD1F5"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AD1F5"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Bibliothèque MesureBatteries (INA219)</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EAD1F5"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AD1F5"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AD1F5"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AD1F5"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Intégration firmware + alerte batterie faible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EAD1F5"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AD1F5"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r>
        <w:tc>
          <w:tcPr>
            <w:gridSpan w:val="1"/>
            <w:shd w:fill="EAD1F5" w:color="auto" w:val="clear"/>
            <w:tcMar>
              <w:top w:type="dxa" w:w="57"/>
              <w:left w:type="dxa" w:w="113"/>
              <w:bottom w:type="dxa" w:w="57"/>
              <w:right w:type="dxa" w:w="113"/>
            </w:tcMar>
            <w:vAlign w:val="top"/>
          </w:tcPr>
          <w:p>
            <w:pPr>
              <w:jc w:val="left"/>
            </w:pPr>
            <w:r>
              <w:rPr>
                <w:rFonts w:ascii="Calibri" w:cs="Calibri" w:eastAsia="Calibri" w:hAnsi="Calibri"/>
                <w:b/>
                <w:bCs/>
                <w:color w:val="000000"/>
                <w:sz w:val="18"/>
                <w:szCs w:val="18"/>
              </w:rPr>
              <w:t xml:space="preserve">Tests terrain (charge, décharge, deep sleep)</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EAD1F5"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EAD1F5"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w:t>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c>
          <w:tcPr>
            <w:gridSpan w:val="1"/>
            <w:shd w:fill="FFFFFF" w:color="auto" w:val="clear"/>
            <w:tcMar>
              <w:top w:type="dxa" w:w="57"/>
              <w:left w:type="dxa" w:w="113"/>
              <w:bottom w:type="dxa" w:w="57"/>
              <w:right w:type="dxa" w:w="113"/>
            </w:tcMar>
            <w:vAlign w:val="top"/>
          </w:tcPr>
          <w:p>
            <w:pPr>
              <w:jc w:val="center"/>
            </w:pPr>
            <w:r>
              <w:rPr>
                <w:rFonts w:ascii="Calibri" w:cs="Calibri" w:eastAsia="Calibri" w:hAnsi="Calibri"/>
                <w:b w:val="false"/>
                <w:bCs w:val="false"/>
                <w:color w:val="000000"/>
                <w:sz w:val="18"/>
                <w:szCs w:val="18"/>
              </w:rPr>
              <w:t xml:space="preserve"/>
            </w:r>
          </w:p>
        </w:tc>
      </w:tr>
    </w:tbl>
    <w:p>
      <w:pPr>
        <w:spacing w:after="80"/>
      </w:pPr>
      <w:r>
        <w:t xml:space="preserve"/>
      </w:r>
    </w:p>
    <w:p>
      <w:pPr>
        <w:pStyle w:val="Heading2"/>
        <w:spacing w:after="80" w:before="240"/>
      </w:pPr>
      <w:r>
        <w:rPr>
          <w:rFonts w:ascii="Calibri" w:cs="Calibri" w:eastAsia="Calibri" w:hAnsi="Calibri"/>
          <w:b/>
          <w:bCs/>
          <w:color w:val="2E75B6"/>
          <w:sz w:val="22"/>
          <w:szCs w:val="22"/>
        </w:rPr>
        <w:t xml:space="preserve">5.1 – Dépendances critiques entre étudiants</w:t>
      </w:r>
    </w:p>
    <w:p>
      <w:pPr>
        <w:spacing w:after="120"/>
        <w:jc w:val="both"/>
      </w:pPr>
      <w:r>
        <w:rPr>
          <w:rFonts w:ascii="Calibri" w:cs="Calibri" w:eastAsia="Calibri" w:hAnsi="Calibri"/>
          <w:b w:val="false"/>
          <w:bCs w:val="false"/>
          <w:i w:val="false"/>
          <w:iCs w:val="false"/>
          <w:color w:val="000000"/>
          <w:sz w:val="20"/>
          <w:szCs w:val="20"/>
        </w:rPr>
        <w:t xml:space="preserve">Le tableau suivant identifie les interfaces à stabiliser en priorité pour ne pas bloquer les intégrations. Chaque étudiant doit figer l'interface consommée par un autre avant la date indiquée.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Fournisseur</w:t>
            </w:r>
          </w:p>
        </w:tc>
        <w:tc>
          <w:tcPr>
            <w:tcW w:type="dxa" w:w="234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Consommateur</w:t>
            </w:r>
          </w:p>
        </w:tc>
        <w:tc>
          <w:tcPr>
            <w:tcW w:type="dxa" w:w="4680"/>
            <w:gridSpan w:val="1"/>
            <w:shd w:fill="1F497D" w:color="auto" w:val="clear"/>
            <w:tcMar>
              <w:top w:type="dxa" w:w="85"/>
              <w:left w:type="dxa" w:w="113"/>
              <w:bottom w:type="dxa" w:w="85"/>
              <w:right w:type="dxa" w:w="113"/>
            </w:tcMar>
            <w:vAlign w:val="center"/>
          </w:tcPr>
          <w:p>
            <w:pPr>
              <w:jc w:val="center"/>
            </w:pPr>
            <w:r>
              <w:rPr>
                <w:rFonts w:ascii="Calibri" w:cs="Calibri" w:eastAsia="Calibri" w:hAnsi="Calibri"/>
                <w:b/>
                <w:bCs/>
                <w:color w:val="FFFFFF"/>
                <w:sz w:val="18"/>
                <w:szCs w:val="18"/>
              </w:rPr>
              <w:t xml:space="preserve">Interface à stabiliser en priorité</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3</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2</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Protocole JSON v1 (structure des trames) — à figer dès S10</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3</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1</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Interface ServeurWebSocket::setOnMessage / envoyerMessage — à stabiliser avant S14</w:t>
            </w:r>
          </w:p>
        </w:tc>
      </w:tr>
      <w:tr>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1</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2 + 3</w:t>
            </w:r>
          </w:p>
        </w:tc>
        <w:tc>
          <w:tcPr>
            <w:gridSpan w:val="1"/>
            <w:shd w:fill="EEF3FB"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Noms et comportements des commandes (CMD_OUVRIR, CMD_SET_PROG…) — à figer dès S11</w:t>
            </w:r>
          </w:p>
        </w:tc>
      </w:tr>
      <w:tr>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4</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Étudiant 1</w:t>
            </w:r>
          </w:p>
        </w:tc>
        <w:tc>
          <w:tcPr>
            <w:gridSpan w:val="1"/>
            <w:shd w:fill="FFFFFF" w:color="auto" w:val="clear"/>
            <w:tcMar>
              <w:top w:type="dxa" w:w="57"/>
              <w:left w:type="dxa" w:w="113"/>
              <w:bottom w:type="dxa" w:w="57"/>
              <w:right w:type="dxa" w:w="113"/>
            </w:tcMar>
            <w:vAlign w:val="top"/>
          </w:tcPr>
          <w:p>
            <w:pPr>
              <w:jc w:val="left"/>
            </w:pPr>
            <w:r>
              <w:rPr>
                <w:rFonts w:ascii="Calibri" w:cs="Calibri" w:eastAsia="Calibri" w:hAnsi="Calibri"/>
                <w:b w:val="false"/>
                <w:bCs w:val="false"/>
                <w:color w:val="000000"/>
                <w:sz w:val="18"/>
                <w:szCs w:val="18"/>
              </w:rPr>
              <w:t xml:space="preserve">Interface MesureBatteries::lireNiveauPourcentage() — à livrer avant S18</w:t>
            </w:r>
          </w:p>
        </w:tc>
      </w:tr>
    </w:tbl>
    <w:p>
      <w:pPr>
        <w:spacing w:after="80"/>
      </w:pPr>
      <w:r>
        <w:t xml:space="preserve"/>
      </w:r>
    </w:p>
    <w:p>
      <w:pPr>
        <w:spacing w:after="120"/>
        <w:jc w:val="both"/>
      </w:pPr>
      <w:r>
        <w:rPr>
          <w:rFonts w:ascii="Calibri" w:cs="Calibri" w:eastAsia="Calibri" w:hAnsi="Calibri"/>
          <w:b w:val="false"/>
          <w:bCs w:val="false"/>
          <w:i/>
          <w:iCs/>
          <w:color w:val="555555"/>
          <w:sz w:val="18"/>
          <w:szCs w:val="18"/>
        </w:rPr>
        <w:t xml:space="preserve">Remarque : l'intégration entre l'Étudiant 2 (application) et l'Étudiant 3 (WebSocket) est le chemin critique du projet. La définition du protocole JSON v1 doit être finalisée dès la revue R1 (semaine 10) pour permettre le développement parallèle des deux côtés.</w:t>
      </w:r>
    </w:p>
    <w:p>
      <w:pPr>
        <w:pStyle w:val="Heading1"/>
        <w:spacing w:after="120" w:before="360"/>
      </w:pPr>
      <w:r>
        <w:rPr>
          <w:rFonts w:ascii="Calibri" w:cs="Calibri" w:eastAsia="Calibri" w:hAnsi="Calibri"/>
          <w:b/>
          <w:bCs/>
          <w:color w:val="1F497D"/>
          <w:sz w:val="26"/>
          <w:szCs w:val="26"/>
        </w:rPr>
        <w:t xml:space="preserve">6 – Contraintes d'intégration</w:t>
      </w:r>
    </w:p>
    <w:p>
      <w:pPr>
        <w:pStyle w:val="Heading2"/>
        <w:spacing w:after="80" w:before="240"/>
      </w:pPr>
      <w:r>
        <w:rPr>
          <w:rFonts w:ascii="Calibri" w:cs="Calibri" w:eastAsia="Calibri" w:hAnsi="Calibri"/>
          <w:b/>
          <w:bCs/>
          <w:color w:val="2E75B6"/>
          <w:sz w:val="22"/>
          <w:szCs w:val="22"/>
        </w:rPr>
        <w:t xml:space="preserve">6.1 – Partage du protocole JSON</w:t>
      </w:r>
    </w:p>
    <w:p>
      <w:pPr>
        <w:spacing w:after="120"/>
        <w:jc w:val="both"/>
      </w:pPr>
      <w:r>
        <w:rPr>
          <w:rFonts w:ascii="Calibri" w:cs="Calibri" w:eastAsia="Calibri" w:hAnsi="Calibri"/>
          <w:b w:val="false"/>
          <w:bCs w:val="false"/>
          <w:i w:val="false"/>
          <w:iCs w:val="false"/>
          <w:color w:val="000000"/>
          <w:sz w:val="20"/>
          <w:szCs w:val="20"/>
        </w:rPr>
        <w:t xml:space="preserve">La structure des trames JSON (champs v, t, c, i, h, d, f, e, x, s) est définie une seule fois dans la documentation de l'Étudiant 3 et doit être utilisée à l'identique par les Étudiants 1 et 2. Toute modification du protocole en cours de projet doit faire l'objet d'une montée de version (v2) et être signalée à l'ensemble de l'équipe.</w:t>
      </w:r>
    </w:p>
    <w:p>
      <w:pPr>
        <w:pStyle w:val="Heading2"/>
        <w:spacing w:after="80" w:before="240"/>
      </w:pPr>
      <w:r>
        <w:rPr>
          <w:rFonts w:ascii="Calibri" w:cs="Calibri" w:eastAsia="Calibri" w:hAnsi="Calibri"/>
          <w:b/>
          <w:bCs/>
          <w:color w:val="2E75B6"/>
          <w:sz w:val="22"/>
          <w:szCs w:val="22"/>
        </w:rPr>
        <w:t xml:space="preserve">6.2 – Gestion des versions de bibliothèques</w:t>
      </w:r>
    </w:p>
    <w:p>
      <w:pPr>
        <w:spacing w:after="120"/>
        <w:jc w:val="both"/>
      </w:pPr>
      <w:r>
        <w:rPr>
          <w:rFonts w:ascii="Calibri" w:cs="Calibri" w:eastAsia="Calibri" w:hAnsi="Calibri"/>
          <w:b w:val="false"/>
          <w:bCs w:val="false"/>
          <w:i w:val="false"/>
          <w:iCs w:val="false"/>
          <w:color w:val="000000"/>
          <w:sz w:val="20"/>
          <w:szCs w:val="20"/>
        </w:rPr>
        <w:t xml:space="preserve">Les versions retenues dans platformio.ini font référence : ESPAsyncWebServer 3.11.1+, Adafruit SSD1306 2.5.17, RTClib 2.1.4. Pour l'application Qt, la version cible est Qt 6.x (kit Android). Aucun étudiant ne doit modifier ces versions sans validation collective.</w:t>
      </w:r>
    </w:p>
    <w:p>
      <w:pPr>
        <w:pStyle w:val="Heading2"/>
        <w:spacing w:after="80" w:before="240"/>
      </w:pPr>
      <w:r>
        <w:rPr>
          <w:rFonts w:ascii="Calibri" w:cs="Calibri" w:eastAsia="Calibri" w:hAnsi="Calibri"/>
          <w:b/>
          <w:bCs/>
          <w:color w:val="2E75B6"/>
          <w:sz w:val="22"/>
          <w:szCs w:val="22"/>
        </w:rPr>
        <w:t xml:space="preserve">6.3 – Conventions de code communes</w:t>
      </w:r>
    </w:p>
    <w:p>
      <w:pPr>
        <w:spacing w:after="120"/>
        <w:jc w:val="both"/>
      </w:pPr>
      <w:r>
        <w:rPr>
          <w:rFonts w:ascii="Calibri" w:cs="Calibri" w:eastAsia="Calibri" w:hAnsi="Calibri"/>
          <w:b w:val="false"/>
          <w:bCs w:val="false"/>
          <w:i w:val="false"/>
          <w:iCs w:val="false"/>
          <w:color w:val="000000"/>
          <w:sz w:val="20"/>
          <w:szCs w:val="20"/>
        </w:rPr>
        <w:t xml:space="preserve">L'ensemble du code produit par les quatre étudiants respecte les conventions définies dans le cahier des charges : noms de classes avec majuscule initiale, attributs sans préfixe m_, paramètres de méthodes préfixés par _, un seul point de retour par méthode, commentaires Doxygen en français. Les commits suivent le format Conventional Commits (feat:, fix:, docs:).</w:t>
      </w:r>
    </w:p>
    <w:sectPr>
      <w:headerReference w:type="default" r:id="rId7"/>
      <w:footerReference w:type="default" r:id="rId8"/>
      <w:pgSz w:w="11906" w:h="16838" w:orient="portrait"/>
      <w:pgMar w:top="1134" w:right="1021" w:bottom="1021"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Calibri" w:cs="Calibri" w:eastAsia="Calibri" w:hAnsi="Calibri"/>
        <w:i/>
        <w:iCs/>
        <w:color w:val="2E75B6"/>
        <w:sz w:val="16"/>
        <w:szCs w:val="16"/>
      </w:rPr>
      <w:t xml:space="preserve">BTS CIEL IR — Projet TW2 — Programmateur d'arrosage autonome</w:t>
    </w:r>
    <w:r>
      <w:rPr>
        <w:rFonts w:ascii="Calibri" w:cs="Calibri" w:eastAsia="Calibri" w:hAnsi="Calibri"/>
        <w:i/>
        <w:iCs/>
        <w:color w:val="888888"/>
        <w:sz w:val="16"/>
        <w:szCs w:val="16"/>
      </w:rPr>
      <w:t xml:space="preserve">          Dossier commun — Session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commun — Programmateur d'arrosage autonome</dc:title>
  <dc:creator>BTS CIEL IR — TW2</dc:creator>
  <cp:lastModifiedBy>Un-named</cp:lastModifiedBy>
  <cp:revision>1</cp:revision>
  <dcterms:created xsi:type="dcterms:W3CDTF">2026-07-30T14:17:07.370Z</dcterms:created>
  <dcterms:modified xsi:type="dcterms:W3CDTF">2026-07-30T14:17:07.384Z</dcterms:modified>
</cp:coreProperties>
</file>

<file path=docProps/custom.xml><?xml version="1.0" encoding="utf-8"?>
<Properties xmlns="http://schemas.openxmlformats.org/officeDocument/2006/custom-properties" xmlns:vt="http://schemas.openxmlformats.org/officeDocument/2006/docPropsVTypes"/>
</file>