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A365D"/>
          <w:sz w:val="36"/>
          <w:szCs w:val="36"/>
        </w:rPr>
        <w:t xml:space="preserve">psmsToOccupancies.ipynb — Pipeline Overview</w:t>
      </w:r>
    </w:p>
    <w:p>
      <w:pPr>
        <w:spacing w:after="240"/>
      </w:pPr>
      <w:r>
        <w:rPr>
          <w:i/>
          <w:iCs/>
          <w:color w:val="555555"/>
        </w:rPr>
        <w:t xml:space="preserve">Converts MetaMorpheus PSM-level TMT intensities into per-site post-translational modification (PTM) occupancies across 18 channels (9 undrugged / 9 drugged) for an islet drug-treatment study, then runs a paired differential analysis to identify sites whose occupancy changes between conditions.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Pipeline at a Glance</w:t>
      </w:r>
    </w:p>
    <w:tbl>
      <w:tblPr>
        <w:tblW w:type="dxa" w:w="9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0"/>
        <w:gridCol w:w="220"/>
        <w:gridCol w:w="1280"/>
        <w:gridCol w:w="220"/>
        <w:gridCol w:w="1280"/>
        <w:gridCol w:w="220"/>
        <w:gridCol w:w="1280"/>
        <w:gridCol w:w="220"/>
        <w:gridCol w:w="1280"/>
        <w:gridCol w:w="220"/>
        <w:gridCol w:w="1280"/>
        <w:gridCol w:w="220"/>
        <w:gridCol w:w="1280"/>
      </w:tblGrid>
      <w:tr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6EFFA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AllPSMs.psmtsv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(430,665 PSMs)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→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EF5E7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Filter &amp; QC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(q&lt;0.01, ambig=1,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no zero channels)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→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EF5E7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Median-normalize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18 TMT channels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→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5E9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Map peptide mods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to protein sites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(660 sites)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→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5E9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Compute occupancy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+ derived metrics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→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CE4EC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Filter &amp; write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TSV (379 sites)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→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3E5F5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limma-py paired</w:t>
            </w:r>
          </w:p>
          <w:p>
            <w:pPr>
              <w:spacing w:after="0" w:line="240"/>
              <w:jc w:val="center"/>
            </w:pPr>
            <w:r>
              <w:rPr>
                <w:sz w:val="16"/>
                <w:szCs w:val="16"/>
              </w:rPr>
              <w:t xml:space="preserve">analysis &amp; volcano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1. Inputs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File: </w:t>
      </w:r>
      <w:r>
        <w:rPr>
          <w:rFonts w:ascii="Consolas" w:cs="Consolas" w:eastAsia="Consolas" w:hAnsi="Consolas"/>
          <w:sz w:val="22"/>
          <w:szCs w:val="22"/>
        </w:rPr>
        <w:t xml:space="preserve">AllPSMs.psmtsv</w:t>
      </w:r>
      <w:r>
        <w:t xml:space="preserve"> (MetaMorpheus output, tab-separated, 430,665 rows × 75 columns).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Key columns used: </w:t>
      </w:r>
      <w:r>
        <w:rPr>
          <w:rFonts w:ascii="Consolas" w:cs="Consolas" w:eastAsia="Consolas" w:hAnsi="Consolas"/>
          <w:sz w:val="22"/>
          <w:szCs w:val="22"/>
        </w:rPr>
        <w:t xml:space="preserve">Full Sequence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Base Sequence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Accession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Gene Name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Start and End Residues In Full Sequence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QValue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Decoy/Contaminant/Target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Ambiguity Level</w:t>
      </w:r>
      <w:r>
        <w:t xml:space="preserve">, and the 18 TMT reporter-ion channels </w:t>
      </w:r>
      <w:r>
        <w:rPr>
          <w:rFonts w:ascii="Consolas" w:cs="Consolas" w:eastAsia="Consolas" w:hAnsi="Consolas"/>
          <w:sz w:val="22"/>
          <w:szCs w:val="22"/>
        </w:rPr>
        <w:t xml:space="preserve">126</w:t>
      </w:r>
      <w:r>
        <w:t xml:space="preserve"> through </w:t>
      </w:r>
      <w:r>
        <w:rPr>
          <w:rFonts w:ascii="Consolas" w:cs="Consolas" w:eastAsia="Consolas" w:hAnsi="Consolas"/>
          <w:sz w:val="22"/>
          <w:szCs w:val="22"/>
        </w:rPr>
        <w:t xml:space="preserve">135N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TMT channel layout alternates </w:t>
      </w:r>
      <w:r>
        <w:rPr>
          <w:b/>
          <w:bCs/>
        </w:rPr>
        <w:t xml:space="preserve">undrugged, drugged, undrugged, drugged, …</w:t>
      </w:r>
      <w:r>
        <w:t xml:space="preserve"> starting at channel 126 — 9 paired mice (one undrugged + one drugged channel per mouse).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External libraries: </w:t>
      </w:r>
      <w:r>
        <w:rPr>
          <w:rFonts w:ascii="Consolas" w:cs="Consolas" w:eastAsia="Consolas" w:hAnsi="Consolas"/>
          <w:sz w:val="22"/>
          <w:szCs w:val="22"/>
        </w:rPr>
        <w:t xml:space="preserve">limma_py</w:t>
      </w:r>
      <w:r>
        <w:t xml:space="preserve"> (eBayes-moderated linear modelling for differential analysis), </w:t>
      </w:r>
      <w:r>
        <w:rPr>
          <w:rFonts w:ascii="Consolas" w:cs="Consolas" w:eastAsia="Consolas" w:hAnsi="Consolas"/>
          <w:sz w:val="22"/>
          <w:szCs w:val="22"/>
        </w:rPr>
        <w:t xml:space="preserve">adjustText</w:t>
      </w:r>
      <w:r>
        <w:t xml:space="preserve"> (label placement on volcano plot).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2. Data Cleaning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Confidence filter: </w:t>
      </w:r>
      <w:r>
        <w:t xml:space="preserve">keep PSMs with </w:t>
      </w:r>
      <w:r>
        <w:rPr>
          <w:rFonts w:ascii="Consolas" w:cs="Consolas" w:eastAsia="Consolas" w:hAnsi="Consolas"/>
          <w:sz w:val="22"/>
          <w:szCs w:val="22"/>
        </w:rPr>
        <w:t xml:space="preserve">QValue &lt; 0.01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Target</w:t>
      </w:r>
      <w:r>
        <w:t xml:space="preserve"> hits, and </w:t>
      </w:r>
      <w:r>
        <w:rPr>
          <w:rFonts w:ascii="Consolas" w:cs="Consolas" w:eastAsia="Consolas" w:hAnsi="Consolas"/>
          <w:sz w:val="22"/>
          <w:szCs w:val="22"/>
        </w:rPr>
        <w:t xml:space="preserve">Ambiguity Level == "1"</w:t>
      </w:r>
      <w:r>
        <w:t xml:space="preserve"> (strictest tier, exact peptide-to-protein assignment). Reduces 430,665 → 79,137 rows.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Missing-value diagnostic: </w:t>
      </w:r>
      <w:r>
        <w:t xml:space="preserve">count zero entries per TMT channel; drugged channels have more zeros on average than undrugged — a known TMT artefact.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Drop incomplete PSMs: </w:t>
      </w:r>
      <w:r>
        <w:t xml:space="preserve">remove any row with a </w:t>
      </w:r>
      <w:r>
        <w:rPr>
          <w:rFonts w:ascii="Consolas" w:cs="Consolas" w:eastAsia="Consolas" w:hAnsi="Consolas"/>
          <w:sz w:val="22"/>
          <w:szCs w:val="22"/>
        </w:rPr>
        <w:t xml:space="preserve">0</w:t>
      </w:r>
      <w:r>
        <w:t xml:space="preserve"> in any of the 18 TMT channels. 79,137 → </w:t>
      </w:r>
      <w:r>
        <w:rPr>
          <w:b/>
          <w:bCs/>
        </w:rPr>
        <w:t xml:space="preserve">75,379 rows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Strip insignificant modification annotations </w:t>
      </w:r>
      <w:r>
        <w:t xml:space="preserve">from </w:t>
      </w:r>
      <w:r>
        <w:rPr>
          <w:rFonts w:ascii="Consolas" w:cs="Consolas" w:eastAsia="Consolas" w:hAnsi="Consolas"/>
          <w:sz w:val="22"/>
          <w:szCs w:val="22"/>
        </w:rPr>
        <w:t xml:space="preserve">Full Sequence</w:t>
      </w:r>
      <w:r>
        <w:t xml:space="preserve">: </w:t>
      </w:r>
      <w:r>
        <w:rPr>
          <w:rFonts w:ascii="Consolas" w:cs="Consolas" w:eastAsia="Consolas" w:hAnsi="Consolas"/>
          <w:sz w:val="22"/>
          <w:szCs w:val="22"/>
        </w:rPr>
        <w:t xml:space="preserve">Multiplex Label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Common Variable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Common Fixed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Metal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Artifact</w:t>
      </w:r>
      <w:r>
        <w:t xml:space="preserve"> — these are not real biological PTMs.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Protein-group ambiguity check: </w:t>
      </w:r>
      <w:r>
        <w:t xml:space="preserve">only Q61029 / Q61033 share peptides; the </w:t>
      </w:r>
      <w:r>
        <w:rPr>
          <w:rFonts w:ascii="Consolas" w:cs="Consolas" w:eastAsia="Consolas" w:hAnsi="Consolas"/>
          <w:sz w:val="22"/>
          <w:szCs w:val="22"/>
        </w:rPr>
        <w:t xml:space="preserve">visualize_coverage</w:t>
      </w:r>
      <w:r>
        <w:t xml:space="preserve"> plot confirms shared peptides do not overlap with unique peptides along the protein, so the protein groups are kept as-is.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Remove residue-/sequence-level ambiguity: </w:t>
      </w:r>
      <w:r>
        <w:t xml:space="preserve">drop rows whose </w:t>
      </w:r>
      <w:r>
        <w:rPr>
          <w:rFonts w:ascii="Consolas" w:cs="Consolas" w:eastAsia="Consolas" w:hAnsi="Consolas"/>
          <w:sz w:val="22"/>
          <w:szCs w:val="22"/>
        </w:rPr>
        <w:t xml:space="preserve">Start and End Residues</w:t>
      </w:r>
      <w:r>
        <w:t xml:space="preserve"> or </w:t>
      </w:r>
      <w:r>
        <w:rPr>
          <w:rFonts w:ascii="Consolas" w:cs="Consolas" w:eastAsia="Consolas" w:hAnsi="Consolas"/>
          <w:sz w:val="22"/>
          <w:szCs w:val="22"/>
        </w:rPr>
        <w:t xml:space="preserve">Full Sequence</w:t>
      </w:r>
      <w:r>
        <w:t xml:space="preserve"> contain '|' — 65 rows in span ambiguity (sequence ambiguity is now 0 because of the stricter Ambiguity Level filter). The dropped rows account for &lt;0.05% of total intensity per channel.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Phospho unification: </w:t>
      </w:r>
      <w:r>
        <w:t xml:space="preserve">treat </w:t>
      </w:r>
      <w:r>
        <w:rPr>
          <w:i/>
          <w:iCs/>
        </w:rPr>
        <w:t xml:space="preserve">Phosphorylation on S</w:t>
      </w:r>
      <w:r>
        <w:t xml:space="preserve"> and </w:t>
      </w:r>
      <w:r>
        <w:rPr>
          <w:i/>
          <w:iCs/>
        </w:rPr>
        <w:t xml:space="preserve">Phosphoserine on S</w:t>
      </w:r>
      <w:r>
        <w:t xml:space="preserve"> as one PTM (all phospho-S in this dataset are phosphorylations).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C-terminal modification check: </w:t>
      </w:r>
      <w:r>
        <w:t xml:space="preserve">scan for </w:t>
      </w:r>
      <w:r>
        <w:rPr>
          <w:rFonts w:ascii="Consolas" w:cs="Consolas" w:eastAsia="Consolas" w:hAnsi="Consolas"/>
          <w:sz w:val="22"/>
          <w:szCs w:val="22"/>
        </w:rPr>
        <w:t xml:space="preserve">-[</w:t>
      </w:r>
      <w:r>
        <w:t xml:space="preserve"> in </w:t>
      </w:r>
      <w:r>
        <w:rPr>
          <w:rFonts w:ascii="Consolas" w:cs="Consolas" w:eastAsia="Consolas" w:hAnsi="Consolas"/>
          <w:sz w:val="22"/>
          <w:szCs w:val="22"/>
        </w:rPr>
        <w:t xml:space="preserve">Full Sequence</w:t>
      </w:r>
      <w:r>
        <w:t xml:space="preserve"> — none observed, so the parser need not handle them.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3. TMT Normalization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Median normalization across channels: </w:t>
      </w:r>
      <w:r>
        <w:t xml:space="preserve">scale each TMT column by </w:t>
      </w:r>
      <w:r>
        <w:rPr>
          <w:rFonts w:ascii="Consolas" w:cs="Consolas" w:eastAsia="Consolas" w:hAnsi="Consolas"/>
          <w:sz w:val="22"/>
          <w:szCs w:val="22"/>
        </w:rPr>
        <w:t xml:space="preserve">median(column_totals) / column_total</w:t>
      </w:r>
      <w:r>
        <w:t xml:space="preserve">. This equalizes total signal across channels without distorting within-channel ratios.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After normalization </w:t>
      </w:r>
      <w:r>
        <w:t xml:space="preserve">each channel sums to the same total; per-PSM means are ~1.12×10⁵ with consistent quantile structure across all 18 channels.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4. Mapping PSMs to Protein Sites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Parse modifications: </w:t>
      </w:r>
      <w:r>
        <w:t xml:space="preserve">regex over bracketed annotations in </w:t>
      </w:r>
      <w:r>
        <w:rPr>
          <w:rFonts w:ascii="Consolas" w:cs="Consolas" w:eastAsia="Consolas" w:hAnsi="Consolas"/>
          <w:sz w:val="22"/>
          <w:szCs w:val="22"/>
        </w:rPr>
        <w:t xml:space="preserve">Full Sequence</w:t>
      </w:r>
      <w:r>
        <w:t xml:space="preserve"> recovers a </w:t>
      </w:r>
      <w:r>
        <w:rPr>
          <w:rFonts w:ascii="Consolas" w:cs="Consolas" w:eastAsia="Consolas" w:hAnsi="Consolas"/>
          <w:sz w:val="22"/>
          <w:szCs w:val="22"/>
        </w:rPr>
        <w:t xml:space="preserve">{peptide_position: [mod_names]}</w:t>
      </w:r>
      <w:r>
        <w:t xml:space="preserve"> map, skipping insignificant annotations.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Peptide → protein coordinates: </w:t>
      </w:r>
      <w:r>
        <w:t xml:space="preserve">convert peptide positions to protein positions using the </w:t>
      </w:r>
      <w:r>
        <w:rPr>
          <w:rFonts w:ascii="Consolas" w:cs="Consolas" w:eastAsia="Consolas" w:hAnsi="Consolas"/>
          <w:sz w:val="22"/>
          <w:szCs w:val="22"/>
        </w:rPr>
        <w:t xml:space="preserve">Start and End Residues</w:t>
      </w:r>
      <w:r>
        <w:t xml:space="preserve"> span. Position 0 is reserved for the protein N-terminus and is only credited when </w:t>
      </w:r>
      <w:r>
        <w:rPr>
          <w:rFonts w:ascii="Consolas" w:cs="Consolas" w:eastAsia="Consolas" w:hAnsi="Consolas"/>
          <w:sz w:val="22"/>
          <w:szCs w:val="22"/>
        </w:rPr>
        <w:t xml:space="preserve">span.start == 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Denominator lookup (</w:t>
      </w:r>
      <w:r>
        <w:rPr>
          <w:rFonts w:ascii="Consolas" w:cs="Consolas" w:eastAsia="Consolas" w:hAnsi="Consolas"/>
          <w:sz w:val="22"/>
          <w:szCs w:val="22"/>
        </w:rPr>
        <w:t xml:space="preserve">protein_position_intensity</w:t>
      </w:r>
      <w:r>
        <w:rPr>
          <w:b/>
          <w:bCs/>
        </w:rPr>
        <w:t xml:space="preserve">): </w:t>
      </w:r>
      <w:r>
        <w:t xml:space="preserve">for every </w:t>
      </w:r>
      <w:r>
        <w:rPr>
          <w:rFonts w:ascii="Consolas" w:cs="Consolas" w:eastAsia="Consolas" w:hAnsi="Consolas"/>
          <w:sz w:val="22"/>
          <w:szCs w:val="22"/>
        </w:rPr>
        <w:t xml:space="preserve">(protein_position, accession)</w:t>
      </w:r>
      <w:r>
        <w:t xml:space="preserve"> the peptide covers, accumulate that PSM's 18-channel TMT vector. Result: </w:t>
      </w:r>
      <w:r>
        <w:rPr>
          <w:b/>
          <w:bCs/>
        </w:rPr>
        <w:t xml:space="preserve">505,524 covered protein positions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Numerator lookup (</w:t>
      </w:r>
      <w:r>
        <w:rPr>
          <w:rFonts w:ascii="Consolas" w:cs="Consolas" w:eastAsia="Consolas" w:hAnsi="Consolas"/>
          <w:sz w:val="22"/>
          <w:szCs w:val="22"/>
        </w:rPr>
        <w:t xml:space="preserve">site_modifications</w:t>
      </w:r>
      <w:r>
        <w:rPr>
          <w:b/>
          <w:bCs/>
        </w:rPr>
        <w:t xml:space="preserve">): </w:t>
      </w:r>
      <w:r>
        <w:t xml:space="preserve">for each modification observed at a site, sum the TMT vectors of the modified PSMs. Each </w:t>
      </w:r>
      <w:r>
        <w:rPr>
          <w:rFonts w:ascii="Consolas" w:cs="Consolas" w:eastAsia="Consolas" w:hAnsi="Consolas"/>
          <w:sz w:val="22"/>
          <w:szCs w:val="22"/>
        </w:rPr>
        <w:t xml:space="preserve">SiteModification</w:t>
      </w:r>
      <w:r>
        <w:t xml:space="preserve"> stores per-channel </w:t>
      </w:r>
      <w:r>
        <w:rPr>
          <w:rFonts w:ascii="Consolas" w:cs="Consolas" w:eastAsia="Consolas" w:hAnsi="Consolas"/>
          <w:sz w:val="22"/>
          <w:szCs w:val="22"/>
        </w:rPr>
        <w:t xml:space="preserve">mod_intensity</w:t>
      </w:r>
      <w:r>
        <w:t xml:space="preserve">, inherited </w:t>
      </w:r>
      <w:r>
        <w:rPr>
          <w:rFonts w:ascii="Consolas" w:cs="Consolas" w:eastAsia="Consolas" w:hAnsi="Consolas"/>
          <w:sz w:val="22"/>
          <w:szCs w:val="22"/>
        </w:rPr>
        <w:t xml:space="preserve">total_intensity</w:t>
      </w:r>
      <w:r>
        <w:t xml:space="preserve">, a PSM count (</w:t>
      </w:r>
      <w:r>
        <w:rPr>
          <w:rFonts w:ascii="Consolas" w:cs="Consolas" w:eastAsia="Consolas" w:hAnsi="Consolas"/>
          <w:sz w:val="22"/>
          <w:szCs w:val="22"/>
        </w:rPr>
        <w:t xml:space="preserve">number_of_psms</w:t>
      </w:r>
      <w:r>
        <w:t xml:space="preserve">), and metadata (</w:t>
      </w:r>
      <w:r>
        <w:rPr>
          <w:rFonts w:ascii="Consolas" w:cs="Consolas" w:eastAsia="Consolas" w:hAnsi="Consolas"/>
          <w:sz w:val="22"/>
          <w:szCs w:val="22"/>
        </w:rPr>
        <w:t xml:space="preserve">modification_name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parent_position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parent_accession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parent_gene</w:t>
      </w:r>
      <w:r>
        <w:t xml:space="preserve">). Result: </w:t>
      </w:r>
      <w:r>
        <w:rPr>
          <w:b/>
          <w:bCs/>
        </w:rPr>
        <w:t xml:space="preserve">660 unique site-modifications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5. Occupancy &amp; Derived Metrics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Occupancy: </w:t>
      </w:r>
      <w:r>
        <w:t xml:space="preserve">for each </w:t>
      </w:r>
      <w:r>
        <w:rPr>
          <w:b/>
          <w:bCs/>
        </w:rPr>
        <w:t xml:space="preserve">(modification, position, accession)</w:t>
      </w:r>
      <w:r>
        <w:t xml:space="preserve">: </w:t>
      </w:r>
      <w:r>
        <w:rPr>
          <w:rFonts w:ascii="Consolas" w:cs="Consolas" w:eastAsia="Consolas" w:hAnsi="Consolas"/>
          <w:sz w:val="22"/>
          <w:szCs w:val="22"/>
        </w:rPr>
        <w:t xml:space="preserve">occupancy = mod_intensity / total_intensity</w:t>
      </w:r>
      <w:r>
        <w:t xml:space="preserve">, per-channel.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Sites with zero total intensity are zero-filled (return </w:t>
      </w:r>
      <w:r>
        <w:rPr>
          <w:rFonts w:ascii="Consolas" w:cs="Consolas" w:eastAsia="Consolas" w:hAnsi="Consolas"/>
          <w:sz w:val="22"/>
          <w:szCs w:val="22"/>
        </w:rPr>
        <w:t xml:space="preserve">np.zeros_like(mod_intensity)</w:t>
      </w:r>
      <w:r>
        <w:t xml:space="preserve">) to avoid division-by-zero and keep matrix shapes consistent.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Mean sample intensity-weighted site abundance: </w:t>
      </w:r>
      <w:r>
        <w:rPr>
          <w:rFonts w:ascii="Consolas" w:cs="Consolas" w:eastAsia="Consolas" w:hAnsi="Consolas"/>
          <w:sz w:val="22"/>
          <w:szCs w:val="22"/>
        </w:rPr>
        <w:t xml:space="preserve">occupancy × mean(total_intensity across sites)</w:t>
      </w:r>
      <w:r>
        <w:t xml:space="preserve">. This puts each site on a comparable absolute scale, mitigating the scale-compression of pure ratios for use in downstream log/limma analysis.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Logit / inv-logit utilities: </w:t>
      </w:r>
      <w:r>
        <w:rPr>
          <w:rFonts w:ascii="Consolas" w:cs="Consolas" w:eastAsia="Consolas" w:hAnsi="Consolas"/>
          <w:sz w:val="22"/>
          <w:szCs w:val="22"/>
        </w:rPr>
        <w:t xml:space="preserve">logit(p, eps=1e-3)</w:t>
      </w:r>
      <w:r>
        <w:t xml:space="preserve"> and </w:t>
      </w:r>
      <w:r>
        <w:rPr>
          <w:rFonts w:ascii="Consolas" w:cs="Consolas" w:eastAsia="Consolas" w:hAnsi="Consolas"/>
          <w:sz w:val="22"/>
          <w:szCs w:val="22"/>
        </w:rPr>
        <w:t xml:space="preserve">inv_logit</w:t>
      </w:r>
      <w:r>
        <w:t xml:space="preserve"> (with epsilon clipping) for transforming bounded occupancy values toward unbounded space.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Diagnostic distributions: </w:t>
      </w:r>
      <w:r>
        <w:t xml:space="preserve">histograms of raw, log₂-transformed, logit-transformed, and log₂(mean-weighted) occupancies are plotted to choose a transform whose distribution is closest to normal for limma input.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Output filtering: </w:t>
      </w:r>
      <w:r>
        <w:t xml:space="preserve">only sites where </w:t>
      </w:r>
      <w:r>
        <w:rPr>
          <w:rFonts w:ascii="Consolas" w:cs="Consolas" w:eastAsia="Consolas" w:hAnsi="Consolas"/>
          <w:sz w:val="22"/>
          <w:szCs w:val="22"/>
        </w:rPr>
        <w:t xml:space="preserve">0 &lt; sum(occupancy) &lt; 18</w:t>
      </w:r>
      <w:r>
        <w:t xml:space="preserve"> are retained — drops uniformly-zero or saturated sites. 660 → </w:t>
      </w:r>
      <w:r>
        <w:rPr>
          <w:b/>
          <w:bCs/>
        </w:rPr>
        <w:t xml:space="preserve">379 sites</w:t>
      </w:r>
      <w:r>
        <w:t xml:space="preserve"> go forward.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6. Outputs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File: </w:t>
      </w:r>
      <w:r>
        <w:rPr>
          <w:rFonts w:ascii="Consolas" w:cs="Consolas" w:eastAsia="Consolas" w:hAnsi="Consolas"/>
          <w:sz w:val="22"/>
          <w:szCs w:val="22"/>
        </w:rPr>
        <w:t xml:space="preserve">site_modification_occupancies.tsv</w:t>
      </w:r>
      <w:r>
        <w:t xml:space="preserve"> (written to </w:t>
      </w:r>
      <w:r>
        <w:rPr>
          <w:rFonts w:ascii="Consolas" w:cs="Consolas" w:eastAsia="Consolas" w:hAnsi="Consolas"/>
          <w:sz w:val="22"/>
          <w:szCs w:val="22"/>
        </w:rPr>
        <w:t xml:space="preserve">C:\Users\student\Desktop\Islets\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Schema (76 columns): </w:t>
      </w:r>
      <w:r>
        <w:t xml:space="preserve">4 metadata columns (</w:t>
      </w:r>
      <w:r>
        <w:rPr>
          <w:rFonts w:ascii="Consolas" w:cs="Consolas" w:eastAsia="Consolas" w:hAnsi="Consolas"/>
          <w:sz w:val="22"/>
          <w:szCs w:val="22"/>
        </w:rPr>
        <w:t xml:space="preserve">Modification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Position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Accession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Gene Name</w:t>
      </w:r>
      <w:r>
        <w:t xml:space="preserve">) + four 18-channel groups, in this order: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nsolas" w:cs="Consolas" w:eastAsia="Consolas" w:hAnsi="Consolas"/>
          <w:sz w:val="22"/>
          <w:szCs w:val="22"/>
        </w:rPr>
        <w:t xml:space="preserve">&lt;channel&gt; Mod Intensity</w:t>
      </w:r>
      <w:r>
        <w:t xml:space="preserve"> (raw numerator, summed TMT for modified PSMs)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nsolas" w:cs="Consolas" w:eastAsia="Consolas" w:hAnsi="Consolas"/>
          <w:sz w:val="22"/>
          <w:szCs w:val="22"/>
        </w:rPr>
        <w:t xml:space="preserve">&lt;channel&gt; Total Intensity</w:t>
      </w:r>
      <w:r>
        <w:t xml:space="preserve"> (raw denominator, summed TMT across all peptides covering the site)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nsolas" w:cs="Consolas" w:eastAsia="Consolas" w:hAnsi="Consolas"/>
          <w:sz w:val="22"/>
          <w:szCs w:val="22"/>
        </w:rPr>
        <w:t xml:space="preserve">&lt;channel&gt; Mean Sample Intensity-Weighted Site Abundance</w:t>
      </w:r>
      <w:r>
        <w:t xml:space="preserve"> (occupancy × mean total intensity)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onsolas" w:cs="Consolas" w:eastAsia="Consolas" w:hAnsi="Consolas"/>
          <w:sz w:val="22"/>
          <w:szCs w:val="22"/>
        </w:rPr>
        <w:t xml:space="preserve">&lt;channel&gt; Occupancy</w:t>
      </w:r>
      <w:r>
        <w:t xml:space="preserve"> (modified / total per channel; the original target metric)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Rows: </w:t>
      </w:r>
      <w:r>
        <w:rPr>
          <w:b/>
          <w:bCs/>
        </w:rPr>
        <w:t xml:space="preserve">379</w:t>
      </w:r>
      <w:r>
        <w:t xml:space="preserve"> site-modifications, sorted by Accession → Position → Modification.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PTM types observed (25): </w:t>
      </w:r>
      <w:r>
        <w:t xml:space="preserve">3-/4-hydroxyproline, multiple acetyl- and methyl-lysines, phospho-S/T/Y, deamidation, dimethyl- and trimethyl-arginines, sulfonic-acid / persulfide cysteine. Sodium adducts are no longer present because </w:t>
      </w:r>
      <w:r>
        <w:rPr>
          <w:rFonts w:ascii="Consolas" w:cs="Consolas" w:eastAsia="Consolas" w:hAnsi="Consolas"/>
          <w:sz w:val="22"/>
          <w:szCs w:val="22"/>
        </w:rPr>
        <w:t xml:space="preserve">Metal</w:t>
      </w:r>
      <w:r>
        <w:t xml:space="preserve"> is in the insignificant-mods list.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7. Differential Occupancy Analysis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Input matrix: </w:t>
      </w:r>
      <w:r>
        <w:rPr>
          <w:rFonts w:ascii="Consolas" w:cs="Consolas" w:eastAsia="Consolas" w:hAnsi="Consolas"/>
          <w:sz w:val="22"/>
          <w:szCs w:val="22"/>
        </w:rPr>
        <w:t xml:space="preserve">log₂(Mean Sample Intensity-Weighted Site Abundance)</w:t>
      </w:r>
      <w:r>
        <w:t xml:space="preserve"> — chosen because its histogram across the 18 channels is closest to normal among the four candidate transforms.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Experimental design: </w:t>
      </w:r>
      <w:r>
        <w:t xml:space="preserve">paired, within-mouse comparison. The design matrix has an intercept, a </w:t>
      </w:r>
      <w:r>
        <w:rPr>
          <w:rFonts w:ascii="Consolas" w:cs="Consolas" w:eastAsia="Consolas" w:hAnsi="Consolas"/>
          <w:sz w:val="22"/>
          <w:szCs w:val="22"/>
        </w:rPr>
        <w:t xml:space="preserve">drugged</w:t>
      </w:r>
      <w:r>
        <w:t xml:space="preserve"> indicator that alternates 0,1 across channels, and 8 mouse-pair dummies (one per mouse, drop-first encoding) to absorb between-mouse variance as fixed effects.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Model: </w:t>
      </w:r>
      <w:r>
        <w:rPr>
          <w:rFonts w:ascii="Consolas" w:cs="Consolas" w:eastAsia="Consolas" w:hAnsi="Consolas"/>
          <w:sz w:val="22"/>
          <w:szCs w:val="22"/>
        </w:rPr>
        <w:t xml:space="preserve">limma_py.lmFit(matrix, design)</w:t>
      </w:r>
      <w: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eBayes</w:t>
      </w:r>
      <w: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toptable(coef='drugged', adjust='BH')</w:t>
      </w:r>
      <w:r>
        <w:t xml:space="preserve">. Returns </w:t>
      </w:r>
      <w:r>
        <w:rPr>
          <w:rFonts w:ascii="Consolas" w:cs="Consolas" w:eastAsia="Consolas" w:hAnsi="Consolas"/>
          <w:sz w:val="22"/>
          <w:szCs w:val="22"/>
        </w:rPr>
        <w:t xml:space="preserve">logFC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AvgOcc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t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P.Value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adj.P.Val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B</w:t>
      </w:r>
      <w:r>
        <w:t xml:space="preserve"> for each of the 379 sites.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Volcano plot: </w:t>
      </w:r>
      <w:r>
        <w:rPr>
          <w:rFonts w:ascii="Consolas" w:cs="Consolas" w:eastAsia="Consolas" w:hAnsi="Consolas"/>
          <w:sz w:val="22"/>
          <w:szCs w:val="22"/>
        </w:rPr>
        <w:t xml:space="preserve">logFC</w:t>
      </w:r>
      <w:r>
        <w:t xml:space="preserve"> vs </w:t>
      </w:r>
      <w:r>
        <w:rPr>
          <w:rFonts w:ascii="Consolas" w:cs="Consolas" w:eastAsia="Consolas" w:hAnsi="Consolas"/>
          <w:sz w:val="22"/>
          <w:szCs w:val="22"/>
        </w:rPr>
        <w:t xml:space="preserve">-log₁₀(adj.P.Val)</w:t>
      </w:r>
      <w:r>
        <w:t xml:space="preserve">, marker size = mean per-site occupancy (×100), red dashed line at adj.P.Val = 0.05. Top hits are auto-labelled (gene name) when </w:t>
      </w:r>
      <w:r>
        <w:rPr>
          <w:rFonts w:ascii="Consolas" w:cs="Consolas" w:eastAsia="Consolas" w:hAnsi="Consolas"/>
          <w:sz w:val="22"/>
          <w:szCs w:val="22"/>
        </w:rPr>
        <w:t xml:space="preserve">adj.P.Val ≤ 0.005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|logFC| ≥ 0.03</w:t>
      </w:r>
      <w:r>
        <w:t xml:space="preserve">, and mean occupancy &gt; 0.015; </w:t>
      </w:r>
      <w:r>
        <w:rPr>
          <w:rFonts w:ascii="Consolas" w:cs="Consolas" w:eastAsia="Consolas" w:hAnsi="Consolas"/>
          <w:sz w:val="22"/>
          <w:szCs w:val="22"/>
        </w:rPr>
        <w:t xml:space="preserve">adjustText</w:t>
      </w:r>
      <w:r>
        <w:t xml:space="preserve"> prevents label overlap.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Top up-regulated hits </w:t>
      </w:r>
      <w:r>
        <w:t xml:space="preserve">(logFC ≥ 0.03, adj.P.Val ≤ 0.005): H1-4 S36, Sqstm1 S24, Ctnnd1 S864, Pebp1 P11 (hydroxylation), Sgt S307, Hid1 S593, Slk S647, Syap1 S283, Srp14 S45.</w:t>
      </w:r>
    </w:p>
    <w:p>
      <w:pPr>
        <w:pStyle w:val="Heading2"/>
        <w:spacing w:after="120" w:before="240"/>
      </w:pPr>
      <w:r>
        <w:rPr>
          <w:b/>
          <w:bCs/>
          <w:color w:val="1A365D"/>
        </w:rPr>
        <w:t xml:space="preserve">8. Assumptions &amp; Limitations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Channel layout: undrugged/drugged alternation starts at 126 and continues through 135N. Pair order in the design matrix is the order channels appear in the file.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Zero TMT intensities are treated as missing values; the entire PSM is discarded, which can bias toward higher-abundance peptides.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Residue-span ambiguity (</w:t>
      </w:r>
      <w:r>
        <w:rPr>
          <w:rFonts w:ascii="Consolas" w:cs="Consolas" w:eastAsia="Consolas" w:hAnsi="Consolas"/>
          <w:sz w:val="22"/>
          <w:szCs w:val="22"/>
        </w:rPr>
        <w:t xml:space="preserve">|</w:t>
      </w:r>
      <w:r>
        <w:t xml:space="preserve">-containing) rows are discarded. Protein-group accession ambiguity is </w:t>
      </w:r>
      <w:r>
        <w:rPr>
          <w:b/>
          <w:bCs/>
        </w:rPr>
        <w:t xml:space="preserve">retained</w:t>
      </w:r>
      <w:r>
        <w:t xml:space="preserve"> (e.g. Q61029|Q61033) because the coverage check showed it is safe.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All </w:t>
      </w:r>
      <w:r>
        <w:rPr>
          <w:i/>
          <w:iCs/>
        </w:rPr>
        <w:t xml:space="preserve">Phosphorylation on S</w:t>
      </w:r>
      <w:r>
        <w:t xml:space="preserve"> annotations are assumed to be phosphoserine.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N-terminal modifications are credited only when the peptide starts at position 1 of the protein.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Occupancy is a simple intensity ratio; no correction for ionization efficiency is applied. The mean-weighted variant partially compensates by re-scaling sites onto a common intensity range but is not a rigorous IE correction.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Output filter heuristic: </w:t>
      </w:r>
      <w:r>
        <w:t xml:space="preserve">the </w:t>
      </w:r>
      <w:r>
        <w:rPr>
          <w:rFonts w:ascii="Consolas" w:cs="Consolas" w:eastAsia="Consolas" w:hAnsi="Consolas"/>
          <w:sz w:val="22"/>
          <w:szCs w:val="22"/>
        </w:rPr>
        <w:t xml:space="preserve">0 &lt; sum(occupancy) &lt; 18</w:t>
      </w:r>
      <w:r>
        <w:t xml:space="preserve"> condition removes sites that are uniformly zero or uniformly saturated. Sites with very low but non-zero occupancy across all channels still pass through.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Differential analysis: </w:t>
      </w:r>
      <w:r>
        <w:t xml:space="preserve">limma assumes approximate normality of the transformed data; the histogram diagnostic is the only check. Mouse pairing is treated as a fixed effect rather than a random effect, which can over-fit when sites are sparse.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Effect-size threshold: </w:t>
      </w:r>
      <w:r>
        <w:t xml:space="preserve">the </w:t>
      </w:r>
      <w:r>
        <w:rPr>
          <w:rFonts w:ascii="Consolas" w:cs="Consolas" w:eastAsia="Consolas" w:hAnsi="Consolas"/>
          <w:sz w:val="22"/>
          <w:szCs w:val="22"/>
        </w:rPr>
        <w:t xml:space="preserve">logFC ≥ 0.03</w:t>
      </w:r>
      <w:r>
        <w:t xml:space="preserve"> cut-off for top hits corresponds to a ~2% change on the log₂ scale of mean-weighted abundance, </w:t>
      </w:r>
      <w:r>
        <w:rPr>
          <w:i/>
          <w:iCs/>
        </w:rPr>
        <w:t xml:space="preserve">not</w:t>
      </w:r>
      <w:r>
        <w:t xml:space="preserve"> a 2% change in occupancy itself; interpret </w:t>
      </w:r>
      <w:r>
        <w:rPr>
          <w:rFonts w:ascii="Consolas" w:cs="Consolas" w:eastAsia="Consolas" w:hAnsi="Consolas"/>
          <w:sz w:val="22"/>
          <w:szCs w:val="22"/>
        </w:rPr>
        <w:t xml:space="preserve">logFC</w:t>
      </w:r>
      <w:r>
        <w:t xml:space="preserve"> magnitudes accordingly.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Filenames and absolute paths (</w:t>
      </w:r>
      <w:r>
        <w:rPr>
          <w:rFonts w:ascii="Consolas" w:cs="Consolas" w:eastAsia="Consolas" w:hAnsi="Consolas"/>
          <w:sz w:val="22"/>
          <w:szCs w:val="22"/>
        </w:rPr>
        <w:t xml:space="preserve">AllPSMs.psmtsv</w:t>
      </w:r>
      <w:r>
        <w:t xml:space="preserve">, output TSV) are hardcoded — update before re-running on a new dataset.</w:t>
      </w:r>
    </w:p>
    <w:p>
      <w:pPr>
        <w:spacing w:after="120" w:line="300"/>
      </w:pPr>
      <w:r>
        <w:t xml:space="preserve"/>
      </w:r>
    </w:p>
    <w:p>
      <w:pPr>
        <w:spacing w:before="240"/>
      </w:pPr>
      <w:r>
        <w:rPr>
          <w:i/>
          <w:iCs/>
          <w:color w:val="888888"/>
          <w:sz w:val="18"/>
          <w:szCs w:val="18"/>
        </w:rPr>
        <w:t xml:space="preserve">Generated from psmsToOccupancies.ipynb. Edit freely.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psmsToOccupancies Pipeline Overview</dc:title>
  <dc:creator>Peter Cruz Parrilla</dc:creator>
  <cp:lastModifiedBy>Un-named</cp:lastModifiedBy>
  <cp:revision>1</cp:revision>
  <dcterms:created xsi:type="dcterms:W3CDTF">2026-05-04T22:06:00.294Z</dcterms:created>
  <dcterms:modified xsi:type="dcterms:W3CDTF">2026-05-04T22:06:00.298Z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