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D159" w14:textId="77777777" w:rsidR="007012C7" w:rsidRDefault="00000000">
      <w:pPr>
        <w:spacing w:after="80"/>
      </w:pPr>
      <w:proofErr w:type="spellStart"/>
      <w:r>
        <w:rPr>
          <w:b/>
          <w:bCs/>
          <w:color w:val="1A365D"/>
          <w:sz w:val="36"/>
          <w:szCs w:val="36"/>
        </w:rPr>
        <w:t>psmsToOccupancies</w:t>
      </w:r>
      <w:proofErr w:type="spellEnd"/>
      <w:r>
        <w:rPr>
          <w:b/>
          <w:bCs/>
          <w:color w:val="1A365D"/>
          <w:sz w:val="36"/>
          <w:szCs w:val="36"/>
        </w:rPr>
        <w:t xml:space="preserve"> — Rationale Summary</w:t>
      </w:r>
    </w:p>
    <w:p w14:paraId="4F51068B" w14:textId="2ADB3CC6" w:rsidR="007012C7" w:rsidRDefault="00000000">
      <w:pPr>
        <w:spacing w:after="140" w:line="320" w:lineRule="auto"/>
      </w:pPr>
      <w:r>
        <w:rPr>
          <w:i/>
          <w:iCs/>
          <w:color w:val="555555"/>
        </w:rPr>
        <w:t>Site-level PTM occupancy from a paired 18-plex TMT experiment (9 mice, alternating undrugged/drugged channels), followed by per-site differential analysis. This summary covers the reasoning behind each stage</w:t>
      </w:r>
      <w:r w:rsidR="006C7963">
        <w:rPr>
          <w:i/>
          <w:iCs/>
          <w:color w:val="555555"/>
        </w:rPr>
        <w:t>.</w:t>
      </w:r>
    </w:p>
    <w:p w14:paraId="7274D9B6" w14:textId="30BA7793" w:rsidR="007012C7" w:rsidRDefault="00000000">
      <w:pPr>
        <w:pStyle w:val="Heading2"/>
        <w:spacing w:after="140"/>
      </w:pPr>
      <w:r>
        <w:t xml:space="preserve">Pipeline </w:t>
      </w:r>
      <w:r w:rsidR="006C7963">
        <w:t>Overview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264"/>
        <w:gridCol w:w="1101"/>
        <w:gridCol w:w="264"/>
        <w:gridCol w:w="1109"/>
        <w:gridCol w:w="264"/>
        <w:gridCol w:w="1057"/>
        <w:gridCol w:w="264"/>
        <w:gridCol w:w="1124"/>
        <w:gridCol w:w="264"/>
        <w:gridCol w:w="1000"/>
        <w:gridCol w:w="264"/>
        <w:gridCol w:w="1059"/>
      </w:tblGrid>
      <w:tr w:rsidR="007012C7" w14:paraId="2DFA0A2B" w14:textId="77777777">
        <w:tblPrEx>
          <w:tblCellMar>
            <w:top w:w="0" w:type="dxa"/>
            <w:bottom w:w="0" w:type="dxa"/>
          </w:tblCellMar>
        </w:tblPrEx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FF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D10572" w14:textId="77777777" w:rsidR="007012C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AllPSMs.psmtsv</w:t>
            </w:r>
            <w:proofErr w:type="spellEnd"/>
          </w:p>
          <w:p w14:paraId="78CA904C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(430,665 PSMs)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E0EA20F" w14:textId="77777777" w:rsidR="007012C7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EF5E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6BC308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Filter &amp; QC</w:t>
            </w:r>
          </w:p>
          <w:p w14:paraId="5B2602D7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(q&lt;0.01, </w:t>
            </w:r>
            <w:proofErr w:type="spellStart"/>
            <w:r>
              <w:rPr>
                <w:sz w:val="16"/>
                <w:szCs w:val="16"/>
              </w:rPr>
              <w:t>ambig</w:t>
            </w:r>
            <w:proofErr w:type="spellEnd"/>
            <w:r>
              <w:rPr>
                <w:sz w:val="16"/>
                <w:szCs w:val="16"/>
              </w:rPr>
              <w:t>=1,</w:t>
            </w:r>
          </w:p>
          <w:p w14:paraId="5C47D263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no zero channels)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A5F0977" w14:textId="77777777" w:rsidR="007012C7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EF5E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FAEA7B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Median-normalize</w:t>
            </w:r>
          </w:p>
          <w:p w14:paraId="470238C4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18 TMT channels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488701" w14:textId="77777777" w:rsidR="007012C7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86FF5FF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Map peptide mods</w:t>
            </w:r>
          </w:p>
          <w:p w14:paraId="2A3D202A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to protein sites</w:t>
            </w:r>
          </w:p>
          <w:p w14:paraId="0607ADA6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(660 sites)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F9D6A3B" w14:textId="77777777" w:rsidR="007012C7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5E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5014ABB" w14:textId="77777777" w:rsidR="007012C7" w:rsidRDefault="00000000">
            <w:pPr>
              <w:jc w:val="center"/>
            </w:pPr>
            <w:proofErr w:type="gramStart"/>
            <w:r>
              <w:rPr>
                <w:sz w:val="16"/>
                <w:szCs w:val="16"/>
              </w:rPr>
              <w:t>Compute</w:t>
            </w:r>
            <w:proofErr w:type="gramEnd"/>
            <w:r>
              <w:rPr>
                <w:sz w:val="16"/>
                <w:szCs w:val="16"/>
              </w:rPr>
              <w:t xml:space="preserve"> occupancy</w:t>
            </w:r>
          </w:p>
          <w:p w14:paraId="1D9C8DA0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+ derived metrics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9F1F49D" w14:textId="77777777" w:rsidR="007012C7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E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241FB6E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Filter &amp; write</w:t>
            </w:r>
          </w:p>
          <w:p w14:paraId="6857A757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TSV (379 sites)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5BBA287" w14:textId="77777777" w:rsidR="007012C7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3E5F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A56DA6E" w14:textId="77777777" w:rsidR="007012C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limma-py</w:t>
            </w:r>
            <w:proofErr w:type="spellEnd"/>
            <w:r>
              <w:rPr>
                <w:sz w:val="16"/>
                <w:szCs w:val="16"/>
              </w:rPr>
              <w:t xml:space="preserve"> paired</w:t>
            </w:r>
          </w:p>
          <w:p w14:paraId="41066914" w14:textId="77777777" w:rsidR="007012C7" w:rsidRDefault="00000000">
            <w:pPr>
              <w:jc w:val="center"/>
            </w:pPr>
            <w:r>
              <w:rPr>
                <w:sz w:val="16"/>
                <w:szCs w:val="16"/>
              </w:rPr>
              <w:t>analysis &amp; volcano</w:t>
            </w:r>
          </w:p>
        </w:tc>
      </w:tr>
    </w:tbl>
    <w:p w14:paraId="6C64EEA8" w14:textId="77777777" w:rsidR="007012C7" w:rsidRDefault="007012C7">
      <w:pPr>
        <w:spacing w:after="140" w:line="320" w:lineRule="auto"/>
      </w:pPr>
    </w:p>
    <w:p w14:paraId="77249777" w14:textId="1DB6C54A" w:rsidR="007012C7" w:rsidRDefault="00000000">
      <w:pPr>
        <w:pStyle w:val="Heading2"/>
        <w:spacing w:after="140"/>
      </w:pPr>
      <w:r>
        <w:t xml:space="preserve">1. </w:t>
      </w:r>
      <w:r w:rsidR="006C7963">
        <w:t>Filtering</w:t>
      </w:r>
    </w:p>
    <w:p w14:paraId="42B6D1F7" w14:textId="08B494EF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Strict q-value cut-off and target-only hits: </w:t>
      </w:r>
      <w:r>
        <w:t>only PSMs at &lt;1% FDR survive. Standard for quant work.</w:t>
      </w:r>
    </w:p>
    <w:p w14:paraId="7AA1CF96" w14:textId="12EA8018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Ambiguity Level == 1 only: </w:t>
      </w:r>
      <w:r>
        <w:t xml:space="preserve">the strictest tier, where the peptide localizes unambiguously to one protein and one set of residues. Lower </w:t>
      </w:r>
      <w:proofErr w:type="gramStart"/>
      <w:r>
        <w:t>tiers</w:t>
      </w:r>
      <w:proofErr w:type="gramEnd"/>
      <w:r>
        <w:t xml:space="preserve"> (2A/2B) </w:t>
      </w:r>
      <w:r w:rsidR="006C7963">
        <w:t>can be implemented later if needed</w:t>
      </w:r>
      <w:r>
        <w:t>.</w:t>
      </w:r>
    </w:p>
    <w:p w14:paraId="2CA5AC0C" w14:textId="4940C41A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>Drop PSMs with any zero reporter-</w:t>
      </w:r>
      <w:proofErr w:type="gramStart"/>
      <w:r>
        <w:rPr>
          <w:b/>
          <w:bCs/>
        </w:rPr>
        <w:t>ion</w:t>
      </w:r>
      <w:proofErr w:type="gramEnd"/>
      <w:r>
        <w:rPr>
          <w:b/>
          <w:bCs/>
        </w:rPr>
        <w:t xml:space="preserve"> channel: </w:t>
      </w:r>
      <w:r>
        <w:t>occupancy is a per-channel ratio, so a missing reporter renders the entire row unusable for that site's denominator.</w:t>
      </w:r>
    </w:p>
    <w:p w14:paraId="6AC61A41" w14:textId="7BB222FC" w:rsidR="007012C7" w:rsidRDefault="006C7963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>Ignore uninteresting modifications</w:t>
      </w:r>
      <w:r w:rsidR="00000000">
        <w:rPr>
          <w:b/>
          <w:bCs/>
        </w:rPr>
        <w:t xml:space="preserve">: </w:t>
      </w:r>
      <w:r w:rsidR="00000000">
        <w:t xml:space="preserve">Multiplex Label, Common Variable / Fixed, Metal, and Artifact </w:t>
      </w:r>
      <w:r>
        <w:t>modifications are not included in occupancy reporting</w:t>
      </w:r>
      <w:r w:rsidR="00000000">
        <w:t>.</w:t>
      </w:r>
    </w:p>
    <w:p w14:paraId="4CEA1DE8" w14:textId="3140189E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Drop </w:t>
      </w:r>
      <w:r w:rsidR="006C7963">
        <w:rPr>
          <w:b/>
          <w:bCs/>
        </w:rPr>
        <w:t>ambiguous, “</w:t>
      </w:r>
      <w:r>
        <w:rPr>
          <w:b/>
          <w:bCs/>
        </w:rPr>
        <w:t>|</w:t>
      </w:r>
      <w:r w:rsidR="006C7963">
        <w:rPr>
          <w:b/>
          <w:bCs/>
        </w:rPr>
        <w:t>”</w:t>
      </w:r>
      <w:r>
        <w:rPr>
          <w:b/>
          <w:bCs/>
        </w:rPr>
        <w:t xml:space="preserve">-containing rows: </w:t>
      </w:r>
      <w:r>
        <w:t>any sequence or span string with a pipe represents alternative localization candidates. For occupancy we need a single answer per residue, so those rows go (about 65 spans, no sequence-level duplicates after the stricter ambiguity filter — &lt;0.05% of total intensity).</w:t>
      </w:r>
    </w:p>
    <w:p w14:paraId="4C8A3582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Treat "Phosphorylation on S" and "Phosphoserine on S" as one annotation: </w:t>
      </w:r>
      <w:r>
        <w:t xml:space="preserve">the search engine emits both strings for what </w:t>
      </w:r>
      <w:proofErr w:type="gramStart"/>
      <w:r>
        <w:t>is biologically the same modification in this dataset</w:t>
      </w:r>
      <w:proofErr w:type="gramEnd"/>
      <w:r>
        <w:t>.</w:t>
      </w:r>
    </w:p>
    <w:p w14:paraId="6D33891A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Coverage </w:t>
      </w:r>
      <w:proofErr w:type="gramStart"/>
      <w:r>
        <w:rPr>
          <w:b/>
          <w:bCs/>
        </w:rPr>
        <w:t>check</w:t>
      </w:r>
      <w:proofErr w:type="gramEnd"/>
      <w:r>
        <w:rPr>
          <w:b/>
          <w:bCs/>
        </w:rPr>
        <w:t xml:space="preserve"> on protein groups: </w:t>
      </w:r>
      <w:r>
        <w:t>only Q61029/Q61033 share peptides; manually inspecting the peptide spans on the protein confirmed that shared and unique peptides cover disjoint regions, so the protein groups are kept as-is rather than collapsed.</w:t>
      </w:r>
    </w:p>
    <w:p w14:paraId="06E01ECE" w14:textId="195B45E8" w:rsidR="007012C7" w:rsidRDefault="006C7963">
      <w:pPr>
        <w:pStyle w:val="Heading2"/>
        <w:spacing w:after="140"/>
      </w:pPr>
      <w:r>
        <w:t>2</w:t>
      </w:r>
      <w:r w:rsidR="00000000">
        <w:t>. Re-Aggregating PSMs Into Site-Level Quantities</w:t>
      </w:r>
    </w:p>
    <w:p w14:paraId="5F0A6893" w14:textId="77777777" w:rsidR="007012C7" w:rsidRDefault="00000000">
      <w:pPr>
        <w:spacing w:after="140" w:line="320" w:lineRule="auto"/>
      </w:pPr>
      <w:r>
        <w:t>Mass spec gives you peptide-level information; the biology of interest sits at the residue level. The mapping step rewires the data accordingly:</w:t>
      </w:r>
    </w:p>
    <w:p w14:paraId="2D5AC1E5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Peptide → protein coordinates: </w:t>
      </w:r>
      <w:r>
        <w:t xml:space="preserve">the start/end residue annotation lets us translate a modification at peptide position </w:t>
      </w:r>
      <w:r>
        <w:rPr>
          <w:rFonts w:ascii="Consolas" w:eastAsia="Consolas" w:hAnsi="Consolas" w:cs="Consolas"/>
        </w:rPr>
        <w:t>k</w:t>
      </w:r>
      <w:r>
        <w:t xml:space="preserve"> into protein position </w:t>
      </w:r>
      <w:proofErr w:type="spellStart"/>
      <w:proofErr w:type="gramStart"/>
      <w:r>
        <w:rPr>
          <w:rFonts w:ascii="Consolas" w:eastAsia="Consolas" w:hAnsi="Consolas" w:cs="Consolas"/>
        </w:rPr>
        <w:t>span.start</w:t>
      </w:r>
      <w:proofErr w:type="spellEnd"/>
      <w:proofErr w:type="gramEnd"/>
      <w:r>
        <w:rPr>
          <w:rFonts w:ascii="Consolas" w:eastAsia="Consolas" w:hAnsi="Consolas" w:cs="Consolas"/>
        </w:rPr>
        <w:t xml:space="preserve"> + k − 1</w:t>
      </w:r>
      <w:r>
        <w:t xml:space="preserve">. Peptide-N-terminal mods are credited to the protein only when the peptide </w:t>
      </w:r>
      <w:proofErr w:type="gramStart"/>
      <w:r>
        <w:t>actually starts</w:t>
      </w:r>
      <w:proofErr w:type="gramEnd"/>
      <w:r>
        <w:t xml:space="preserve"> at protein position 1.</w:t>
      </w:r>
    </w:p>
    <w:p w14:paraId="0DCD36A7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Two parallel sums per (residue, accession) pair: </w:t>
      </w:r>
      <w:r>
        <w:t xml:space="preserve">a </w:t>
      </w:r>
      <w:r>
        <w:rPr>
          <w:b/>
          <w:bCs/>
        </w:rPr>
        <w:t>total</w:t>
      </w:r>
      <w:r>
        <w:t xml:space="preserve"> intensity vector across the 18 channels (sum of TMT vectors of </w:t>
      </w:r>
      <w:r>
        <w:rPr>
          <w:i/>
          <w:iCs/>
        </w:rPr>
        <w:t>all</w:t>
      </w:r>
      <w:r>
        <w:t xml:space="preserve"> PSMs covering that residue, modified or not) and, for each modification observed at </w:t>
      </w:r>
      <w:r>
        <w:lastRenderedPageBreak/>
        <w:t xml:space="preserve">that residue, a </w:t>
      </w:r>
      <w:r>
        <w:rPr>
          <w:b/>
          <w:bCs/>
        </w:rPr>
        <w:t>modified</w:t>
      </w:r>
      <w:r>
        <w:t xml:space="preserve"> intensity vector (sum of TMT vectors of </w:t>
      </w:r>
      <w:r>
        <w:rPr>
          <w:i/>
          <w:iCs/>
        </w:rPr>
        <w:t>only</w:t>
      </w:r>
      <w:r>
        <w:t xml:space="preserve"> the PSMs carrying that modification at that exact residue).</w:t>
      </w:r>
    </w:p>
    <w:p w14:paraId="14B64A96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Why both: </w:t>
      </w:r>
      <w:r>
        <w:t>occupancy is a within-channel ratio of these two vectors. Without the site-level total as the denominator, raw modified intensity is just protein abundance.</w:t>
      </w:r>
    </w:p>
    <w:p w14:paraId="30580C86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Result: </w:t>
      </w:r>
      <w:r>
        <w:t>660 unique (modification, residue, accession) tuples, each with a per-channel modified vector, a per-channel total vector, and a count of supporting PSMs.</w:t>
      </w:r>
    </w:p>
    <w:p w14:paraId="3CE534B7" w14:textId="540998C2" w:rsidR="007012C7" w:rsidRDefault="006C7963">
      <w:pPr>
        <w:pStyle w:val="Heading2"/>
        <w:spacing w:after="140"/>
      </w:pPr>
      <w:r>
        <w:t>3</w:t>
      </w:r>
      <w:r w:rsidR="00000000">
        <w:t xml:space="preserve">. Occupancy </w:t>
      </w:r>
      <w:r w:rsidR="00CB639A">
        <w:t>Calculation</w:t>
      </w:r>
    </w:p>
    <w:p w14:paraId="4024279F" w14:textId="77777777" w:rsidR="007012C7" w:rsidRDefault="00000000">
      <w:pPr>
        <w:spacing w:after="140" w:line="320" w:lineRule="auto"/>
      </w:pPr>
      <w:r>
        <w:t xml:space="preserve">Per channel: </w:t>
      </w:r>
      <w:r>
        <w:rPr>
          <w:rFonts w:ascii="Consolas" w:eastAsia="Consolas" w:hAnsi="Consolas" w:cs="Consolas"/>
        </w:rPr>
        <w:t>occupancy = modified / total</w:t>
      </w:r>
      <w:r>
        <w:t>. The output table carries four quantities per site, deliberately:</w:t>
      </w:r>
    </w:p>
    <w:p w14:paraId="10BF6D32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Occupancy: </w:t>
      </w:r>
      <w:r>
        <w:t xml:space="preserve">the original target metric. Bounded in [0,1] (in principle), so it's interpretable as "fraction of molecules carrying this PTM at this site, </w:t>
      </w:r>
      <w:proofErr w:type="gramStart"/>
      <w:r>
        <w:t>in</w:t>
      </w:r>
      <w:proofErr w:type="gramEnd"/>
      <w:r>
        <w:t xml:space="preserve"> this channel."</w:t>
      </w:r>
    </w:p>
    <w:p w14:paraId="1ACCD7E8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Mean sample intensity-weighted site abundance: </w:t>
      </w:r>
      <w:r>
        <w:rPr>
          <w:rFonts w:ascii="Consolas" w:eastAsia="Consolas" w:hAnsi="Consolas" w:cs="Consolas"/>
        </w:rPr>
        <w:t xml:space="preserve">occupancy × </w:t>
      </w:r>
      <w:proofErr w:type="gramStart"/>
      <w:r>
        <w:rPr>
          <w:rFonts w:ascii="Consolas" w:eastAsia="Consolas" w:hAnsi="Consolas" w:cs="Consolas"/>
        </w:rPr>
        <w:t>mean(</w:t>
      </w:r>
      <w:proofErr w:type="spellStart"/>
      <w:proofErr w:type="gramEnd"/>
      <w:r>
        <w:rPr>
          <w:rFonts w:ascii="Consolas" w:eastAsia="Consolas" w:hAnsi="Consolas" w:cs="Consolas"/>
        </w:rPr>
        <w:t>total_intensity</w:t>
      </w:r>
      <w:proofErr w:type="spellEnd"/>
      <w:r>
        <w:rPr>
          <w:rFonts w:ascii="Consolas" w:eastAsia="Consolas" w:hAnsi="Consolas" w:cs="Consolas"/>
        </w:rPr>
        <w:t xml:space="preserve"> across sites)</w:t>
      </w:r>
      <w:r>
        <w:t xml:space="preserve">. Pure occupancy compresses the dynamic range — a 5% site and a 50% site can both be biologically real, but on a linear scale the 5% site looks like noise next to a 50% site at a high-abundance protein. Re-multiplying by mean total intensity puts low- and high-abundance sites onto a comparable absolute scale, which is what </w:t>
      </w:r>
      <w:proofErr w:type="spellStart"/>
      <w:r>
        <w:t>limma's</w:t>
      </w:r>
      <w:proofErr w:type="spellEnd"/>
      <w:r>
        <w:t xml:space="preserve"> homoscedasticity assumption needs.</w:t>
      </w:r>
    </w:p>
    <w:p w14:paraId="3F83905C" w14:textId="7428B71F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Filter to sites with non-trivial variance: </w:t>
      </w:r>
      <w:r>
        <w:t>retain only rows</w:t>
      </w:r>
      <w:r w:rsidR="006C7963">
        <w:t xml:space="preserve"> where the occupancy is not uniformly 1 across channels, meaning that we only observe the modified peptide spanning that site</w:t>
      </w:r>
      <w:r>
        <w:t xml:space="preserve">. 660 → </w:t>
      </w:r>
      <w:r>
        <w:rPr>
          <w:b/>
          <w:bCs/>
        </w:rPr>
        <w:t>379 sites</w:t>
      </w:r>
      <w:r>
        <w:t xml:space="preserve"> go forward.</w:t>
      </w:r>
    </w:p>
    <w:p w14:paraId="3545F24A" w14:textId="6936176E" w:rsidR="007012C7" w:rsidRDefault="006C7963">
      <w:pPr>
        <w:pStyle w:val="Heading2"/>
        <w:spacing w:after="140"/>
      </w:pPr>
      <w:r>
        <w:t>4</w:t>
      </w:r>
      <w:r w:rsidR="00000000">
        <w:t>. Differential Occupancy Across Drug Conditions</w:t>
      </w:r>
    </w:p>
    <w:p w14:paraId="576CC4B1" w14:textId="77777777" w:rsidR="007012C7" w:rsidRDefault="00000000">
      <w:pPr>
        <w:spacing w:after="140" w:line="320" w:lineRule="auto"/>
      </w:pPr>
      <w:r>
        <w:t>With per-site, per-channel occupancy in hand, the question is straightforward: which sites shift systematically between drugged and undrugged channels, beyond what mouse-to-mouse variance would predict? The choices that matter:</w:t>
      </w:r>
    </w:p>
    <w:p w14:paraId="02C2A2E8" w14:textId="41AD3A46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>Pair the mice as fixed effects</w:t>
      </w:r>
      <w:r w:rsidR="00CB639A">
        <w:rPr>
          <w:b/>
          <w:bCs/>
        </w:rPr>
        <w:t xml:space="preserve"> in the experimental design</w:t>
      </w:r>
      <w:r>
        <w:t>.</w:t>
      </w:r>
    </w:p>
    <w:p w14:paraId="7FF04145" w14:textId="3A4B1F7F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Transform before </w:t>
      </w:r>
      <w:proofErr w:type="gramStart"/>
      <w:r>
        <w:rPr>
          <w:b/>
          <w:bCs/>
        </w:rPr>
        <w:t>fitting:</w:t>
      </w:r>
      <w:proofErr w:type="gramEnd"/>
      <w:r>
        <w:rPr>
          <w:b/>
          <w:bCs/>
        </w:rPr>
        <w:t xml:space="preserve"> </w:t>
      </w:r>
      <w:r>
        <w:t xml:space="preserve">occupancy distributions are right-skewed and bounded; their histograms are nowhere near normal. After multiplying by mean total intensity, log₂ transformation produces a roughly normal distribution per channel, which the linear model needs. Logit is also computed as an alternative for sites where boundedness is the dominant feature, but log₂(mean-weighted) is the matrix </w:t>
      </w:r>
      <w:proofErr w:type="gramStart"/>
      <w:r>
        <w:t xml:space="preserve">actually </w:t>
      </w:r>
      <w:r w:rsidR="00CB639A">
        <w:t>used</w:t>
      </w:r>
      <w:proofErr w:type="gramEnd"/>
      <w:r w:rsidR="00CB639A">
        <w:t xml:space="preserve"> to produce the volcano plot, since its </w:t>
      </w:r>
      <w:r w:rsidR="00CB639A">
        <w:t xml:space="preserve">log₂ </w:t>
      </w:r>
      <w:r w:rsidR="00CB639A">
        <w:t>fold change directly reflects changes in occupancy</w:t>
      </w:r>
      <w:r>
        <w:t>.</w:t>
      </w:r>
    </w:p>
    <w:p w14:paraId="3F04ED9A" w14:textId="0BA996EC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Empirical Bayes moderation: </w:t>
      </w:r>
      <w:r>
        <w:t xml:space="preserve">with only 9 pairs per site, per-site variance estimates are noisy. </w:t>
      </w:r>
      <w:proofErr w:type="spellStart"/>
      <w:r>
        <w:t>eBayes</w:t>
      </w:r>
      <w:proofErr w:type="spellEnd"/>
      <w:r>
        <w:t xml:space="preserve"> shrinkage borrows information across sites to stabilize them</w:t>
      </w:r>
      <w:r w:rsidR="00CB639A">
        <w:t>,</w:t>
      </w:r>
      <w:r>
        <w:t xml:space="preserve"> important here because the t-statistic at any single site is otherwise dominated by the variance estimate.</w:t>
      </w:r>
    </w:p>
    <w:p w14:paraId="3B1C0F54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BH multiple-testing correction </w:t>
      </w:r>
      <w:r>
        <w:t>across the 379 tested sites controls the false discovery rate.</w:t>
      </w:r>
    </w:p>
    <w:p w14:paraId="3E84CFF3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lastRenderedPageBreak/>
        <w:t xml:space="preserve">Volcano with size-encoding: </w:t>
      </w:r>
      <w:proofErr w:type="spellStart"/>
      <w:r>
        <w:t>logFC</w:t>
      </w:r>
      <w:proofErr w:type="spellEnd"/>
      <w:r>
        <w:t xml:space="preserve"> vs −log₁</w:t>
      </w:r>
      <w:proofErr w:type="gramStart"/>
      <w:r>
        <w:t>₀(</w:t>
      </w:r>
      <w:proofErr w:type="gramEnd"/>
      <w:r>
        <w:t>adj. p-value), marker area proportional to mean per-site occupancy. The size dimension prevents the eye from over-weighting a statistically clean shift at a 0.5% site relative to a comparable shift at a 50% site.</w:t>
      </w:r>
    </w:p>
    <w:p w14:paraId="082A6D3B" w14:textId="00E8E81F" w:rsidR="007012C7" w:rsidRDefault="006C7963">
      <w:pPr>
        <w:pStyle w:val="Heading2"/>
        <w:spacing w:after="140"/>
      </w:pPr>
      <w:r>
        <w:t>5</w:t>
      </w:r>
      <w:r w:rsidR="00000000">
        <w:t xml:space="preserve">. </w:t>
      </w:r>
      <w:r w:rsidR="00CB639A">
        <w:t>Outputs</w:t>
      </w:r>
    </w:p>
    <w:p w14:paraId="5EAD1CA4" w14:textId="38051B9C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Site-level TSV </w:t>
      </w:r>
      <w:r>
        <w:t>(379 rows × 76 columns): metadata + four 18-channel groups (mod intensity, total intensity, mean-weighted abundance, occupancy). The four groups are kept side-by-side</w:t>
      </w:r>
      <w:r w:rsidR="00CB639A">
        <w:t>.</w:t>
      </w:r>
    </w:p>
    <w:p w14:paraId="32309FDD" w14:textId="77777777" w:rsidR="007012C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Top </w:t>
      </w:r>
      <w:proofErr w:type="gramStart"/>
      <w:r>
        <w:rPr>
          <w:b/>
          <w:bCs/>
        </w:rPr>
        <w:t>differentially-occupied</w:t>
      </w:r>
      <w:proofErr w:type="gramEnd"/>
      <w:r>
        <w:rPr>
          <w:b/>
          <w:bCs/>
        </w:rPr>
        <w:t xml:space="preserve"> sites </w:t>
      </w:r>
      <w:r>
        <w:t>(|</w:t>
      </w:r>
      <w:proofErr w:type="spellStart"/>
      <w:r>
        <w:t>logFC</w:t>
      </w:r>
      <w:proofErr w:type="spellEnd"/>
      <w:r>
        <w:t xml:space="preserve">| ≥ 0.03 on the log₂(mean-weighted) scale, BH-adjusted p ≤ 0.005): H1-4 S36, Sqstm1 S24, Ctnnd1 S864, Pebp1 P11 (hydroxylation), Sgt S307, Hid1 S593, </w:t>
      </w:r>
      <w:proofErr w:type="spellStart"/>
      <w:r>
        <w:t>Slk</w:t>
      </w:r>
      <w:proofErr w:type="spellEnd"/>
      <w:r>
        <w:t xml:space="preserve"> S647, Syap1 S283, Srp14 S45.</w:t>
      </w:r>
    </w:p>
    <w:p w14:paraId="0E71A46D" w14:textId="4443EF90" w:rsidR="007012C7" w:rsidRDefault="006C7963">
      <w:pPr>
        <w:pStyle w:val="Heading2"/>
        <w:spacing w:after="140"/>
      </w:pPr>
      <w:r>
        <w:t>6</w:t>
      </w:r>
      <w:r w:rsidR="00000000">
        <w:t xml:space="preserve">. </w:t>
      </w:r>
      <w:r w:rsidR="00CB639A">
        <w:t>Notes</w:t>
      </w:r>
    </w:p>
    <w:p w14:paraId="5BCFC420" w14:textId="3700FA3A" w:rsidR="007012C7" w:rsidRDefault="00000000" w:rsidP="00CB639A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Drop-on-any-zero is conservative. </w:t>
      </w:r>
      <w:r>
        <w:t>A single missing reporter ion eliminates the entire PSM from the site-level sums. This biases the surviving set toward higher-abundance peptides and may under-power detection at low-occupancy sites.</w:t>
      </w:r>
    </w:p>
    <w:p w14:paraId="11A076CF" w14:textId="08426D10" w:rsidR="007012C7" w:rsidRDefault="00000000" w:rsidP="006E6B6D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Mean-weighting is not an IE correction. </w:t>
      </w:r>
      <w:r>
        <w:t>It rescales sites onto a common intensity range to satisfy variance assumptions; it does not correct for peptide-specific ionization efficiency. Two sites on different peptides are still compared with peptide-specific bia</w:t>
      </w:r>
      <w:r w:rsidR="00CB639A">
        <w:t>s</w:t>
      </w:r>
      <w:r>
        <w:t>.</w:t>
      </w:r>
    </w:p>
    <w:sectPr w:rsidR="007012C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7622"/>
    <w:multiLevelType w:val="hybridMultilevel"/>
    <w:tmpl w:val="90C09B3A"/>
    <w:lvl w:ilvl="0" w:tplc="979CAFCC">
      <w:start w:val="1"/>
      <w:numFmt w:val="bullet"/>
      <w:lvlText w:val="•"/>
      <w:lvlJc w:val="left"/>
      <w:pPr>
        <w:ind w:left="540" w:hanging="270"/>
      </w:pPr>
    </w:lvl>
    <w:lvl w:ilvl="1" w:tplc="9322FCA4">
      <w:numFmt w:val="decimal"/>
      <w:lvlText w:val=""/>
      <w:lvlJc w:val="left"/>
    </w:lvl>
    <w:lvl w:ilvl="2" w:tplc="B2A62076">
      <w:numFmt w:val="decimal"/>
      <w:lvlText w:val=""/>
      <w:lvlJc w:val="left"/>
    </w:lvl>
    <w:lvl w:ilvl="3" w:tplc="BD38C88A">
      <w:numFmt w:val="decimal"/>
      <w:lvlText w:val=""/>
      <w:lvlJc w:val="left"/>
    </w:lvl>
    <w:lvl w:ilvl="4" w:tplc="0542F188">
      <w:numFmt w:val="decimal"/>
      <w:lvlText w:val=""/>
      <w:lvlJc w:val="left"/>
    </w:lvl>
    <w:lvl w:ilvl="5" w:tplc="6D527CD4">
      <w:numFmt w:val="decimal"/>
      <w:lvlText w:val=""/>
      <w:lvlJc w:val="left"/>
    </w:lvl>
    <w:lvl w:ilvl="6" w:tplc="44C22652">
      <w:numFmt w:val="decimal"/>
      <w:lvlText w:val=""/>
      <w:lvlJc w:val="left"/>
    </w:lvl>
    <w:lvl w:ilvl="7" w:tplc="70167358">
      <w:numFmt w:val="decimal"/>
      <w:lvlText w:val=""/>
      <w:lvlJc w:val="left"/>
    </w:lvl>
    <w:lvl w:ilvl="8" w:tplc="8092E1AA">
      <w:numFmt w:val="decimal"/>
      <w:lvlText w:val=""/>
      <w:lvlJc w:val="left"/>
    </w:lvl>
  </w:abstractNum>
  <w:abstractNum w:abstractNumId="1" w15:restartNumberingAfterBreak="0">
    <w:nsid w:val="45837EB6"/>
    <w:multiLevelType w:val="hybridMultilevel"/>
    <w:tmpl w:val="A51A6230"/>
    <w:lvl w:ilvl="0" w:tplc="49F83B54">
      <w:start w:val="1"/>
      <w:numFmt w:val="bullet"/>
      <w:lvlText w:val="●"/>
      <w:lvlJc w:val="left"/>
      <w:pPr>
        <w:ind w:left="720" w:hanging="360"/>
      </w:pPr>
    </w:lvl>
    <w:lvl w:ilvl="1" w:tplc="8FD2E426">
      <w:start w:val="1"/>
      <w:numFmt w:val="bullet"/>
      <w:lvlText w:val="○"/>
      <w:lvlJc w:val="left"/>
      <w:pPr>
        <w:ind w:left="1440" w:hanging="360"/>
      </w:pPr>
    </w:lvl>
    <w:lvl w:ilvl="2" w:tplc="189EE054">
      <w:start w:val="1"/>
      <w:numFmt w:val="bullet"/>
      <w:lvlText w:val="■"/>
      <w:lvlJc w:val="left"/>
      <w:pPr>
        <w:ind w:left="2160" w:hanging="360"/>
      </w:pPr>
    </w:lvl>
    <w:lvl w:ilvl="3" w:tplc="90A0C100">
      <w:start w:val="1"/>
      <w:numFmt w:val="bullet"/>
      <w:lvlText w:val="●"/>
      <w:lvlJc w:val="left"/>
      <w:pPr>
        <w:ind w:left="2880" w:hanging="360"/>
      </w:pPr>
    </w:lvl>
    <w:lvl w:ilvl="4" w:tplc="91A4C1C4">
      <w:start w:val="1"/>
      <w:numFmt w:val="bullet"/>
      <w:lvlText w:val="○"/>
      <w:lvlJc w:val="left"/>
      <w:pPr>
        <w:ind w:left="3600" w:hanging="360"/>
      </w:pPr>
    </w:lvl>
    <w:lvl w:ilvl="5" w:tplc="FBA8EC04">
      <w:start w:val="1"/>
      <w:numFmt w:val="bullet"/>
      <w:lvlText w:val="■"/>
      <w:lvlJc w:val="left"/>
      <w:pPr>
        <w:ind w:left="4320" w:hanging="360"/>
      </w:pPr>
    </w:lvl>
    <w:lvl w:ilvl="6" w:tplc="05FAB9FE">
      <w:start w:val="1"/>
      <w:numFmt w:val="bullet"/>
      <w:lvlText w:val="●"/>
      <w:lvlJc w:val="left"/>
      <w:pPr>
        <w:ind w:left="5040" w:hanging="360"/>
      </w:pPr>
    </w:lvl>
    <w:lvl w:ilvl="7" w:tplc="C194E8DA">
      <w:start w:val="1"/>
      <w:numFmt w:val="bullet"/>
      <w:lvlText w:val="●"/>
      <w:lvlJc w:val="left"/>
      <w:pPr>
        <w:ind w:left="5760" w:hanging="360"/>
      </w:pPr>
    </w:lvl>
    <w:lvl w:ilvl="8" w:tplc="AB4AE41C">
      <w:start w:val="1"/>
      <w:numFmt w:val="bullet"/>
      <w:lvlText w:val="●"/>
      <w:lvlJc w:val="left"/>
      <w:pPr>
        <w:ind w:left="6480" w:hanging="360"/>
      </w:pPr>
    </w:lvl>
  </w:abstractNum>
  <w:num w:numId="1" w16cid:durableId="357242843">
    <w:abstractNumId w:val="1"/>
    <w:lvlOverride w:ilvl="0">
      <w:startOverride w:val="1"/>
    </w:lvlOverride>
  </w:num>
  <w:num w:numId="2" w16cid:durableId="1485245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2C7"/>
    <w:rsid w:val="006C7963"/>
    <w:rsid w:val="006E6B6D"/>
    <w:rsid w:val="007012C7"/>
    <w:rsid w:val="009D17EC"/>
    <w:rsid w:val="00AB4A9C"/>
    <w:rsid w:val="00CB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177D"/>
  <w15:docId w15:val="{5C6B179C-CA35-48B9-AE5E-20F232FF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65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psmsToOccupancies — Rationale Summary</vt:lpstr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psmsToOccupancies — Rationale Summary</dc:title>
  <dc:creator>Peter Cruz Parrilla</dc:creator>
  <cp:lastModifiedBy>Peter Louis Cruz Parrilla</cp:lastModifiedBy>
  <cp:revision>4</cp:revision>
  <dcterms:created xsi:type="dcterms:W3CDTF">2026-05-04T22:22:00Z</dcterms:created>
  <dcterms:modified xsi:type="dcterms:W3CDTF">2026-05-04T22:44:00Z</dcterms:modified>
</cp:coreProperties>
</file>