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F2" w:rsidRPr="00F0784B" w:rsidRDefault="00C838F2" w:rsidP="00C838F2">
      <w:pPr>
        <w:jc w:val="center"/>
        <w:rPr>
          <w:rFonts w:ascii="Century Gothic" w:hAnsi="Century Gothic"/>
          <w:sz w:val="32"/>
          <w:szCs w:val="32"/>
          <w:lang w:val="es-ES"/>
        </w:rPr>
      </w:pPr>
      <w:r>
        <w:rPr>
          <w:rFonts w:ascii="Century Gothic" w:hAnsi="Century Gothic"/>
          <w:noProof/>
          <w:sz w:val="32"/>
          <w:szCs w:val="32"/>
          <w:lang w:val="es-PE" w:eastAsia="es-PE"/>
        </w:rPr>
        <w:drawing>
          <wp:inline distT="0" distB="0" distL="0" distR="0" wp14:anchorId="56FEA198" wp14:editId="018A3045">
            <wp:extent cx="1894417" cy="1236356"/>
            <wp:effectExtent l="19050" t="0" r="0" b="0"/>
            <wp:docPr id="1" name="0 Imagen" descr="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88" cy="12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F2" w:rsidRPr="002A0676" w:rsidRDefault="00C838F2" w:rsidP="00C838F2">
      <w:pPr>
        <w:rPr>
          <w:rFonts w:ascii="Century Gothic" w:eastAsia="Arial" w:hAnsi="Century Gothic" w:cs="Arial"/>
          <w:spacing w:val="3"/>
          <w:lang w:val="es-ES"/>
        </w:rPr>
      </w:pPr>
    </w:p>
    <w:p w:rsidR="00C838F2" w:rsidRDefault="00C838F2" w:rsidP="00C838F2">
      <w:pPr>
        <w:jc w:val="center"/>
        <w:rPr>
          <w:rFonts w:ascii="Century Gothic" w:eastAsia="Arial" w:hAnsi="Century Gothic" w:cs="Arial"/>
          <w:spacing w:val="3"/>
          <w:lang w:val="es-ES"/>
        </w:rPr>
      </w:pPr>
    </w:p>
    <w:p w:rsidR="00C838F2" w:rsidRDefault="00C838F2" w:rsidP="00C838F2">
      <w:pPr>
        <w:jc w:val="center"/>
        <w:rPr>
          <w:rFonts w:ascii="Century Gothic" w:eastAsia="Arial" w:hAnsi="Century Gothic" w:cs="Arial"/>
          <w:spacing w:val="3"/>
          <w:lang w:val="es-ES"/>
        </w:rPr>
      </w:pP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</w:pP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Propuesta Económica </w:t>
      </w:r>
      <w:r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Cambio en la cancelación de los Apoyo Social Económico (ASE) de la </w:t>
      </w:r>
      <w:r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  </w:t>
      </w:r>
      <w:r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br/>
      </w: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“A</w:t>
      </w:r>
      <w:r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>SOCIACION</w:t>
      </w:r>
      <w:r w:rsidRPr="009A0C20"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t xml:space="preserve"> AUXILIO COOPERATIVO MILITAR DE RETIRO”</w:t>
      </w:r>
    </w:p>
    <w:p w:rsidR="00C838F2" w:rsidRPr="009A0C20" w:rsidRDefault="00C838F2" w:rsidP="00C838F2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 xml:space="preserve">Pedro </w:t>
      </w:r>
      <w:proofErr w:type="spellStart"/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Curich</w:t>
      </w:r>
      <w:proofErr w:type="spellEnd"/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 xml:space="preserve"> Gonzales</w:t>
      </w: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 xml:space="preserve">Jesús B. Chávez </w:t>
      </w:r>
      <w:proofErr w:type="spellStart"/>
      <w:r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Olórtegui</w:t>
      </w:r>
      <w:proofErr w:type="spellEnd"/>
    </w:p>
    <w:p w:rsidR="00C838F2" w:rsidRPr="009A0C20" w:rsidRDefault="00C838F2" w:rsidP="00C838F2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Lima, Perú</w:t>
      </w: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</w:p>
    <w:p w:rsidR="00C838F2" w:rsidRPr="009A0C20" w:rsidRDefault="00C838F2" w:rsidP="00C838F2">
      <w:pPr>
        <w:jc w:val="center"/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</w:pPr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23 Octubre</w:t>
      </w:r>
      <w:r w:rsidRPr="009A0C20"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 xml:space="preserve"> 201</w:t>
      </w:r>
      <w:r>
        <w:rPr>
          <w:rFonts w:ascii="Century Gothic" w:eastAsia="Arial" w:hAnsi="Century Gothic" w:cs="Arial"/>
          <w:color w:val="7F7F7F" w:themeColor="text1" w:themeTint="80"/>
          <w:spacing w:val="3"/>
          <w:lang w:val="es-ES"/>
        </w:rPr>
        <w:t>7</w:t>
      </w:r>
    </w:p>
    <w:p w:rsidR="00C838F2" w:rsidRDefault="00C838F2">
      <w:pPr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</w:pPr>
      <w:r>
        <w:rPr>
          <w:rFonts w:ascii="Century Gothic" w:eastAsia="Arial" w:hAnsi="Century Gothic" w:cs="Arial"/>
          <w:color w:val="7F7F7F" w:themeColor="text1" w:themeTint="80"/>
          <w:spacing w:val="3"/>
          <w:sz w:val="28"/>
          <w:szCs w:val="28"/>
          <w:lang w:val="es-ES"/>
        </w:rPr>
        <w:br w:type="page"/>
      </w:r>
    </w:p>
    <w:p w:rsidR="00C838F2" w:rsidRDefault="00C838F2" w:rsidP="00C838F2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lastRenderedPageBreak/>
        <w:t>Consideraciones.</w:t>
      </w:r>
    </w:p>
    <w:p w:rsidR="00C838F2" w:rsidRDefault="00C838F2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Realizar un cambio en el sistema ACMR de una lógica de negocio </w:t>
      </w:r>
      <w:r w:rsidRPr="00C838F2">
        <w:rPr>
          <w:rFonts w:ascii="Century Gothic" w:hAnsi="Century Gothic"/>
          <w:b/>
          <w:color w:val="434343"/>
          <w:shd w:val="clear" w:color="auto" w:fill="FFFFFF"/>
          <w:lang w:val="es-PE" w:eastAsia="es-ES"/>
        </w:rPr>
        <w:t>fundamental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, impacta en varios componentes que integran al sistema ya que por la arquitectura que posee se ve implicado modificar los procesos </w:t>
      </w:r>
      <w:proofErr w:type="spellStart"/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bacheros</w:t>
      </w:r>
      <w:proofErr w:type="spellEnd"/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que trabajan a nivel de servicios de Windows, la web de la extranet y la propia base de datos con el aplicativo de la intranet propiamente.</w:t>
      </w:r>
    </w:p>
    <w:p w:rsidR="00C838F2" w:rsidRDefault="00C838F2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Desde un punto de vista analítico el impacto de dicho cambio conlleva a tener la facilidad de tener 2 diferentes maneras de poder realizar una cancelación de los apoyos, considerando el interés o no considerándolos. Dicha selección quedaría campo parte de la funcionalidad del sistema para que en un futuro se pueda modificar o agregar una nueva forma y que dicho cambio no afecte </w:t>
      </w:r>
      <w:r w:rsidR="00882A9E">
        <w:rPr>
          <w:rFonts w:ascii="Century Gothic" w:hAnsi="Century Gothic"/>
          <w:color w:val="434343"/>
          <w:shd w:val="clear" w:color="auto" w:fill="FFFFFF"/>
          <w:lang w:val="es-PE" w:eastAsia="es-ES"/>
        </w:rPr>
        <w:t>la integridad del sistema y sea realizado de manera fácil</w:t>
      </w:r>
    </w:p>
    <w:p w:rsidR="004A59CD" w:rsidRPr="00882A9E" w:rsidRDefault="00882A9E" w:rsidP="00C838F2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 w:rsidRPr="00882A9E"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>Calendario de actividades</w:t>
      </w:r>
    </w:p>
    <w:p w:rsidR="00882A9E" w:rsidRDefault="00882A9E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 w:rsidRPr="00882A9E">
        <w:rPr>
          <w:rFonts w:ascii="Century Gothic" w:hAnsi="Century Gothic"/>
          <w:color w:val="434343"/>
          <w:shd w:val="clear" w:color="auto" w:fill="FFFFFF"/>
          <w:lang w:val="es-PE" w:eastAsia="es-ES"/>
        </w:rPr>
        <w:t>Entre las actividades que se van a realizar se tienen las siguiente lista</w:t>
      </w:r>
    </w:p>
    <w:p w:rsidR="00882A9E" w:rsidRDefault="00882A9E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noProof/>
          <w:lang w:val="es-PE" w:eastAsia="es-PE"/>
        </w:rPr>
        <w:drawing>
          <wp:inline distT="0" distB="0" distL="0" distR="0" wp14:anchorId="377F00BE" wp14:editId="298879D8">
            <wp:extent cx="5943600" cy="3157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9E" w:rsidRDefault="00882A9E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Leyenda:</w:t>
      </w:r>
    </w:p>
    <w:p w:rsidR="00882A9E" w:rsidRDefault="00882A9E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noProof/>
          <w:lang w:val="es-PE" w:eastAsia="es-PE"/>
        </w:rPr>
        <w:drawing>
          <wp:inline distT="0" distB="0" distL="0" distR="0" wp14:anchorId="719D3F75" wp14:editId="4F93E4AC">
            <wp:extent cx="205740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9E" w:rsidRDefault="00882A9E" w:rsidP="00882A9E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lastRenderedPageBreak/>
        <w:t>Tiempo a realizar</w:t>
      </w:r>
    </w:p>
    <w:p w:rsidR="00882A9E" w:rsidRDefault="00882A9E" w:rsidP="00882A9E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Para la realización de los cambios solicitados, se realizarían en un máximo de 2 semanas calendario.</w:t>
      </w:r>
    </w:p>
    <w:p w:rsidR="00882A9E" w:rsidRDefault="00882A9E" w:rsidP="00882A9E">
      <w:pP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</w:pPr>
      <w:r>
        <w:rPr>
          <w:rFonts w:ascii="Century Gothic" w:hAnsi="Century Gothic"/>
          <w:color w:val="548DD4" w:themeColor="text2" w:themeTint="99"/>
          <w:sz w:val="32"/>
          <w:szCs w:val="32"/>
          <w:lang w:val="es-ES"/>
        </w:rPr>
        <w:t>Formas de Pago</w:t>
      </w:r>
    </w:p>
    <w:p w:rsidR="00882A9E" w:rsidRDefault="00882A9E" w:rsidP="00882A9E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Fase 1: Primera armada al inicio del trabajo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  <w:t xml:space="preserve">50 %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  <w:t xml:space="preserve">S/ 1’942.50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br/>
        <w:t>Fase 2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: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Segunda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armada al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finalizar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el trabajo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  <w:t xml:space="preserve">50 %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  <w:t>S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/ 1’942.5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>0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 xml:space="preserve"> 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br/>
        <w:t>Importe total (Sin IGV)</w:t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</w:r>
      <w:r>
        <w:rPr>
          <w:rFonts w:ascii="Century Gothic" w:hAnsi="Century Gothic"/>
          <w:color w:val="434343"/>
          <w:shd w:val="clear" w:color="auto" w:fill="FFFFFF"/>
          <w:lang w:val="es-PE" w:eastAsia="es-ES"/>
        </w:rPr>
        <w:tab/>
        <w:t>S/  3’885.00</w:t>
      </w:r>
    </w:p>
    <w:p w:rsidR="00882A9E" w:rsidRPr="00704BC2" w:rsidRDefault="00882A9E" w:rsidP="00882A9E">
      <w:pPr>
        <w:jc w:val="both"/>
        <w:rPr>
          <w:rFonts w:ascii="Century Gothic" w:hAnsi="Century Gothic"/>
          <w:color w:val="7F7F7F" w:themeColor="text1" w:themeTint="80"/>
          <w:sz w:val="24"/>
          <w:szCs w:val="24"/>
          <w:lang w:val="es-PE"/>
        </w:rPr>
      </w:pPr>
      <w:r w:rsidRPr="00704BC2">
        <w:rPr>
          <w:rFonts w:ascii="Century Gothic" w:hAnsi="Century Gothic"/>
          <w:color w:val="7F7F7F" w:themeColor="text1" w:themeTint="80"/>
          <w:sz w:val="24"/>
          <w:szCs w:val="24"/>
          <w:lang w:val="es-PE"/>
        </w:rPr>
        <w:t>Cordialmente</w:t>
      </w:r>
    </w:p>
    <w:p w:rsidR="00882A9E" w:rsidRDefault="00296FDD" w:rsidP="00882A9E">
      <w:pPr>
        <w:jc w:val="both"/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</w:pPr>
      <w:r>
        <w:rPr>
          <w:rFonts w:ascii="Century Gothic" w:hAnsi="Century Gothic"/>
          <w:noProof/>
          <w:color w:val="7F7F7F" w:themeColor="text1" w:themeTint="80"/>
          <w:sz w:val="16"/>
          <w:szCs w:val="16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13335</wp:posOffset>
            </wp:positionV>
            <wp:extent cx="981075" cy="7810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A9E" w:rsidRDefault="00882A9E" w:rsidP="00882A9E">
      <w:pPr>
        <w:jc w:val="both"/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</w:pPr>
      <w:r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  <w:tab/>
      </w:r>
      <w:r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  <w:tab/>
      </w:r>
      <w:r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  <w:tab/>
      </w:r>
      <w:r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  <w:tab/>
      </w:r>
      <w:r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  <w:tab/>
      </w:r>
      <w:r>
        <w:rPr>
          <w:rFonts w:ascii="Century Gothic" w:hAnsi="Century Gothic"/>
          <w:color w:val="7F7F7F" w:themeColor="text1" w:themeTint="80"/>
          <w:sz w:val="16"/>
          <w:szCs w:val="16"/>
          <w:lang w:val="es-PE"/>
        </w:rPr>
        <w:tab/>
      </w:r>
    </w:p>
    <w:p w:rsidR="00882A9E" w:rsidRDefault="00882A9E" w:rsidP="00882A9E">
      <w:pPr>
        <w:spacing w:after="0" w:line="240" w:lineRule="auto"/>
        <w:ind w:left="3600"/>
        <w:jc w:val="center"/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</w:pPr>
    </w:p>
    <w:p w:rsidR="00882A9E" w:rsidRPr="00704BC2" w:rsidRDefault="00882A9E" w:rsidP="00882A9E">
      <w:pPr>
        <w:spacing w:after="0" w:line="240" w:lineRule="auto"/>
        <w:ind w:left="4320"/>
        <w:jc w:val="center"/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</w:pPr>
      <w:r w:rsidRPr="00704BC2"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  <w:t xml:space="preserve">Pedro </w:t>
      </w:r>
      <w:proofErr w:type="spellStart"/>
      <w:r w:rsidRPr="00704BC2"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  <w:t>Curich</w:t>
      </w:r>
      <w:proofErr w:type="spellEnd"/>
      <w:r w:rsidRPr="00704BC2"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  <w:t xml:space="preserve"> Gonzales</w:t>
      </w:r>
    </w:p>
    <w:p w:rsidR="00882A9E" w:rsidRPr="00704BC2" w:rsidRDefault="00882A9E" w:rsidP="00882A9E">
      <w:pPr>
        <w:spacing w:after="0" w:line="240" w:lineRule="auto"/>
        <w:ind w:left="4320"/>
        <w:jc w:val="center"/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</w:pPr>
      <w:r w:rsidRPr="00704BC2">
        <w:rPr>
          <w:rFonts w:ascii="Century Gothic" w:hAnsi="Century Gothic"/>
          <w:color w:val="7F7F7F" w:themeColor="text1" w:themeTint="80"/>
          <w:sz w:val="20"/>
          <w:szCs w:val="20"/>
          <w:lang w:val="es-PE"/>
        </w:rPr>
        <w:t>Gerente General</w:t>
      </w:r>
      <w:bookmarkStart w:id="0" w:name="_GoBack"/>
      <w:bookmarkEnd w:id="0"/>
    </w:p>
    <w:p w:rsidR="00882A9E" w:rsidRPr="00882A9E" w:rsidRDefault="00882A9E" w:rsidP="00C838F2">
      <w:pPr>
        <w:rPr>
          <w:rFonts w:ascii="Century Gothic" w:hAnsi="Century Gothic"/>
          <w:color w:val="434343"/>
          <w:shd w:val="clear" w:color="auto" w:fill="FFFFFF"/>
          <w:lang w:val="es-PE" w:eastAsia="es-ES"/>
        </w:rPr>
      </w:pPr>
    </w:p>
    <w:sectPr w:rsidR="00882A9E" w:rsidRPr="00882A9E" w:rsidSect="003B524E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C45" w:rsidRDefault="00EB5C45" w:rsidP="00C32C54">
      <w:pPr>
        <w:spacing w:after="0" w:line="240" w:lineRule="auto"/>
      </w:pPr>
      <w:r>
        <w:separator/>
      </w:r>
    </w:p>
  </w:endnote>
  <w:endnote w:type="continuationSeparator" w:id="0">
    <w:p w:rsidR="00EB5C45" w:rsidRDefault="00EB5C45" w:rsidP="00C3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C45" w:rsidRDefault="00EB5C45" w:rsidP="00C32C54">
      <w:pPr>
        <w:spacing w:after="0" w:line="240" w:lineRule="auto"/>
      </w:pPr>
      <w:r>
        <w:separator/>
      </w:r>
    </w:p>
  </w:footnote>
  <w:footnote w:type="continuationSeparator" w:id="0">
    <w:p w:rsidR="00EB5C45" w:rsidRDefault="00EB5C45" w:rsidP="00C3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C54" w:rsidRDefault="00EB5C4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3" o:spid="_x0000_s2050" type="#_x0000_t75" style="position:absolute;margin-left:0;margin-top:0;width:598.1pt;height:844.8pt;z-index:-251657216;mso-position-horizontal:center;mso-position-horizontal-relative:margin;mso-position-vertical:center;mso-position-vertical-relative:margin" o:allowincell="f">
          <v:imagedata r:id="rId1" o:title="ks_membret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C54" w:rsidRDefault="00EB5C4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4" o:spid="_x0000_s2051" type="#_x0000_t75" style="position:absolute;margin-left:-76.15pt;margin-top:-83.8pt;width:616.1pt;height:803.75pt;z-index:-251656192;mso-position-horizontal-relative:margin;mso-position-vertical-relative:margin" o:allowincell="f">
          <v:imagedata r:id="rId1" o:title="ks_membret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C54" w:rsidRDefault="00EB5C4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2" o:spid="_x0000_s2049" type="#_x0000_t75" style="position:absolute;margin-left:0;margin-top:0;width:598.1pt;height:844.8pt;z-index:-251658240;mso-position-horizontal:center;mso-position-horizontal-relative:margin;mso-position-vertical:center;mso-position-vertical-relative:margin" o:allowincell="f">
          <v:imagedata r:id="rId1" o:title="ks_membret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114"/>
    <w:multiLevelType w:val="hybridMultilevel"/>
    <w:tmpl w:val="C8EEC59C"/>
    <w:lvl w:ilvl="0" w:tplc="C5EA169A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D0228"/>
    <w:multiLevelType w:val="hybridMultilevel"/>
    <w:tmpl w:val="BF66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4F06"/>
    <w:multiLevelType w:val="hybridMultilevel"/>
    <w:tmpl w:val="A31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450B"/>
    <w:multiLevelType w:val="hybridMultilevel"/>
    <w:tmpl w:val="E070C1F6"/>
    <w:lvl w:ilvl="0" w:tplc="C5EA169A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05FE1"/>
    <w:multiLevelType w:val="hybridMultilevel"/>
    <w:tmpl w:val="0AF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7F75"/>
    <w:multiLevelType w:val="hybridMultilevel"/>
    <w:tmpl w:val="F5E4EB20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94AB4"/>
    <w:multiLevelType w:val="hybridMultilevel"/>
    <w:tmpl w:val="872055F4"/>
    <w:lvl w:ilvl="0" w:tplc="F6B4F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C2F49"/>
    <w:multiLevelType w:val="hybridMultilevel"/>
    <w:tmpl w:val="9F0AE10C"/>
    <w:lvl w:ilvl="0" w:tplc="460A3E46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b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7767981"/>
    <w:multiLevelType w:val="hybridMultilevel"/>
    <w:tmpl w:val="259ADD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F1DFE"/>
    <w:multiLevelType w:val="hybridMultilevel"/>
    <w:tmpl w:val="AE4E6F52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02FDD"/>
    <w:multiLevelType w:val="hybridMultilevel"/>
    <w:tmpl w:val="E95E6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73FF4"/>
    <w:multiLevelType w:val="hybridMultilevel"/>
    <w:tmpl w:val="5B764782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70E80"/>
    <w:multiLevelType w:val="hybridMultilevel"/>
    <w:tmpl w:val="E77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576C8"/>
    <w:multiLevelType w:val="hybridMultilevel"/>
    <w:tmpl w:val="5BECC02A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11E7A"/>
    <w:multiLevelType w:val="hybridMultilevel"/>
    <w:tmpl w:val="F2122AE4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BEE271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61C0B"/>
    <w:multiLevelType w:val="hybridMultilevel"/>
    <w:tmpl w:val="0EB46976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3AA7"/>
    <w:multiLevelType w:val="hybridMultilevel"/>
    <w:tmpl w:val="AEC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15709"/>
    <w:multiLevelType w:val="hybridMultilevel"/>
    <w:tmpl w:val="54DCFA26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0169D"/>
    <w:multiLevelType w:val="hybridMultilevel"/>
    <w:tmpl w:val="893E9500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9"/>
  </w:num>
  <w:num w:numId="9">
    <w:abstractNumId w:val="5"/>
  </w:num>
  <w:num w:numId="10">
    <w:abstractNumId w:val="13"/>
  </w:num>
  <w:num w:numId="11">
    <w:abstractNumId w:val="3"/>
  </w:num>
  <w:num w:numId="12">
    <w:abstractNumId w:val="0"/>
  </w:num>
  <w:num w:numId="13">
    <w:abstractNumId w:val="10"/>
  </w:num>
  <w:num w:numId="14">
    <w:abstractNumId w:val="15"/>
  </w:num>
  <w:num w:numId="15">
    <w:abstractNumId w:val="2"/>
  </w:num>
  <w:num w:numId="16">
    <w:abstractNumId w:val="16"/>
  </w:num>
  <w:num w:numId="17">
    <w:abstractNumId w:val="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EB9"/>
    <w:rsid w:val="00014357"/>
    <w:rsid w:val="00085BEA"/>
    <w:rsid w:val="000B5D70"/>
    <w:rsid w:val="001400E0"/>
    <w:rsid w:val="00156136"/>
    <w:rsid w:val="0019539A"/>
    <w:rsid w:val="001B2AE6"/>
    <w:rsid w:val="001C5017"/>
    <w:rsid w:val="001D373B"/>
    <w:rsid w:val="001D415A"/>
    <w:rsid w:val="00254821"/>
    <w:rsid w:val="00287C79"/>
    <w:rsid w:val="0029430E"/>
    <w:rsid w:val="00294EB9"/>
    <w:rsid w:val="00296FDD"/>
    <w:rsid w:val="002A377B"/>
    <w:rsid w:val="002D3A26"/>
    <w:rsid w:val="002F1195"/>
    <w:rsid w:val="003358F2"/>
    <w:rsid w:val="00341800"/>
    <w:rsid w:val="00352076"/>
    <w:rsid w:val="0035338B"/>
    <w:rsid w:val="00374507"/>
    <w:rsid w:val="00392233"/>
    <w:rsid w:val="003A0091"/>
    <w:rsid w:val="003B524E"/>
    <w:rsid w:val="003E69CD"/>
    <w:rsid w:val="00435CF5"/>
    <w:rsid w:val="004A14C1"/>
    <w:rsid w:val="004A3DEC"/>
    <w:rsid w:val="004A59CD"/>
    <w:rsid w:val="004B1A5F"/>
    <w:rsid w:val="004E2A54"/>
    <w:rsid w:val="0051219F"/>
    <w:rsid w:val="005168AD"/>
    <w:rsid w:val="005D4957"/>
    <w:rsid w:val="006134A2"/>
    <w:rsid w:val="00661BB9"/>
    <w:rsid w:val="0067046F"/>
    <w:rsid w:val="006B455F"/>
    <w:rsid w:val="006D41C7"/>
    <w:rsid w:val="00704BC2"/>
    <w:rsid w:val="00723E13"/>
    <w:rsid w:val="00724E94"/>
    <w:rsid w:val="00754DF4"/>
    <w:rsid w:val="007554DE"/>
    <w:rsid w:val="00793D5E"/>
    <w:rsid w:val="008154CB"/>
    <w:rsid w:val="00882A9E"/>
    <w:rsid w:val="008849DD"/>
    <w:rsid w:val="008860F6"/>
    <w:rsid w:val="008A6559"/>
    <w:rsid w:val="008C7702"/>
    <w:rsid w:val="00914D82"/>
    <w:rsid w:val="00960E11"/>
    <w:rsid w:val="00971DB9"/>
    <w:rsid w:val="00972502"/>
    <w:rsid w:val="00973D67"/>
    <w:rsid w:val="009747CC"/>
    <w:rsid w:val="00992D65"/>
    <w:rsid w:val="009A0C20"/>
    <w:rsid w:val="009C6882"/>
    <w:rsid w:val="009C710F"/>
    <w:rsid w:val="009E1238"/>
    <w:rsid w:val="00A42699"/>
    <w:rsid w:val="00A47FD8"/>
    <w:rsid w:val="00AB4213"/>
    <w:rsid w:val="00B178B1"/>
    <w:rsid w:val="00B51DB2"/>
    <w:rsid w:val="00B63DF8"/>
    <w:rsid w:val="00B9458D"/>
    <w:rsid w:val="00BB0DB6"/>
    <w:rsid w:val="00BE4286"/>
    <w:rsid w:val="00C06C02"/>
    <w:rsid w:val="00C07769"/>
    <w:rsid w:val="00C32C54"/>
    <w:rsid w:val="00C838F2"/>
    <w:rsid w:val="00CF6299"/>
    <w:rsid w:val="00D171BF"/>
    <w:rsid w:val="00D521F0"/>
    <w:rsid w:val="00D76134"/>
    <w:rsid w:val="00DC1D35"/>
    <w:rsid w:val="00DF6B79"/>
    <w:rsid w:val="00E14432"/>
    <w:rsid w:val="00E37852"/>
    <w:rsid w:val="00E55DE9"/>
    <w:rsid w:val="00E962E9"/>
    <w:rsid w:val="00EB5C45"/>
    <w:rsid w:val="00EC562E"/>
    <w:rsid w:val="00EE6380"/>
    <w:rsid w:val="00F0784B"/>
    <w:rsid w:val="00F17B90"/>
    <w:rsid w:val="00F21D38"/>
    <w:rsid w:val="00F773E9"/>
    <w:rsid w:val="00FD0999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D95DBB25-D956-4E5D-851D-9B9EC5E7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9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DF6B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C3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2C54"/>
  </w:style>
  <w:style w:type="paragraph" w:styleId="Piedepgina">
    <w:name w:val="footer"/>
    <w:basedOn w:val="Normal"/>
    <w:link w:val="PiedepginaCar"/>
    <w:uiPriority w:val="99"/>
    <w:unhideWhenUsed/>
    <w:rsid w:val="00C3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54"/>
  </w:style>
  <w:style w:type="paragraph" w:styleId="Textodeglobo">
    <w:name w:val="Balloon Text"/>
    <w:basedOn w:val="Normal"/>
    <w:link w:val="TextodegloboCar"/>
    <w:uiPriority w:val="99"/>
    <w:semiHidden/>
    <w:unhideWhenUsed/>
    <w:rsid w:val="00C3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chavez</dc:creator>
  <cp:lastModifiedBy>Usuario de Windows</cp:lastModifiedBy>
  <cp:revision>45</cp:revision>
  <dcterms:created xsi:type="dcterms:W3CDTF">2016-07-06T17:53:00Z</dcterms:created>
  <dcterms:modified xsi:type="dcterms:W3CDTF">2017-10-23T08:20:00Z</dcterms:modified>
</cp:coreProperties>
</file>