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80"/>
      </w:pPr>
      <w:r>
        <w:rPr>
          <w:rFonts w:ascii="Calibri" w:hAnsi="Calibri" w:eastAsia="Microsoft JhengHei"/>
          <w:b/>
          <w:color w:val="2E74B5"/>
          <w:sz w:val="19"/>
        </w:rPr>
        <w:t>PMPS ENGINEERING DOCUMENTATION</w:t>
      </w:r>
    </w:p>
    <w:p>
      <w:pPr>
        <w:spacing w:before="0" w:after="100"/>
      </w:pPr>
      <w:r>
        <w:rPr>
          <w:rFonts w:ascii="Calibri" w:hAnsi="Calibri" w:eastAsia="Microsoft JhengHei"/>
          <w:b/>
          <w:color w:val="111827"/>
          <w:sz w:val="50"/>
        </w:rPr>
        <w:t>PMPS 前端後端架構書</w:t>
      </w:r>
    </w:p>
    <w:p>
      <w:pPr>
        <w:spacing w:after="360"/>
      </w:pPr>
      <w:r>
        <w:rPr>
          <w:rFonts w:ascii="Calibri" w:hAnsi="Calibri" w:eastAsia="Microsoft JhengHei"/>
          <w:color w:val="667085"/>
          <w:sz w:val="26"/>
        </w:rPr>
        <w:t>React SPA、Express／tRPC API、認證、資料流與部署拓樸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文件編號</w:t>
      </w:r>
      <w:r>
        <w:tab/>
      </w:r>
      <w:r>
        <w:rPr>
          <w:rFonts w:ascii="Calibri" w:hAnsi="Calibri" w:eastAsia="Microsoft JhengHei"/>
          <w:color w:val="111827"/>
          <w:sz w:val="21"/>
        </w:rPr>
        <w:t>PMPS-ARCH-FB-001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版本／狀態</w:t>
      </w:r>
      <w:r>
        <w:tab/>
      </w:r>
      <w:r>
        <w:rPr>
          <w:rFonts w:ascii="Calibri" w:hAnsi="Calibri" w:eastAsia="Microsoft JhengHei"/>
          <w:color w:val="111827"/>
          <w:sz w:val="21"/>
        </w:rPr>
        <w:t>v1.0／正式版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建立日期</w:t>
      </w:r>
      <w:r>
        <w:tab/>
      </w:r>
      <w:r>
        <w:rPr>
          <w:rFonts w:ascii="Calibri" w:hAnsi="Calibri" w:eastAsia="Microsoft JhengHei"/>
          <w:color w:val="111827"/>
          <w:sz w:val="21"/>
        </w:rPr>
        <w:t>2026-08-04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適用系統</w:t>
      </w:r>
      <w:r>
        <w:tab/>
      </w:r>
      <w:r>
        <w:rPr>
          <w:rFonts w:ascii="Calibri" w:hAnsi="Calibri" w:eastAsia="Microsoft JhengHei"/>
          <w:color w:val="111827"/>
          <w:sz w:val="21"/>
        </w:rPr>
        <w:t>PMPS 現行 TypeScript 主線版本</w:t>
      </w:r>
    </w:p>
    <w:p>
      <w:pPr>
        <w:tabs>
          <w:tab w:pos="1728" w:val="left"/>
        </w:tabs>
        <w:spacing w:before="0" w:after="50"/>
      </w:pPr>
      <w:r>
        <w:rPr>
          <w:rFonts w:ascii="Calibri" w:hAnsi="Calibri" w:eastAsia="Microsoft JhengHei"/>
          <w:b/>
          <w:color w:val="17365D"/>
          <w:sz w:val="21"/>
        </w:rPr>
        <w:t>主要讀者</w:t>
      </w:r>
      <w:r>
        <w:tab/>
      </w:r>
      <w:r>
        <w:rPr>
          <w:rFonts w:ascii="Calibri" w:hAnsi="Calibri" w:eastAsia="Microsoft JhengHei"/>
          <w:color w:val="111827"/>
          <w:sz w:val="21"/>
        </w:rPr>
        <w:t>工程實作、維運與技術審查人員</w:t>
      </w:r>
    </w:p>
    <w:p>
      <w:pPr>
        <w:spacing w:before="240" w:after="160"/>
        <w:pBdr>
          <w:bottom w:val="single" w:sz="16" w:space="5" w:color="2E74B5"/>
        </w:pBdr>
      </w:pPr>
    </w:p>
    <w:p>
      <w:pPr>
        <w:spacing w:after="0"/>
      </w:pPr>
      <w:r>
        <w:rPr>
          <w:rFonts w:ascii="Calibri" w:hAnsi="Calibri" w:eastAsia="Microsoft JhengHei"/>
          <w:i/>
          <w:color w:val="667085"/>
          <w:sz w:val="19"/>
        </w:rPr>
        <w:t>文件基準：程式碼優先於既有 README；若兩者不一致，以 main 分支原始碼為準。</w:t>
      </w:r>
    </w:p>
    <w:p>
      <w:r>
        <w:br w:type="page"/>
      </w:r>
    </w:p>
    <w:p>
      <w:pPr>
        <w:pStyle w:val="Heading1"/>
      </w:pPr>
      <w:r>
        <w:t>文件目錄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50"/>
        <w:gridCol w:w="8210"/>
      </w:tblGrid>
      <w:tr>
        <w:trPr>
          <w:tblHeader w:val="true"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章節</w:t>
            </w:r>
          </w:p>
        </w:tc>
        <w:tc>
          <w:tcPr>
            <w:tcW w:type="dxa" w:w="8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01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系統上下文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02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前端架構與路由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03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後端介面與服務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04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認證授權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05</w:t>
            </w:r>
          </w:p>
        </w:tc>
        <w:tc>
          <w:tcPr>
            <w:tcW w:type="dxa" w:w="8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核心資料流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06</w:t>
            </w:r>
          </w:p>
        </w:tc>
        <w:tc>
          <w:tcPr>
            <w:tcW w:type="dxa" w:w="8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20"/>
              </w:rPr>
              <w:t>部署、安全與效能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閱讀方式｜</w:t>
            </w:r>
            <w:r>
              <w:rPr>
                <w:rFonts w:ascii="Calibri" w:hAnsi="Calibri" w:eastAsia="Microsoft JhengHei"/>
                <w:color w:val="111827"/>
              </w:rPr>
              <w:t>先閱讀概觀與邊界，再依工作角色查閱流程、介面、資料模型或維運章節；文件中的『審查重點』屬改善建議，不代表已完成實作。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系統上下文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0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back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JhengHei"/>
          <w:i/>
          <w:color w:val="667085"/>
          <w:sz w:val="18"/>
        </w:rPr>
        <w:t>圖 1　PMPS 前端、後端、資料庫與外部服務拓樸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color w:val="2E74B5"/>
              </w:rPr>
              <w:t>主要資料路徑｜</w:t>
            </w:r>
            <w:r>
              <w:rPr>
                <w:rFonts w:ascii="Calibri" w:hAnsi="Calibri" w:eastAsia="Microsoft JhengHei"/>
                <w:color w:val="111827"/>
              </w:rPr>
              <w:t>瀏覽器以 tRPC HTTP batch 呼叫 Express；後端經 procedure 授權與 Domain Logic 存取 MongoDB。通知另走 SSE；Copilot 查詢走 /api/v1 REST。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1"/>
      </w:pPr>
      <w:r>
        <w:t>2. 前端架構</w:t>
      </w:r>
    </w:p>
    <w:p>
      <w:pPr>
        <w:pStyle w:val="Heading2"/>
      </w:pPr>
      <w:r>
        <w:t>2.1 Provider 與啟動順序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AuthProvider 讀取 localStorage 中的 pmp_auth_token，提供登入狀態與 clearAuth。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RuntimeMsalProvider 先由 auth.entraConfig 取得 clientId/tenantId，再建立單一 MSAL instance。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QueryClient 設定全域 query/mutation 錯誤；UNAUTHORIZED 會清除 token 並回到 /login。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tRPC client 使用 httpBatchLink，附加 Bearer token；若 API_ENCRYPTION_KEY 啟用則封裝 encrypted payload。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AppShell 處理登入導向、頁面稽核、Suspense 與 ErrorBoundary。</w:t>
      </w:r>
    </w:p>
    <w:p>
      <w:pPr>
        <w:pStyle w:val="Heading2"/>
      </w:pPr>
      <w:r>
        <w:t>2.2 UI 與狀態分層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50"/>
        <w:gridCol w:w="4060"/>
        <w:gridCol w:w="3450"/>
      </w:tblGrid>
      <w:tr>
        <w:trPr>
          <w:tblHeader w:val="true"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層級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責任</w:t>
            </w:r>
          </w:p>
        </w:tc>
        <w:tc>
          <w:tcPr>
            <w:tcW w:type="dxa" w:w="3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主要實作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Route Page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承接業務情境與頁面查詢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pages/*.tsx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Application Layout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導覽、使用者、通知 badge、全域搜尋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AppLayout.tsx、GlobalSearch.tsx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Domain Components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User/Company picker、SharePoint files、Form layout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components/*.tsx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UI Primitive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Button、Dialog、Input、Select、Form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components/ui/*.tsx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Server State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query、mutation、cache、invalidation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 React Query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Local State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表單、dialog、filters、view mode</w:t>
            </w:r>
          </w:p>
        </w:tc>
        <w:tc>
          <w:tcPr>
            <w:tcW w:type="dxa" w:w="3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React state／react-hook-form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Cross-cutting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i18n、toast、error boundary、export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i18n.ts、react-hot-toast、lib/*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正式路由清單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050"/>
        <w:gridCol w:w="2400"/>
        <w:gridCol w:w="3000"/>
        <w:gridCol w:w="19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5"/>
              </w:rPr>
              <w:t>Route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5"/>
              </w:rPr>
              <w:t>Page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5"/>
              </w:rPr>
              <w:t>用途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5"/>
              </w:rPr>
              <w:t>存取控制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/login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LoginPage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公開登入入口；AppShell 未登入時導向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公開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DashboardPage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主儀表板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已登入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/resources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ResourcesPage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資源池與人力配置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/users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UserManagementPage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帳號、角色與費率管理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/cost-rates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CostRatesPage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費率設定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/utilization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UtilizationPage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稼動率看板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/settlements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SettlementsPage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月度結算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/notifications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NotificationsPage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通知中心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已登入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/system-settings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SystemSettingsPage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系統設定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/custom-fields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CustomFieldsPage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自訂欄位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/companies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CompanyManagementPage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公司主檔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/opportunities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OpportunitiesPage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商機清單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module.opportunities.view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/opportunities/:id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OpportunityDetailPage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商機詳情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module.opportunities.view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/projects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ProjectManagementPage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專案管理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module.projects.view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/pm-dashboard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PmDashboardPage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專案高階儀表板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Admin／Manager／PM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/calendar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CalendarPage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排程行事曆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module.calendar.view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/service-requests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ServiceRequestsPage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SR 清單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module.projects.view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/service-requests/:id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WbsManagementPage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WBS 管理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權限 module.projects.view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/change-requests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ChangeRequestsPage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CR 清單與審核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角色與資料層授權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/presales-timesheets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PresalesTimesheetsPage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協銷工時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Admin／Manager／Presales／Tech／PM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/project-timesheets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ProjectTimesheetsPage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專案工時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Admin／Manager／PM／Tech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/kpi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KpiDashboardPage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KPI 儀表板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/reports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ReportBuilderPage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自訂報表與匯出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/formula/profit-center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ProfitCenterFormulaPage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利潤中心公式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Admin／Manager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/profit-center-report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ProfitCenterReportPage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利潤中心報表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路由層已登入</w:t>
            </w:r>
          </w:p>
        </w:tc>
      </w:tr>
      <w:tr>
        <w:trPr>
          <w:cantSplit/>
        </w:trPr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/audit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AuditPage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互動稽核中心</w:t>
            </w:r>
          </w:p>
        </w:tc>
        <w:tc>
          <w:tcPr>
            <w:tcW w:type="dxa" w:w="1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5"/>
              </w:rPr>
              <w:t>demo@demo.com 專用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icrosoft JhengHei"/>
          <w:i/>
          <w:color w:val="667085"/>
          <w:sz w:val="17"/>
        </w:rPr>
        <w:t>程式依據：client/src/App.tsx（activeRoutes/pageInventory）、client/src/components/AppLayout.tsx（導覽可見性）</w:t>
      </w:r>
    </w:p>
    <w:p>
      <w:r>
        <w:rPr>
          <w:rFonts w:ascii="Calibri" w:hAnsi="Calibri" w:eastAsia="Microsoft JhengHei"/>
          <w:i/>
          <w:color w:val="C00000"/>
        </w:rPr>
        <w:t>注意：導覽是否顯示與 URL 是否可存取是兩個層次。敏感頁面必須同時在 route wrapper、tRPC procedure 及資料層執行授權，不可只依前端隱藏選單。</w:t>
      </w:r>
    </w:p>
    <w:p>
      <w:pPr>
        <w:pStyle w:val="Heading1"/>
      </w:pPr>
      <w:r>
        <w:t>3. 前端資料存取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行為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實作方式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注意事項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查詢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trpc.&lt;router&gt;.&lt;procedure&gt;.useQuery/useInfiniteQuery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以 filter/cursor 建立 query key；設定合理 staleTime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異動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useMutation + invalidate/refetch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成功後只更新受影響 cache，避免全站 refetch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批次傳輸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httpBatchLink → /api/trpc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需考量單批 payload、錯誤定位與 timeout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未授權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全域 QueryCache/MutationCache 監聽 UNAUTHORIZED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清除 token 並導向登入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Realtime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auth.streamToken + EventSource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短效 token、重連與 heartbeat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檔案／匯出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附件 API、SharePoint、xlsx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大檔不應塞入一般 JSON request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4. 後端介面架構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500"/>
        <w:gridCol w:w="2250"/>
        <w:gridCol w:w="3500"/>
        <w:gridCol w:w="211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介面</w:t>
            </w:r>
          </w:p>
        </w:tc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路徑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用途</w:t>
            </w:r>
          </w:p>
        </w:tc>
        <w:tc>
          <w:tcPr>
            <w:tcW w:type="dxa" w:w="2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認證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/api/trpc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主要內部業務 API；型別由 AppRouter 推論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Bearer JWT + procedure 規則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REST v1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/api/v1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Copilot/外部唯讀資料</w:t>
            </w:r>
          </w:p>
        </w:tc>
        <w:tc>
          <w:tcPr>
            <w:tcW w:type="dxa" w:w="2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API key／JWT 規則依 routes.ts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SSE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/api/notifications/stream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個人通知串流與 heartbeat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短效 stream token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Health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/api/health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服務與 MongoDB 狀態</w:t>
            </w:r>
          </w:p>
        </w:tc>
        <w:tc>
          <w:tcPr>
            <w:tcW w:type="dxa" w:w="2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未登入監控端點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Static SPA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/*（排除 /api）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提供 client/dist 與 SPA fallback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前端再進行登入導向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4.1 tRPC Router 群組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00"/>
        <w:gridCol w:w="2450"/>
        <w:gridCol w:w="4110"/>
        <w:gridCol w:w="16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Router</w:t>
            </w:r>
          </w:p>
        </w:tc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職責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代表 procedures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6"/>
              </w:rPr>
              <w:t>保護方式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auth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登入、Entra 設定、目前使用者與 SSE token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entraConfig, login, demoLogin, entraLogin, me, streamToken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public + protected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users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帳號、部門、角色、權限與成本費率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createManual, syncEntraUsers, updateUser, getCostRates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role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opportunities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商機、成員、協銷、附件與轉 SR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create, getById, assignPresales, createSR, logPresalesTime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permission + 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projects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SR、WBS、CR、排程、附件與專案工時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srList, srById, submitWbsVersion, reviewWbsVersion, createCr, logProjectTime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permission + role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analytics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稼動率、結算、KPI、報表與通知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getUtilization, getSettlements, lockSettlement, getKpiData, generateReport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 + protected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system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系統設定、自訂欄位與 SharePoint 資料夾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getSettings, updateSettings, getCustomFields, listSharePointFiles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 + protected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integrations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Copilot 資料同步與 SharePoint 匯出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syncCopilotData, exportToSharePoint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issues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SR 議題追蹤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listBySr, create, update, delete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資料層檢查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companies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公司主檔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create, bulkUpsert, update, delete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role</w:t>
            </w:r>
          </w:p>
        </w:tc>
      </w:tr>
      <w:tr>
        <w:trPr>
          <w:cantSplit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audit</w:t>
            </w:r>
          </w:p>
        </w:tc>
        <w:tc>
          <w:tcPr>
            <w:tcW w:type="dxa" w:w="2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使用者互動稽核、匯出與頁面追蹤</w:t>
            </w:r>
          </w:p>
        </w:tc>
        <w:tc>
          <w:tcPr>
            <w:tcW w:type="dxa" w:w="41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list, exportRows, trackPageView, trackLogout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6"/>
              </w:rPr>
              <w:t>protected + 專用限制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4.2 REST v1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400"/>
        <w:gridCol w:w="3700"/>
        <w:gridCol w:w="42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Method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Path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/api/v1/projects/active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取得進行中的專案/SR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GET</w:t>
            </w:r>
          </w:p>
        </w:tc>
        <w:tc>
          <w:tcPr>
            <w:tcW w:type="dxa" w:w="3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/api/v1/opportunities/won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取得已成交商機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/api/v1/issues/critical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取得重大問題</w:t>
            </w:r>
          </w:p>
        </w:tc>
      </w:tr>
    </w:tbl>
    <w:p>
      <w:pPr>
        <w:spacing w:before="0" w:after="40"/>
      </w:pPr>
    </w:p>
    <w:p>
      <w:pPr>
        <w:spacing w:before="80" w:after="80"/>
      </w:pPr>
      <w:r>
        <w:rPr>
          <w:rFonts w:ascii="Calibri" w:hAnsi="Calibri" w:eastAsia="Microsoft JhengHei"/>
          <w:i/>
          <w:color w:val="667085"/>
          <w:sz w:val="17"/>
        </w:rPr>
        <w:t>程式依據：server/api/v1/openapi.json、server/api/v1/routes.ts</w:t>
      </w:r>
    </w:p>
    <w:p>
      <w:pPr>
        <w:pStyle w:val="Heading1"/>
      </w:pPr>
      <w:r>
        <w:t>5. 後端處理管線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Express 接收 request，套用 CORS 與 JSON body parser。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依 path 進入 REST v1、tRPC、SSE、health 或 static SPA。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tRPC middleware 建立 context、解析 Bearer JWT 並載入 UserSession。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procedure 層依 public/protected/role/permission 規則授權，並由 Zod 驗證 input。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Router 呼叫 authorization helper、service 或 model；Mongoose 執行查詢/更新。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結果經 tRPC transformer/Express JSON 回傳；啟用 API_ENCRYPTION_KEY 時再加密 payload。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受保護互動可記錄 AuditEvent；錯誤轉換為 tRPC 或 HTTP 錯誤格式。</w:t>
      </w:r>
    </w:p>
    <w:p>
      <w:pPr>
        <w:pStyle w:val="Heading1"/>
      </w:pPr>
      <w:r>
        <w:t>6. 認證與授權流程</w:t>
      </w:r>
    </w:p>
    <w:p>
      <w:pPr>
        <w:pStyle w:val="Heading2"/>
      </w:pPr>
      <w:r>
        <w:t>6.1 手動／Demo 登入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LoginPage 呼叫 auth.login 或 auth.demoLogin。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後端驗證帳號、密碼雜湊或 Demo 開關，確認 User.isActive。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後端簽發 PMPS JWT；前端寫入 localStorage。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後續 tRPC request 以 Bearer token 送出，protectedProcedure 建立 UserSession。</w:t>
      </w:r>
    </w:p>
    <w:p>
      <w:pPr>
        <w:pStyle w:val="Heading2"/>
      </w:pPr>
      <w:r>
        <w:t>6.2 Entra ID 登入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前端取得 runtime Entra 設定並由 MSAL 完成 Microsoft 登入。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前端將 Microsoft access token 傳給 auth.entraLogin。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後端向 Microsoft 驗證 token/取得 identity，對應或建立本地 User。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後端簽發自己的 PMPS JWT；後續授權不直接依賴瀏覽器中的 Microsoft token。</w:t>
      </w:r>
    </w:p>
    <w:p>
      <w:pPr>
        <w:pStyle w:val="Heading2"/>
      </w:pPr>
      <w:r>
        <w:t>6.3 授權層級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00"/>
        <w:gridCol w:w="4000"/>
        <w:gridCol w:w="3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層級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目的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範例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前端導覽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改善 UX，隱藏無權限功能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AppLayout roles/permission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Route Wrapper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阻擋直接輸入 URL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ProjectManagementRoute、AuditRoute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Procedure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伺服器端功能授權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roleProcedure、permissionProcedure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Object-level</w:t>
            </w:r>
          </w:p>
        </w:tc>
        <w:tc>
          <w:tcPr>
            <w:tcW w:type="dxa" w:w="4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依資料所有權/成員關係授權</w:t>
            </w:r>
          </w:p>
        </w:tc>
        <w:tc>
          <w:tcPr>
            <w:tcW w:type="dxa" w:w="3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canAccessOpportunity、canAccessServiceRequest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Field/Action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限制特定動作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CR review、delete、settlement unlock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核心業務資料流</w:t>
      </w:r>
    </w:p>
    <w:p>
      <w:pPr>
        <w:pStyle w:val="Heading2"/>
      </w:pPr>
      <w:r>
        <w:t>7.1 商機轉 SR／專案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使用者在商機詳情觸發 opportunities.createSR。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後端驗證角色、商機存取權、狀態與是否已轉換。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OpportunityConversionService 建立 ServiceRequest，複製客戶、業務、價格與必要成員資料。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完成後更新商機狀態/轉換資訊，前端 invalidate 商機與專案清單。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PM/技術人員進入 /service-requests/:id 建立 WBS 草稿、送審與版本。</w:t>
      </w:r>
    </w:p>
    <w:p>
      <w:pPr>
        <w:pStyle w:val="Heading2"/>
      </w:pPr>
      <w:r>
        <w:t>7.2 月度結算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SettlementsPage 以月份與類型查詢 analytics.getSettlements。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後端彙整 ServiceRequest、Timesheet、成本費率與相關業務欄位。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lockSettlement 建立 SettlementLock 與版本化 SettlementSnapshot，並記錄 Audit Log。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鎖定後 UI 應以快照為準；unlockSettlement 僅限 Admin 並要求稽核理由。</w:t>
      </w:r>
    </w:p>
    <w:p>
      <w:pPr>
        <w:pStyle w:val="Heading2"/>
      </w:pPr>
      <w:r>
        <w:t>7.3 通知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業務事件建立 Notification，並透過 notificationEvents 發送使用者事件。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前端先呼叫 auth.streamToken 取得短效 token，再建立 EventSource。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SSE 連線驗證 token、訂閱 userId 並定期傳送 heartbeat。</w:t>
      </w:r>
    </w:p>
    <w:p>
      <w:pPr>
        <w:pStyle w:val="ListNumber"/>
      </w:pPr>
      <w:r>
        <w:rPr>
          <w:rFonts w:ascii="Calibri" w:hAnsi="Calibri" w:eastAsia="Microsoft JhengHei"/>
          <w:color w:val="111827"/>
          <w:sz w:val="22"/>
        </w:rPr>
        <w:t>收到事件後更新通知 badge 或 invalidate notification query；已讀狀態仍透過 tRPC 保存。</w:t>
      </w:r>
    </w:p>
    <w:p>
      <w:pPr>
        <w:pStyle w:val="Heading1"/>
      </w:pPr>
      <w:r>
        <w:t>8. 錯誤處理與可觀測性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區域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目前機制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工程要求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Frontend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ErrorBoundary、toast、Query/Mutation Cache error hooks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顯示可理解訊息；保留可診斷 error code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TRPCError code + message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區分 UNAUTHORIZED、FORBIDDEN、NOT_FOUND、BAD_REQUEST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REST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Express async errors + API error middleware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維持 status code 與安全訊息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Health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MongoDB readyState + HTTP status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部署探針與告警使用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Audit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AuditEvent、page view、logout、settlement log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不記錄 Secret；明確保留期限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Jobs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console log 成功/失敗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正式環境應串接集中式 log 與告警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9. 部署拓樸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元件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執行方式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Browser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下載 client/dist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React SPA、MSAL、API 呼叫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Azure App Service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Node 22 container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Express、tRPC、REST、SSE、static SPA、jobs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Azure Container Registry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pmps:&lt;sha&gt; / pmps:latest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保存 CI 產生的映像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MongoDB / Cosmos DB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pmp_system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持久資料、index、snapshot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Microsoft Entra/Graph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External SaaS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Identity、user sync、SharePoint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GitHub Actions</w:t>
            </w:r>
          </w:p>
        </w:tc>
        <w:tc>
          <w:tcPr>
            <w:tcW w:type="dxa" w:w="3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main push / PR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8"/>
              </w:rPr>
              <w:t>build、Docker build、ACR push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10. 安全與效能邊界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00"/>
        <w:gridCol w:w="3500"/>
        <w:gridCol w:w="39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領域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現況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必要控制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Token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JWT 存 localStorage；SSE 用 query token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短效、Secret rotation、XSS 防護、避免 log token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CORS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Express cors()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正式環境使用明確 origin allowlist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Payload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JSON body limit 預設 50 MB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附件改用專用上傳/串流並限制 MIME/大小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API encryption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可選 API_ENCRYPTION_KEY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HTTPS 仍為必要；管理 key rotation 與錯誤相容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Query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React Query + cursor/infinite query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避免無界 list；對應 DB index；最小化 invalidate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Router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部分檔案大型且聚合多責任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以 use case/service 拆分並補齊 regression test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SSE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單 process EventEmitter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多 instance 部署需共享 broker 或 sticky/session 策略</w:t>
            </w:r>
          </w:p>
        </w:tc>
      </w:tr>
      <w:tr>
        <w:trPr>
          <w:cantSplit/>
        </w:trP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Cron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每個 process 啟動 node-cron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水平擴展時需 leader lock 或外部 scheduler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介面變更規則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tRPC procedure 變更需同批更新 input/output 型別、前端 call sites、授權規則與測試。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REST v1 變更需先更新 openapi.json，保持既有 path/field 相容或提供明確版本。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新增路由需同步 App.tsx、AppLayout、Route Wrapper、權限與文件。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Schema 變更需考量舊版程式與既有資料的雙向相容，必要時分階段部署。</w:t>
      </w:r>
    </w:p>
    <w:p>
      <w:pPr>
        <w:pStyle w:val="ListBullet"/>
      </w:pPr>
      <w:r>
        <w:rPr>
          <w:rFonts w:ascii="Calibri" w:hAnsi="Calibri" w:eastAsia="Microsoft JhengHei"/>
          <w:color w:val="111827"/>
          <w:sz w:val="22"/>
        </w:rPr>
        <w:t>SSE event payload 需版本化或保持向後相容，避免舊前端解析失敗。</w:t>
      </w:r>
    </w:p>
    <w:p>
      <w:pPr>
        <w:pStyle w:val="Heading2"/>
      </w:pPr>
      <w:r>
        <w:t>文件管制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00"/>
        <w:gridCol w:w="1600"/>
        <w:gridCol w:w="1300"/>
        <w:gridCol w:w="5360"/>
      </w:tblGrid>
      <w:tr>
        <w:trPr>
          <w:tblHeader w:val="true"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版本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日期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狀態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eastAsia="Microsoft JhengHei"/>
                <w:b/>
                <w:color w:val="17365D"/>
                <w:sz w:val="17"/>
              </w:rPr>
              <w:t>異動摘要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2026-08-04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正式版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JhengHei"/>
                <w:color w:val="111827"/>
                <w:sz w:val="17"/>
              </w:rPr>
              <w:t>依現行 main 分支建立初版工程文件。</w:t>
            </w:r>
          </w:p>
        </w:tc>
      </w:tr>
    </w:tbl>
    <w:p>
      <w:pPr>
        <w:spacing w:before="0" w:after="40"/>
      </w:pPr>
    </w:p>
    <w:p>
      <w:pPr>
        <w:spacing w:before="100" w:after="60" w:line="240" w:lineRule="auto"/>
      </w:pPr>
      <w:r>
        <w:rPr>
          <w:rFonts w:ascii="Calibri" w:hAnsi="Calibri" w:eastAsia="Microsoft JhengHei"/>
          <w:b/>
          <w:color w:val="1F4D78"/>
          <w:sz w:val="16"/>
        </w:rPr>
        <w:t>主要程式來源：</w:t>
      </w:r>
      <w:r>
        <w:rPr>
          <w:rFonts w:ascii="Calibri" w:hAnsi="Calibri" w:eastAsia="Microsoft JhengHei"/>
          <w:color w:val="667085"/>
          <w:sz w:val="16"/>
        </w:rPr>
        <w:t>client/src/App.tsx、client/src/main.tsx、client/src/components/AppLayout.tsx；client/src/lib/auth.tsx、client/src/lib/msal.ts、client/src/lib/trpc.ts；server/index.ts、server/_core/trpc.ts、server/_core/authorization.ts；server/routers.ts、server/routers/*、server/services/*；server/api/v1/*、server/_core/events.ts、server/_core/jobs.ts；Dockerfile、docker-compose.yml、.github/workflows/*</w:t>
      </w:r>
    </w:p>
    <w:p>
      <w:pPr>
        <w:spacing w:after="0" w:line="240" w:lineRule="auto"/>
      </w:pPr>
      <w:r>
        <w:rPr>
          <w:rFonts w:ascii="Calibri" w:hAnsi="Calibri" w:eastAsia="Microsoft JhengHei"/>
          <w:b/>
          <w:color w:val="1F4D78"/>
          <w:sz w:val="17"/>
        </w:rPr>
        <w:t>維護規則：</w:t>
      </w:r>
      <w:r>
        <w:rPr>
          <w:rFonts w:ascii="Calibri" w:hAnsi="Calibri" w:eastAsia="Microsoft JhengHei"/>
          <w:color w:val="667085"/>
          <w:sz w:val="17"/>
        </w:rPr>
        <w:t>路由、Router、Schema、認證、部署或環境變數變更時，應同步更新本文件並重新審查。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605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JhengHei"/>
        <w:color w:val="667085"/>
        <w:sz w:val="17"/>
      </w:rPr>
      <w:t xml:space="preserve">PMPS Engineering Documentation   |   2026-08-04   |   Page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JhengHei"/>
        <w:color w:val="667085"/>
        <w:sz w:val="17"/>
      </w:rPr>
      <w:t xml:space="preserve"> / </w:t>
    </w:r>
    <w:r>
      <w:rPr>
        <w:rFonts w:ascii="Calibri" w:hAnsi="Calibri" w:eastAsia="Microsoft JhengHei"/>
        <w:color w:val="667085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Calibri" w:hAnsi="Calibri" w:eastAsia="Microsoft JhengHei"/>
        <w:b/>
        <w:color w:val="667085"/>
        <w:sz w:val="17"/>
      </w:rPr>
      <w:t>PMPS｜前端後端架構書</w:t>
    </w:r>
    <w:r>
      <w:tab/>
    </w:r>
    <w:r>
      <w:rPr>
        <w:rFonts w:ascii="Calibri" w:hAnsi="Calibri" w:eastAsia="Microsoft JhengHei"/>
        <w:color w:val="667085"/>
        <w:sz w:val="17"/>
      </w:rPr>
      <w:t>正式版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Jheng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4" w:lineRule="auto"/>
      <w:ind w:left="288" w:right="288"/>
    </w:pPr>
    <w:rPr>
      <w:rFonts w:ascii="Consolas" w:hAnsi="Consolas" w:eastAsia="Microsoft JhengHei"/>
      <w:color w:val="17365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PMPS 前端後端架構書</dc:title>
  <dc:subject>現行 TypeScript 系統工程文件</dc:subject>
  <dc:creator/>
  <cp:keywords>PMPS, TypeScript, React, tRPC, MongoDB,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Architecture</cp:category>
</cp:coreProperties>
</file>