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3A5C"/>
          <w:sz w:val="20"/>
          <w:szCs w:val="20"/>
        </w:rPr>
        <w:t xml:space="preserve">KRS Guard — Zarząd SAFE</w:t>
      </w:r>
    </w:p>
    <w:p>
      <w:pPr>
        <w:spacing w:after="80"/>
      </w:pPr>
      <w:r>
        <w:rPr>
          <w:b/>
          <w:bCs/>
          <w:color w:val="1A3A5C"/>
          <w:sz w:val="40"/>
          <w:szCs w:val="40"/>
        </w:rPr>
        <w:t xml:space="preserve">Odejście z zarządu spółki z o.o. — odwołanie i rezygnacja</w:t>
      </w:r>
    </w:p>
    <w:p>
      <w:pPr>
        <w:spacing w:after="60"/>
      </w:pPr>
      <w:r>
        <w:rPr>
          <w:color w:val="666666"/>
          <w:sz w:val="24"/>
          <w:szCs w:val="24"/>
        </w:rPr>
        <w:t xml:space="preserve">Skuteczne zakończenie mandatu, dokumenty do zabezpieczenia oraz postępowanie, gdy spółka nie wykreśla byłego członka zarządu z KRS</w:t>
      </w:r>
    </w:p>
    <w:p>
      <w:pPr>
        <w:pBdr>
          <w:bottom w:val="single" w:color="1A3A5C" w:sz="6"/>
        </w:pBdr>
        <w:spacing w:after="240"/>
      </w:pPr>
      <w:r>
        <w:rPr>
          <w:color w:val="666666"/>
          <w:sz w:val="18"/>
          <w:szCs w:val="18"/>
        </w:rPr>
        <w:t xml:space="preserve">Opracowanie robocze · stan prawny: sierpień 2026</w:t>
      </w:r>
    </w:p>
    <w:p>
      <w:pPr>
        <w:pStyle w:val="Heading1"/>
      </w:pPr>
      <w:r>
        <w:t xml:space="preserve">1. Dlaczego sposób odejścia ma znaczenie na lata</w:t>
      </w:r>
    </w:p>
    <w:p>
      <w:r>
        <w:t xml:space="preserve">Odejście z zarządu nie zamyka odpowiedzialności — </w:t>
      </w:r>
      <w:r>
        <w:rPr>
          <w:b/>
          <w:bCs/>
        </w:rPr>
        <w:t xml:space="preserve">art. 299 KSH</w:t>
      </w:r>
      <w:r>
        <w:t xml:space="preserve"> obejmuje zobowiązania istniejące w czasie kadencji (choćby jeszcze niewymagalne — uchwała SN III CZP 143/07), a </w:t>
      </w:r>
      <w:r>
        <w:rPr>
          <w:b/>
          <w:bCs/>
        </w:rPr>
        <w:t xml:space="preserve">art. 116 § 2 i 4 Ordynacji podatkowej</w:t>
      </w:r>
      <w:r>
        <w:t xml:space="preserve"> stosuje się wprost do byłego członka zarządu w zakresie zaległości, których termin płatności upływał w czasie pełnienia funkcji. Bez znaczenia jest, że bezskuteczność egzekucji stwierdzono już po odejściu (SN III CSK 96/17).</w:t>
      </w:r>
    </w:p>
    <w:p>
      <w:r>
        <w:rPr>
          <w:b/>
          <w:bCs/>
        </w:rPr>
        <w:t xml:space="preserve">Kluczowa lekcja z orzecznictwa: </w:t>
      </w:r>
      <w:r>
        <w:t xml:space="preserve">po odejściu były członek zarządu traci dostęp do dokumentacji spółki, a sądy NIE traktują tego jako okoliczności zwalniającej — w sprawie zakończonej wyrokiem WSA w Olsztynie z 15.11.2018 r. (I SA/Ol 308/18) była członkini zarządu odpowiadała za blisko 2 mln zł, mimo że nie miała już dostępu do dokumentów spółki, którymi mogłaby się bronić. Dlatego wszystko, co może służyć obronie, trzeba zabezpieczyć NAJPÓŹNIEJ w chwili odejścia.</w:t>
      </w:r>
    </w:p>
    <w:p>
      <w:pPr>
        <w:pStyle w:val="Heading1"/>
      </w:pPr>
      <w:r>
        <w:t xml:space="preserve">2. Skuteczne zakończenie mandatu</w:t>
      </w:r>
    </w:p>
    <w:p>
      <w:pPr>
        <w:pStyle w:val="Heading3"/>
      </w:pPr>
      <w:r>
        <w:t xml:space="preserve">2.1. Rezygnacja — komu i jak ją złożyć (art. 202 § 4–5 KSH)</w:t>
      </w:r>
    </w:p>
    <w:p>
      <w:pPr>
        <w:pStyle w:val="ListParagraph"/>
        <w:numPr>
          <w:ilvl w:val="0"/>
          <w:numId w:val="2"/>
        </w:numPr>
      </w:pPr>
      <w:r>
        <w:t xml:space="preserve">Rezygnacja jest </w:t>
      </w:r>
      <w:r>
        <w:rPr>
          <w:b/>
          <w:bCs/>
        </w:rPr>
        <w:t xml:space="preserve">jednostronna</w:t>
      </w:r>
      <w:r>
        <w:t xml:space="preserve"> — nie wymaga zgody ani „przyjęcia” przez spółkę (uchwała SN (7) z 31.03.2016 r., III CZP 89/15).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Adresat: spółka</w:t>
      </w:r>
      <w:r>
        <w:t xml:space="preserve">, reprezentowana biernie — wystarczy doręczenie jednemu członkowi zarządu lub prokurentowi (art. 205 § 2 KSH; III CZP 89/15). Rezygnacja dochodzi do skutku z chwilą, gdy adresat mógł zapoznać się z jej treścią w zwykłym toku czynności.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Forma: </w:t>
      </w:r>
      <w:r>
        <w:t xml:space="preserve">pisemna z potwierdzeniem — nie dla ważności, lecz dla dowodu i dla potrzeb wniosku do KRS. Ciężar udowodnienia, że i kiedy rezygnacja dotarła do spółki, spoczywa na rezygnującym (III CZP 89/15); awizowana przesyłka polecona tworzy domniemanie faktyczne możliwości zapoznania się.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Praktyczny wariant: rezygnacja z odroczonym skutkiem </w:t>
      </w:r>
      <w:r>
        <w:t xml:space="preserve">(np. „ze skutkiem na 7. dzień od złożenia”) — dopuszczona w uzasadnieniu III CZP 89/15; pozwala jeszcze jako urzędujący członek zarządu złożyć wniosek o zmianę wpisu w KRS, zanim mandat wygaśnie.</w:t>
      </w:r>
    </w:p>
    <w:p>
      <w:pPr>
        <w:pStyle w:val="Heading3"/>
      </w:pPr>
      <w:r>
        <w:t xml:space="preserve">2.2. Jedyny lub ostatni członek zarządu — tryb szczególny (art. 202 § 6 KSH)</w:t>
      </w:r>
    </w:p>
    <w:p>
      <w:r>
        <w:t xml:space="preserve">Jeżeli w wyniku rezygnacji żaden mandat w zarządzie nie byłby obsadzony, rezygnację składa się </w:t>
      </w:r>
      <w:r>
        <w:rPr>
          <w:b/>
          <w:bCs/>
        </w:rPr>
        <w:t xml:space="preserve">wspólnikom</w:t>
      </w:r>
      <w:r>
        <w:t xml:space="preserve">, zwołując jednocześnie zgromadzenie wspólników (art. 233¹ KSH); zaproszenie musi zawierać samo oświadczenie o rezygnacji, a rezygnacja jest skuteczna dopiero </w:t>
      </w:r>
      <w:r>
        <w:rPr>
          <w:b/>
          <w:bCs/>
        </w:rPr>
        <w:t xml:space="preserve">z dniem następującym po dniu, na który zwołano zgromadzenie</w:t>
      </w:r>
      <w:r>
        <w:t xml:space="preserve"> — chyba że umowa spółki stanowi inaczej (brzmienie zweryfikowane, t.j. Dz.U. 2024 poz. 18). Ostatni członek zarządu nie odejdzie więc „z dnia na dzień” — musi doliczyć czas formalnego zwołania zgromadzenia i zabezpieczyć dowody wysłania zaproszeń.</w:t>
      </w:r>
    </w:p>
    <w:p>
      <w:r>
        <w:rPr>
          <w:b/>
          <w:bCs/>
        </w:rPr>
        <w:t xml:space="preserve">Odrębny wyjątek: </w:t>
      </w:r>
      <w:r>
        <w:t xml:space="preserve">jedyny wspólnik będący zarazem jedynym członkiem zarządu składa rezygnację w formie aktu notarialnego (art. 210 § 2 KSH).</w:t>
      </w:r>
    </w:p>
    <w:p>
      <w:pPr>
        <w:pStyle w:val="Heading3"/>
      </w:pPr>
      <w:r>
        <w:t xml:space="preserve">2.3. Odwołanie (art. 203 KSH)</w:t>
      </w:r>
    </w:p>
    <w:p>
      <w:pPr>
        <w:pStyle w:val="ListParagraph"/>
        <w:numPr>
          <w:ilvl w:val="0"/>
          <w:numId w:val="2"/>
        </w:numPr>
      </w:pPr>
      <w:r>
        <w:t xml:space="preserve">Uchwała wspólników może odwołać członka zarządu w każdym czasie; jest skuteczna z chwilą podjęcia (można w niej zastrzec późniejszy termin), a wpis do KRS jest wyłącznie deklaratoryjny.</w:t>
      </w:r>
    </w:p>
    <w:p>
      <w:pPr>
        <w:pStyle w:val="ListParagraph"/>
        <w:numPr>
          <w:ilvl w:val="0"/>
          <w:numId w:val="2"/>
        </w:numPr>
      </w:pPr>
      <w:r>
        <w:t xml:space="preserve">Odwoływany powinien od razu zażądać: </w:t>
      </w:r>
      <w:r>
        <w:rPr>
          <w:b/>
          <w:bCs/>
        </w:rPr>
        <w:t xml:space="preserve">odpisu uchwały o odwołaniu oraz protokołu zgromadzenia z listą obecności</w:t>
      </w:r>
      <w:r>
        <w:t xml:space="preserve"> — to jego główny dowód daty ustania mandatu.</w:t>
      </w:r>
    </w:p>
    <w:p>
      <w:pPr>
        <w:pStyle w:val="ListParagraph"/>
        <w:numPr>
          <w:ilvl w:val="0"/>
          <w:numId w:val="2"/>
        </w:numPr>
      </w:pPr>
      <w:r>
        <w:t xml:space="preserve">Były członek zarządu ma ustawowe prawo (i obowiązek) złożenia wyjaśnień przy sporządzaniu sprawozdań za okres swojej kadencji oraz udziału w zatwierdzającym je zgromadzeniu (art. 203 § 3 KSH) — warto z tego korzystać jako z legalnej „furtki dokumentacyjnej”.</w:t>
      </w:r>
    </w:p>
    <w:p>
      <w:pPr>
        <w:pStyle w:val="Heading3"/>
      </w:pPr>
      <w:r>
        <w:t xml:space="preserve">2.4. Absolutorium — co daje, a czego nie daje</w:t>
      </w:r>
    </w:p>
    <w:p>
      <w:r>
        <w:t xml:space="preserve">Absolutorium chroni co do zasady wyłącznie przed roszczeniami odszkodowawczymi </w:t>
      </w:r>
      <w:r>
        <w:rPr>
          <w:b/>
          <w:bCs/>
        </w:rPr>
        <w:t xml:space="preserve">samej spółki</w:t>
      </w:r>
      <w:r>
        <w:t xml:space="preserve"> (art. 293 KSH) i to warunkowo (nie chroni m.in. przy zatajeniu szkody przed wspólnikami lub uchyleniu uchwały). </w:t>
      </w:r>
      <w:r>
        <w:rPr>
          <w:b/>
          <w:bCs/>
        </w:rPr>
        <w:t xml:space="preserve">Nie wiąże natomiast wierzycieli spółki, urzędu skarbowego ani ZUS</w:t>
      </w:r>
      <w:r>
        <w:t xml:space="preserve"> — nie chroni przed art. 299 KSH ani art. 116 O.p. Mimo to kopię uchwały warto zabezpieczyć: dokumentuje, że wspólnicy znali i zaakceptowali stan spraw na koniec kadencji.</w:t>
      </w:r>
    </w:p>
    <w:p>
      <w:pPr>
        <w:pStyle w:val="Heading1"/>
      </w:pPr>
      <w:r>
        <w:t xml:space="preserve">3. Checklista dokumentów do zabezpieczenia na moment odejścia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Oświadczenie o rezygnacji z niepodważalnym dowodem doręczenia</w:t>
      </w:r>
    </w:p>
    <w:p>
      <w:pPr>
        <w:spacing w:after="80"/>
        <w:ind w:left="400"/>
      </w:pPr>
      <w:r>
        <w:rPr>
          <w:b/>
          <w:bCs/>
          <w:color w:val="666666"/>
        </w:rPr>
        <w:t xml:space="preserve">Dlaczego: </w:t>
      </w:r>
      <w:r>
        <w:t xml:space="preserve">Data skutecznego złożenia rezygnacji wyznacza granicę odpowiedzialności — a ciężar jej udowodnienia spoczywa na rezygnującym (III CZP 89/15). Formy dowodu: podpis i data przyjęcia na kopii, zwrotne potwierdzenie odbioru listu poleconego, przy jedynym wspólniku-zarządcy wypis aktu notarialnego.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Uchwała o odwołaniu + protokół zgromadzenia z listą obecności (odpisy)</w:t>
      </w:r>
    </w:p>
    <w:p>
      <w:pPr>
        <w:spacing w:after="80"/>
        <w:ind w:left="400"/>
      </w:pPr>
      <w:r>
        <w:rPr>
          <w:b/>
          <w:bCs/>
          <w:color w:val="666666"/>
        </w:rPr>
        <w:t xml:space="preserve">Dlaczego: </w:t>
      </w:r>
      <w:r>
        <w:t xml:space="preserve">Analogiczny dowód daty ustania mandatu przy odwołaniu; jednocześnie załącznik do ewentualnego zawiadomienia sądu rejestrowego (rozdział 4).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Przy rezygnacji ostatniego członka zarządu: dowody zwołania zgromadzenia</w:t>
      </w:r>
    </w:p>
    <w:p>
      <w:pPr>
        <w:spacing w:after="80"/>
        <w:ind w:left="400"/>
      </w:pPr>
      <w:r>
        <w:rPr>
          <w:b/>
          <w:bCs/>
          <w:color w:val="666666"/>
        </w:rPr>
        <w:t xml:space="preserve">Dlaczego: </w:t>
      </w:r>
      <w:r>
        <w:t xml:space="preserve">Od prawidłowego zwołania (zaproszenia zawierające oświadczenie o rezygnacji + dowody nadania) zależy sama skuteczność rezygnacji (art. 202 § 6 KSH).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Sprawozdanie finansowe / bilans na dzień odejścia (lub ostatnie zatwierdzone sprawozdanie + bieżące dane księgowe)</w:t>
      </w:r>
    </w:p>
    <w:p>
      <w:pPr>
        <w:spacing w:after="80"/>
        <w:ind w:left="400"/>
      </w:pPr>
      <w:r>
        <w:rPr>
          <w:b/>
          <w:bCs/>
          <w:color w:val="666666"/>
        </w:rPr>
        <w:t xml:space="preserve">Dlaczego: </w:t>
      </w:r>
      <w:r>
        <w:t xml:space="preserve">Główny dowód w przyszłej obronie: że w okresie kadencji nie było podstaw do ogłoszenia upadłości albo że wniosek złożono we właściwym czasie (art. 299 § 2 KSH; art. 116 § 1 O.p.). Po odejściu spółka tych danych dobrowolnie nie wyda (por. I SA/Ol 308/18).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Zestawienie zobowiązań na dzień odejścia (także spornych i niewymagalnych)</w:t>
      </w:r>
    </w:p>
    <w:p>
      <w:pPr>
        <w:spacing w:after="80"/>
        <w:ind w:left="400"/>
      </w:pPr>
      <w:r>
        <w:rPr>
          <w:b/>
          <w:bCs/>
          <w:color w:val="666666"/>
        </w:rPr>
        <w:t xml:space="preserve">Dlaczego: </w:t>
      </w:r>
      <w:r>
        <w:t xml:space="preserve">Art. 299 KSH obejmuje zobowiązania istniejące, choćby niewymagalne (III CZP 143/07) — lista pozwala z góry ocenić, o co można zostać pozwanym, i przygotować obronę.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Protokół zdawczo-odbiorczy (dokumenty, klucze, dostępy, pieczęcie, hasła) z podpisem przejmującego</w:t>
      </w:r>
    </w:p>
    <w:p>
      <w:pPr>
        <w:spacing w:after="80"/>
        <w:ind w:left="400"/>
      </w:pPr>
      <w:r>
        <w:rPr>
          <w:b/>
          <w:bCs/>
          <w:color w:val="666666"/>
        </w:rPr>
        <w:t xml:space="preserve">Dlaczego: </w:t>
      </w:r>
      <w:r>
        <w:t xml:space="preserve">Odcina zarzuty zatrzymania lub ukrycia dokumentacji (również na gruncie karnym i karnoskarbowym) i utrwala stan spraw na dzień przekazania. Uwaga: to standard staranności, nie obowiązek ustawowy.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Zaświadczenia o niezaleganiu spółki w US i ZUS — uzyskane PRZED odejściem</w:t>
      </w:r>
    </w:p>
    <w:p>
      <w:pPr>
        <w:spacing w:after="80"/>
        <w:ind w:left="400"/>
      </w:pPr>
      <w:r>
        <w:rPr>
          <w:b/>
          <w:bCs/>
          <w:color w:val="666666"/>
        </w:rPr>
        <w:t xml:space="preserve">Dlaczego: </w:t>
      </w:r>
      <w:r>
        <w:t xml:space="preserve">Po odejściu były członek zarządu nie ma samodzielnej ścieżki ich uzyskania (nie mieści się w katalogu art. 306h § 1 O.p.; w ZUS zaświadczenie wydawane jest płatnikowi lub pełnomocnikowi). Zaświadczenie z datą sprzed odejścia dokumentuje stan zaległości publicznoprawnych na koniec kadencji — bezcenne przy art. 116 O.p.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Korespondencja wykazująca staranność</w:t>
      </w:r>
    </w:p>
    <w:p>
      <w:pPr>
        <w:spacing w:after="80"/>
        <w:ind w:left="400"/>
      </w:pPr>
      <w:r>
        <w:rPr>
          <w:b/>
          <w:bCs/>
          <w:color w:val="666666"/>
        </w:rPr>
        <w:t xml:space="preserve">Dlaczego: </w:t>
      </w:r>
      <w:r>
        <w:t xml:space="preserve">Pisma i e-maile do wspólników/pozostałych członków zarządu o sytuacji finansowej, żądania zwołania zgromadzenia, zgłaszane zastrzeżenia i zdania odrębne, wnioski o audyt — budują przesłankę egzoneracyjną „niezgłoszenie wniosku o upadłość nastąpiło bez winy” (art. 299 § 2 KSH; art. 116 § 1 pkt 1 lit. b O.p.).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Potwierdzenie złożenia wniosku o upadłość / restrukturyzację (jeśli składano)</w:t>
      </w:r>
    </w:p>
    <w:p>
      <w:pPr>
        <w:spacing w:after="80"/>
        <w:ind w:left="400"/>
      </w:pPr>
      <w:r>
        <w:rPr>
          <w:b/>
          <w:bCs/>
          <w:color w:val="666666"/>
        </w:rPr>
        <w:t xml:space="preserve">Dlaczego: </w:t>
      </w:r>
      <w:r>
        <w:t xml:space="preserve">Data i sygnatura — pierwsza i najmocniejsza przesłanka uwalniająca w obu reżimach odpowiedzialności.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Kopia wniosku spółki do KRS o wykreślenie (lub własnego zawiadomienia sądu) z potwierdzeniem złożenia</w:t>
      </w:r>
    </w:p>
    <w:p>
      <w:pPr>
        <w:spacing w:after="80"/>
        <w:ind w:left="400"/>
      </w:pPr>
      <w:r>
        <w:rPr>
          <w:b/>
          <w:bCs/>
          <w:color w:val="666666"/>
        </w:rPr>
        <w:t xml:space="preserve">Dlaczego: </w:t>
      </w:r>
      <w:r>
        <w:t xml:space="preserve">Dokumentuje dopilnowanie ujawnienia zmiany; stanowi też podstawę roszczenia odszkodowawczego przeciwko spółce za zwłokę (art. 18 ust. 1 ustawy o KRS) i pomaga obalić domniemanie prawdziwości nieaktualnego wpisu.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Kopia uchwały o absolutorium (jeśli udzielono)</w:t>
      </w:r>
    </w:p>
    <w:p>
      <w:pPr>
        <w:spacing w:after="80"/>
        <w:ind w:left="400"/>
      </w:pPr>
      <w:r>
        <w:rPr>
          <w:b/>
          <w:bCs/>
          <w:color w:val="666666"/>
        </w:rPr>
        <w:t xml:space="preserve">Dlaczego: </w:t>
      </w:r>
      <w:r>
        <w:t xml:space="preserve">Chroni w relacji ze spółką (art. 293 KSH) i dowodzi wiedzy wspólników o stanie spraw — z zastrzeżeniami z pkt 2.4.</w:t>
      </w:r>
    </w:p>
    <w:p>
      <w:pPr>
        <w:pStyle w:val="Heading1"/>
      </w:pPr>
      <w:r>
        <w:t xml:space="preserve">4. Gdy spółka nie wykreśla byłego członka zarządu z KRS</w:t>
      </w:r>
    </w:p>
    <w:p>
      <w:pPr>
        <w:pStyle w:val="Heading3"/>
      </w:pPr>
      <w:r>
        <w:t xml:space="preserve">4.1. Dlaczego nieaktualny wpis jest groźny</w:t>
      </w:r>
    </w:p>
    <w:p>
      <w:r>
        <w:t xml:space="preserve">Wniosek o wykreślenie składa </w:t>
      </w:r>
      <w:r>
        <w:rPr>
          <w:b/>
          <w:bCs/>
        </w:rPr>
        <w:t xml:space="preserve">spółka (aktualny zarząd) w terminie 7 dni</w:t>
      </w:r>
      <w:r>
        <w:t xml:space="preserve"> (art. 22 ustawy o KRS) — były członek zarządu nie ma legitymacji do jego złożenia. W praktyce zdarza się celowe zwlekanie, m.in. po to, by utrzymać byłego członka w kręgu osób pozywanych za długi spółki. Tymczasem dane wpisane do rejestru objęte są domniemaniem prawdziwości (art. 17 ust. 1 ustawy o KRS), a wierzyciele, US i ZUS w pierwszej kolejności kierują się wydrukiem z KRS. Ciężar obalenia domniemania spoczywa na byłym członku zarządu — stąd krytyczne znaczenie dowodów z rozdziału 3.</w:t>
      </w:r>
    </w:p>
    <w:p>
      <w:r>
        <w:rPr>
          <w:b/>
          <w:bCs/>
        </w:rPr>
        <w:t xml:space="preserve">Równocześnie: wpis jest deklaratoryjny. </w:t>
      </w:r>
      <w:r>
        <w:t xml:space="preserve">O odpowiedzialności rozstrzyga rzeczywiste pełnienie funkcji, nie stan rejestru — „wpis w rejestrze określonej osoby jako członka zarządu nie rozstrzyga per se o ponoszeniu odpowiedzialności” (SN III CSK 96/17); analogicznie w sprawach podatkowych (NSA II FSK 1832/17). Z posiadanymi dowodami daty ustania mandatu obronę można poprowadzić skutecznie — ale to spór, którego przy zaktualizowanym wpisie mogłoby w ogóle nie być.</w:t>
      </w:r>
    </w:p>
    <w:p>
      <w:pPr>
        <w:pStyle w:val="Heading3"/>
      </w:pPr>
      <w:r>
        <w:t xml:space="preserve">4.2. Ścieżka działania byłego członka zarządu — krok po kroku</w:t>
      </w:r>
    </w:p>
    <w:p>
      <w:pPr>
        <w:spacing w:after="40" w:before="100"/>
      </w:pPr>
      <w:r>
        <w:rPr>
          <w:b/>
          <w:bCs/>
        </w:rPr>
        <w:t xml:space="preserve">Krok 1. Wezwanie spółki do złożenia wniosku</w:t>
      </w:r>
    </w:p>
    <w:p>
      <w:pPr>
        <w:spacing w:after="80"/>
        <w:ind w:left="400"/>
      </w:pPr>
      <w:r>
        <w:t xml:space="preserve">Pisemne wezwanie (list polecony za potwierdzeniem) z zakreślonym terminem — buduje dokumentację na potrzeby dalszych kroków i przyszłego roszczenia odszkodowawczego.</w:t>
      </w:r>
    </w:p>
    <w:p>
      <w:pPr>
        <w:spacing w:after="40"/>
      </w:pPr>
      <w:r>
        <w:rPr>
          <w:b/>
          <w:bCs/>
        </w:rPr>
        <w:t xml:space="preserve">Krok 2. Zawiadomienie sądu rejestrowego</w:t>
      </w:r>
    </w:p>
    <w:p>
      <w:pPr>
        <w:spacing w:after="80"/>
        <w:ind w:left="400"/>
      </w:pPr>
      <w:r>
        <w:t xml:space="preserve">Pismo do sądu rejestrowego właściwego dla spółki z opisem stanu i KOMPLETEM dowodów (uchwała o odwołaniu / rezygnacja z dowodem doręczenia, wezwanie spółki). Zawiadomienie nie jest wnioskiem o wpis — sąd działa z urzędu; złożenie dowodów do akt rejestrowych jest warunkiem skorzystania w przyszłości z art. 24 ust. 6 (krok 4). W piśmie warto od razu wnieść o wszczęcie postępowania przymuszającego ORAZ — na wypadek jego nieskuteczności — o wykreślenie z urzędu na podstawie art. 24 ust. 6.</w:t>
      </w:r>
    </w:p>
    <w:p>
      <w:pPr>
        <w:spacing w:after="40"/>
      </w:pPr>
      <w:r>
        <w:rPr>
          <w:b/>
          <w:bCs/>
        </w:rPr>
        <w:t xml:space="preserve">Krok 3. Postępowanie przymuszające (art. 24 ust. 1–2 ustawy o KRS)</w:t>
      </w:r>
    </w:p>
    <w:p>
      <w:pPr>
        <w:spacing w:after="80"/>
        <w:ind w:left="400"/>
      </w:pPr>
      <w:r>
        <w:t xml:space="preserve">Sąd wzywa obowiązanych (aktualny zarząd) do złożenia wniosku w dodatkowym 7-dniowym terminie pod rygorem grzywny; grzywna jest obligatoryjna i może być ponawiana (do 15 000 zł jednorazowo, łącznie do 1 000 000 zł — art. 1052 KPC), bez możliwości zamiany na areszt. Grzywny obciążają obowiązanych, nie zawiadamiającego. Przy braku organu sąd może wezwać do jego powołania także wspólników (art. 24 ust. 1a).</w:t>
      </w:r>
    </w:p>
    <w:p>
      <w:pPr>
        <w:spacing w:after="40"/>
      </w:pPr>
      <w:r>
        <w:rPr>
          <w:b/>
          <w:bCs/>
        </w:rPr>
        <w:t xml:space="preserve">Krok 4. Wykreślenie z urzędu (art. 24 ust. 6 ustawy o KRS)</w:t>
      </w:r>
    </w:p>
    <w:p>
      <w:pPr>
        <w:spacing w:after="80"/>
        <w:ind w:left="400"/>
      </w:pPr>
      <w:r>
        <w:t xml:space="preserve">„W przypadkach uzasadnionych bezpieczeństwem obrotu sąd rejestrowy może dokonać z urzędu wykreślenia danych niezgodnych z rzeczywistym stanem rzeczy (…), jeżeli dokumenty stanowiące podstawę wpisu lub wykreślenia znajdują się w aktach rejestrowych, a dane te są istotne” (brzmienie zweryfikowane, t.j. Dz.U. 2025 poz. 869). Dane o składzie zarządu są danymi istotnymi. UWAGA: przy spółkach „porzuconych” sąd może odstąpić od przymuszania lub je umorzyć (art. 24 ust. 3–4) — wtedy ust. 6 pozostaje jedyną realną drogą; brak zarządu nie stoi na przeszkodzie wpisowi z urzędu (art. 694³ § 2¹ KPC).</w:t>
      </w:r>
    </w:p>
    <w:p>
      <w:pPr>
        <w:spacing w:after="40"/>
      </w:pPr>
      <w:r>
        <w:rPr>
          <w:b/>
          <w:bCs/>
        </w:rPr>
        <w:t xml:space="preserve">Krok 5. Roszczenie odszkodowawcze przeciwko spółce (art. 18 ust. 1 ustawy o KRS)</w:t>
      </w:r>
    </w:p>
    <w:p>
      <w:pPr>
        <w:spacing w:after="80"/>
        <w:ind w:left="400"/>
      </w:pPr>
      <w:r>
        <w:t xml:space="preserve">Spółka odpowiada za szkodę wyrządzoną niezgłoszeniem danych w ustawowym terminie (odpowiedzialność na zasadzie ryzyka) — w grę wchodzą m.in. koszty pomocy prawnej wywołane sporami „z wpisu” oraz utracone korzyści; rozważyć także ochronę dóbr osobistych.</w:t>
      </w:r>
    </w:p>
    <w:p>
      <w:r>
        <w:rPr>
          <w:b/>
          <w:bCs/>
        </w:rPr>
        <w:t xml:space="preserve">Czas i koszty (ocena praktyczna): </w:t>
      </w:r>
      <w:r>
        <w:t xml:space="preserve">od kilku tygodni do wielu miesięcy, zależnie od sądu i postawy spółki; zawiadomienie nie podlega opłacie od wniosku (sąd działa z urzędu). Najskuteczniejszą profilaktyką pozostaje wariant z pkt 2.1/2.3: odroczony skutek rezygnacji/odwołania i samodzielne złożenie wniosku do KRS jeszcze w czasie trwania mandatu.</w:t>
      </w:r>
    </w:p>
    <w:p>
      <w:pPr>
        <w:pStyle w:val="Heading1"/>
      </w:pPr>
      <w:r>
        <w:t xml:space="preserve">5. Odejście ze spółki w kłopotach — ryzyka szczególne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Rezygnacja nie działa wstecz: </w:t>
      </w:r>
      <w:r>
        <w:t xml:space="preserve">jeżeli przesłanki upadłości wystąpiły w czasie kadencji, a wniosku nie złożono we właściwym czasie, odejście nie uchyla odpowiedzialności — również za zobowiązania powstałe później wskutek braku tego wniosku (orzecznictwo sądów powszechnych i administracyjnych; por. I SA/Ol 308/18).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Strona lustrzana: </w:t>
      </w:r>
      <w:r>
        <w:t xml:space="preserve">kto odszedł, zanim zobowiązanie stało się wymagalne i zanim powstały podstawy upadłości, może bronić się brakiem winy — „skoro nie był już członkiem zarządu, nie można mu przypisać winy za zaniechanie zgłoszenia upadłości przez nowy zarząd” (SN II CSK 619/17). Warunkiem skuteczności tej obrony jest bilans na dzień odejścia (rozdział 3, poz. 4).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Nowa linia obrony po wyroku TK z 12.04.2023 r. (P 5/19): </w:t>
      </w:r>
      <w:r>
        <w:t xml:space="preserve">były członek zarządu może kwestionować istnienie wierzytelności stwierdzonej orzeczeniem wydanym przeciwko spółce w postępowaniu wszczętym po jego odejściu (art. 299 § 1–2 KSH utracił moc w zakresie, w jakim to uniemożliwiał; Dz.U. 2023 poz. 739). Do skorzystania z niej potrzebne są jednak dokumenty źródłowe zobowiązań — kolejny argument za prywatnym archiwum.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Za zobowiązania powstałe po wygaśnięciu mandatu były członek zarządu nie odpowiada</w:t>
      </w:r>
      <w:r>
        <w:t xml:space="preserve"> — dlatego precyzyjne udokumentowanie DATY ustania mandatu (rozdział 2–3) jest fundamentem całej ochrony.</w:t>
      </w:r>
    </w:p>
    <w:p>
      <w:pPr>
        <w:pStyle w:val="Heading1"/>
      </w:pPr>
      <w:r>
        <w:t xml:space="preserve">6. Zastrzeżenia i punkty do decyzji radcy prawnego</w:t>
      </w:r>
    </w:p>
    <w:p>
      <w:pPr>
        <w:pStyle w:val="ListParagraph"/>
        <w:numPr>
          <w:ilvl w:val="0"/>
          <w:numId w:val="2"/>
        </w:numPr>
      </w:pPr>
      <w:r>
        <w:t xml:space="preserve">Status byłego członka zarządu jako uczestnika postępowania przymuszającego (interes prawny, art. 510 KPC) — brak jednoznacznego orzeczenia SN ustalonego w badaniu; przed kategorycznym sformułowaniem w materiale klienckim zweryfikować w SIP.</w:t>
      </w:r>
    </w:p>
    <w:p>
      <w:pPr>
        <w:pStyle w:val="ListParagraph"/>
        <w:numPr>
          <w:ilvl w:val="0"/>
          <w:numId w:val="2"/>
        </w:numPr>
      </w:pPr>
      <w:r>
        <w:t xml:space="preserve">Brak opłaty od zawiadomienia sądu rejestrowego — wniosek systemowy (postępowanie z urzędu); nie znaleziono źródła stwierdzającego to wprost.</w:t>
      </w:r>
    </w:p>
    <w:p>
      <w:pPr>
        <w:pStyle w:val="ListParagraph"/>
        <w:numPr>
          <w:ilvl w:val="0"/>
          <w:numId w:val="2"/>
        </w:numPr>
      </w:pPr>
      <w:r>
        <w:t xml:space="preserve">Stosowanie art. 116 O.p. do składek ZUS (art. 31–32 ustawy systemowej) — powszechnie przyjmowane; numery przepisów odsyłających potwierdzić w SIP.</w:t>
      </w:r>
    </w:p>
    <w:p>
      <w:pPr>
        <w:pStyle w:val="ListParagraph"/>
        <w:numPr>
          <w:ilvl w:val="0"/>
          <w:numId w:val="2"/>
        </w:numPr>
      </w:pPr>
      <w:r>
        <w:t xml:space="preserve">Typowa długość postępowania przymuszającego — brak twardych danych; w materiałach podawać ostrożny przedział z zastrzeżeniem.</w:t>
      </w:r>
    </w:p>
    <w:p>
      <w:pPr>
        <w:pBdr>
          <w:top w:val="single" w:color="CCCCCC" w:sz="4"/>
        </w:pBdr>
        <w:spacing w:before="240"/>
      </w:pPr>
      <w:r>
        <w:rPr>
          <w:i/>
          <w:iCs/>
          <w:color w:val="666666"/>
          <w:sz w:val="18"/>
          <w:szCs w:val="18"/>
        </w:rPr>
        <w:t xml:space="preserve">WERSJA ROBOCZA — materiał wewnętrzny przygotowany dla KRS Guard na podstawie badania źródeł (06.08.2026). Wymaga merytorycznej weryfikacji i akceptacji radcy prawnego przed jakimkolwiek użyciem wobec klientów. Nie stanowi porady prawnej.</w:t>
      </w:r>
    </w:p>
    <w:sectPr>
      <w:pgSz w:w="11906" w:h="16838" w:orient="portrait"/>
      <w:pgMar w:top="1247" w:right="1360" w:bottom="1247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</w:pPr>
    <w:rPr>
      <w:rFonts w:ascii="Arial" w:cs="Arial" w:eastAsia="Arial" w:hAnsi="Arial"/>
      <w:b/>
      <w:bCs/>
      <w:color w:val="1A3A5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</w:pPr>
    <w:rPr>
      <w:rFonts w:ascii="Arial" w:cs="Arial" w:eastAsia="Arial" w:hAnsi="Arial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2026-08-06T19:52:51.536Z</dcterms:created>
  <dcterms:modified xsi:type="dcterms:W3CDTF">2026-08-06T19:52:51.536Z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