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A3A5C"/>
          <w:sz w:val="20"/>
          <w:szCs w:val="20"/>
        </w:rPr>
        <w:t xml:space="preserve">KRS Guard — Zarząd SAFE</w:t>
      </w:r>
    </w:p>
    <w:p>
      <w:pPr>
        <w:spacing w:after="80"/>
      </w:pPr>
      <w:r>
        <w:rPr>
          <w:b/>
          <w:bCs/>
          <w:color w:val="1A3A5C"/>
          <w:sz w:val="40"/>
          <w:szCs w:val="40"/>
        </w:rPr>
        <w:t xml:space="preserve">Powołanie do zarządu spółki z o.o.</w:t>
      </w:r>
    </w:p>
    <w:p>
      <w:pPr>
        <w:spacing w:after="60"/>
      </w:pPr>
      <w:r>
        <w:rPr>
          <w:color w:val="666666"/>
          <w:sz w:val="24"/>
          <w:szCs w:val="24"/>
        </w:rPr>
        <w:t xml:space="preserve">Kluczowe dokumenty do analizy przed objęciem funkcji oraz dodatkowe zabezpieczenia — perspektywa ochrony majątku osobistego</w:t>
      </w:r>
    </w:p>
    <w:p>
      <w:pPr>
        <w:pBdr>
          <w:bottom w:val="single" w:color="1A3A5C" w:sz="6"/>
        </w:pBdr>
        <w:spacing w:after="240"/>
      </w:pPr>
      <w:r>
        <w:rPr>
          <w:color w:val="666666"/>
          <w:sz w:val="18"/>
          <w:szCs w:val="18"/>
        </w:rPr>
        <w:t xml:space="preserve">Opracowanie robocze · stan prawny: sierpień 2026</w:t>
      </w:r>
    </w:p>
    <w:p>
      <w:pPr>
        <w:pStyle w:val="Heading1"/>
      </w:pPr>
      <w:r>
        <w:t xml:space="preserve">1. Dlaczego analiza przed powołaniem jest konieczna</w:t>
      </w:r>
    </w:p>
    <w:p>
      <w:r>
        <w:t xml:space="preserve">Przyjęcie powołania do zarządu spółki z o.o. oznacza wejście w reżim osobistej odpowiedzialności majątkowej, która obejmuje również stan zastany. Zgodnie z utrwalonym orzecznictwem (uchwała SN z 28.02.2008 r., III CZP 143/07) odpowiedzialność z </w:t>
      </w:r>
      <w:r>
        <w:rPr>
          <w:b/>
          <w:bCs/>
        </w:rPr>
        <w:t xml:space="preserve">art. 299 KSH</w:t>
      </w:r>
      <w:r>
        <w:t xml:space="preserve"> ponoszą osoby, które były członkami zarządu w czasie istnienia zobowiązania — także wtedy, gdy zobowiązanie powstało przed ich powołaniem i nie było jeszcze wymagalne. Nowy członek zarządu odpowiada więc od pierwszego dnia również za „odziedziczone” długi spółki, jeżeli istniały w czasie jego kadencji.</w:t>
      </w:r>
    </w:p>
    <w:p>
      <w:r>
        <w:t xml:space="preserve">Równolegle </w:t>
      </w:r>
      <w:r>
        <w:rPr>
          <w:b/>
          <w:bCs/>
        </w:rPr>
        <w:t xml:space="preserve">art. 116 § 2 Ordynacji podatkowej</w:t>
      </w:r>
      <w:r>
        <w:t xml:space="preserve"> obciąża członka zarządu odpowiedzialnością za zaległości podatkowe (i odpowiednio składkowe ZUS), których termin płatności upływał w czasie pełnienia funkcji. Jeżeli spółka jest już niewypłacalna w chwili powołania, 30-dniowy termin na złożenie wniosku o ogłoszenie upadłości (art. 21 ust. 1 Prawa upadłościowego) biegnie dla nowego członka zarządu od objęcia mandatu — nieświadomość stanu spółki nie zwalnia z odpowiedzialności.</w:t>
      </w:r>
    </w:p>
    <w:p>
      <w:r>
        <w:t xml:space="preserve">Wniosek praktyczny: </w:t>
      </w:r>
      <w:r>
        <w:rPr>
          <w:b/>
          <w:bCs/>
        </w:rPr>
        <w:t xml:space="preserve">kandydat powinien przeprowadzić własne badanie spółki PRZED przyjęciem powołania</w:t>
      </w:r>
      <w:r>
        <w:t xml:space="preserve"> — po objęciu funkcji nie będzie już mowy o „nie wiedziałem”, a wyjście z zarządu nie cofa odpowiedzialności za okres kadencji.</w:t>
      </w:r>
    </w:p>
    <w:p>
      <w:pPr>
        <w:pStyle w:val="Heading1"/>
      </w:pPr>
      <w:r>
        <w:t xml:space="preserve">2. Dokumenty do analizy przed przyjęciem powołania</w:t>
      </w:r>
    </w:p>
    <w:p>
      <w:pPr>
        <w:pStyle w:val="ListParagraph"/>
        <w:numPr>
          <w:ilvl w:val="0"/>
          <w:numId w:val="2"/>
        </w:numPr>
        <w:spacing w:after="40" w:before="120"/>
      </w:pPr>
      <w:r>
        <w:rPr>
          <w:b/>
          <w:bCs/>
        </w:rPr>
        <w:t xml:space="preserve">Umowa spółki (aktualny tekst jednolity)</w:t>
      </w:r>
    </w:p>
    <w:p>
      <w:pPr>
        <w:spacing w:after="80"/>
        <w:ind w:left="400"/>
      </w:pPr>
      <w:r>
        <w:rPr>
          <w:b/>
          <w:bCs/>
          <w:color w:val="666666"/>
        </w:rPr>
        <w:t xml:space="preserve">Dlaczego: </w:t>
      </w:r>
      <w:r>
        <w:t xml:space="preserve">Określa kompetencje zarządu, zasady reprezentacji, wymogi zgód korporacyjnych (np. na rozporządzenie majątkiem powyżej progu) i ewentualne ograniczenia. Działanie sprzeczne z umową spółki to podstawa odpowiedzialności odszkodowawczej wobec spółki (art. 293 § 1 KSH). Bez znajomości umowy spółki nie sposób ocenić, czym się będzie zarządzać i na jakich warunkach.</w:t>
      </w:r>
    </w:p>
    <w:p>
      <w:pPr>
        <w:pStyle w:val="ListParagraph"/>
        <w:numPr>
          <w:ilvl w:val="0"/>
          <w:numId w:val="2"/>
        </w:numPr>
        <w:spacing w:after="40" w:before="120"/>
      </w:pPr>
      <w:r>
        <w:rPr>
          <w:b/>
          <w:bCs/>
        </w:rPr>
        <w:t xml:space="preserve">Sprawozdania finansowe za ostatnie 2–3 lata obrotowe + bieżący bilans</w:t>
      </w:r>
    </w:p>
    <w:p>
      <w:pPr>
        <w:spacing w:after="80"/>
        <w:ind w:left="400"/>
      </w:pPr>
      <w:r>
        <w:rPr>
          <w:b/>
          <w:bCs/>
          <w:color w:val="666666"/>
        </w:rPr>
        <w:t xml:space="preserve">Dlaczego: </w:t>
      </w:r>
      <w:r>
        <w:t xml:space="preserve">Podstawowe narzędzie oceny, czy spółka nie jest już niewypłacalna. Test zadłużeniowy: domniemanie niewypłacalności, gdy zobowiązania pieniężne przekraczają wartość majątku przez ponad 24 miesiące (art. 11 ust. 5 Prawa upadłościowego). Sprawozdania złożone do rejestru są bezpłatnie dostępne na ekrs.ms.gov.pl (Przeglądarka dokumentów finansowych). UWAGA: brak złożonych sprawozdań za ostatnie lata to samodzielna, poważna czerwona flaga.</w:t>
      </w:r>
    </w:p>
    <w:p>
      <w:pPr>
        <w:pStyle w:val="ListParagraph"/>
        <w:numPr>
          <w:ilvl w:val="0"/>
          <w:numId w:val="2"/>
        </w:numPr>
        <w:spacing w:after="40" w:before="120"/>
      </w:pPr>
      <w:r>
        <w:rPr>
          <w:b/>
          <w:bCs/>
        </w:rPr>
        <w:t xml:space="preserve">Dane o bieżącej płynności (wyciągi, zestawienie przeterminowanych płatności)</w:t>
      </w:r>
    </w:p>
    <w:p>
      <w:pPr>
        <w:spacing w:after="80"/>
        <w:ind w:left="400"/>
      </w:pPr>
      <w:r>
        <w:rPr>
          <w:b/>
          <w:bCs/>
          <w:color w:val="666666"/>
        </w:rPr>
        <w:t xml:space="preserve">Dlaczego: </w:t>
      </w:r>
      <w:r>
        <w:t xml:space="preserve">Test płynnościowy: niewypłacalność to utrata zdolności do wykonywania wymagalnych zobowiązań pieniężnych; domniemywa się ją, gdy opóźnienie w płatnościach przekracza 3 miesiące (art. 11 ust. 1 i 1a Prawa upadłościowego). Sygnały ostrzegawcze: zajęcia rachunków, zaległości wobec pracowników, rosnące zadłużenie publicznoprawne.</w:t>
      </w:r>
    </w:p>
    <w:p>
      <w:pPr>
        <w:pStyle w:val="ListParagraph"/>
        <w:numPr>
          <w:ilvl w:val="0"/>
          <w:numId w:val="2"/>
        </w:numPr>
        <w:spacing w:after="40" w:before="120"/>
      </w:pPr>
      <w:r>
        <w:rPr>
          <w:b/>
          <w:bCs/>
        </w:rPr>
        <w:t xml:space="preserve">Zaświadczenia o niezaleganiu spółki w US i ZUS (aktualne)</w:t>
      </w:r>
    </w:p>
    <w:p>
      <w:pPr>
        <w:spacing w:after="80"/>
        <w:ind w:left="400"/>
      </w:pPr>
      <w:r>
        <w:rPr>
          <w:b/>
          <w:bCs/>
          <w:color w:val="666666"/>
        </w:rPr>
        <w:t xml:space="preserve">Dlaczego: </w:t>
      </w:r>
      <w:r>
        <w:t xml:space="preserve">Wyznaczają punkt startowy przyszłej odpowiedzialności z art. 116 O.p. Kandydat nie uzyska ich samodzielnie (nie mieści się w katalogu art. 306h § 1 O.p.) — powinien zażądać, by wystąpiła o nie spółka i przekazała mu oryginały. Odmowa spółki = czerwona flaga.</w:t>
      </w:r>
    </w:p>
    <w:p>
      <w:pPr>
        <w:pStyle w:val="ListParagraph"/>
        <w:numPr>
          <w:ilvl w:val="0"/>
          <w:numId w:val="2"/>
        </w:numPr>
        <w:spacing w:after="40" w:before="120"/>
      </w:pPr>
      <w:r>
        <w:rPr>
          <w:b/>
          <w:bCs/>
        </w:rPr>
        <w:t xml:space="preserve">Zestawienie zobowiązań, wierzytelności, postępowań sądowych i egzekucyjnych</w:t>
      </w:r>
    </w:p>
    <w:p>
      <w:pPr>
        <w:spacing w:after="80"/>
        <w:ind w:left="400"/>
      </w:pPr>
      <w:r>
        <w:rPr>
          <w:b/>
          <w:bCs/>
          <w:color w:val="666666"/>
        </w:rPr>
        <w:t xml:space="preserve">Dlaczego: </w:t>
      </w:r>
      <w:r>
        <w:t xml:space="preserve">Obraz tego, za co można w przyszłości odpowiadać osobiście (art. 299 KSH obejmuje zobowiązania istniejące w czasie kadencji, w tym sprzed powołania). Toczące się egzekucje przeciwko spółce mogą oznaczać, że przesłanki upadłości już wystąpiły.</w:t>
      </w:r>
    </w:p>
    <w:p>
      <w:pPr>
        <w:pStyle w:val="ListParagraph"/>
        <w:numPr>
          <w:ilvl w:val="0"/>
          <w:numId w:val="2"/>
        </w:numPr>
        <w:spacing w:after="40" w:before="120"/>
      </w:pPr>
      <w:r>
        <w:rPr>
          <w:b/>
          <w:bCs/>
        </w:rPr>
        <w:t xml:space="preserve">Pełny odpis z KRS (w tym dział 4) oraz przegląd akt rejestrowych</w:t>
      </w:r>
    </w:p>
    <w:p>
      <w:pPr>
        <w:spacing w:after="80"/>
        <w:ind w:left="400"/>
      </w:pPr>
      <w:r>
        <w:rPr>
          <w:b/>
          <w:bCs/>
          <w:color w:val="666666"/>
        </w:rPr>
        <w:t xml:space="preserve">Dlaczego: </w:t>
      </w:r>
      <w:r>
        <w:t xml:space="preserve">Dział 4 ujawnia zaległości podatkowe, celne i wobec ZUS oraz wierzytelności objęte egzekucją. Wzmianki o (nie)złożeniu sprawozdań finansowych weryfikują rzetelność korporacyjną. Domniemanie prawdziwości wpisów jest wzruszalne, ale stan rejestru to pierwsza rzecz, którą sprawdzi każdy kontrahent i urząd.</w:t>
      </w:r>
    </w:p>
    <w:p>
      <w:pPr>
        <w:pStyle w:val="ListParagraph"/>
        <w:numPr>
          <w:ilvl w:val="0"/>
          <w:numId w:val="2"/>
        </w:numPr>
        <w:spacing w:after="40" w:before="120"/>
      </w:pPr>
      <w:r>
        <w:rPr>
          <w:b/>
          <w:bCs/>
        </w:rPr>
        <w:t xml:space="preserve">Uchwały wspólników z ostatnich lat, księga protokołów, księga udziałów</w:t>
      </w:r>
    </w:p>
    <w:p>
      <w:pPr>
        <w:spacing w:after="80"/>
        <w:ind w:left="400"/>
      </w:pPr>
      <w:r>
        <w:rPr>
          <w:b/>
          <w:bCs/>
          <w:color w:val="666666"/>
        </w:rPr>
        <w:t xml:space="preserve">Dlaczego: </w:t>
      </w:r>
      <w:r>
        <w:t xml:space="preserve">Pozwalają ocenić ład korporacyjny i wykryć zaszłości (np. niezatwierdzone sprawozdania, brak absolutoriów dla poprzedników, spory wspólników). Zaniedbania dokumentacyjne poprzedników staną się problemem nowego zarządu.</w:t>
      </w:r>
    </w:p>
    <w:p>
      <w:pPr>
        <w:pStyle w:val="ListParagraph"/>
        <w:numPr>
          <w:ilvl w:val="0"/>
          <w:numId w:val="2"/>
        </w:numPr>
        <w:spacing w:after="40" w:before="120"/>
      </w:pPr>
      <w:r>
        <w:rPr>
          <w:b/>
          <w:bCs/>
        </w:rPr>
        <w:t xml:space="preserve">Własna sytuacja prawna kandydata (art. 18 KSH)</w:t>
      </w:r>
    </w:p>
    <w:p>
      <w:pPr>
        <w:spacing w:after="80"/>
        <w:ind w:left="400"/>
      </w:pPr>
      <w:r>
        <w:rPr>
          <w:b/>
          <w:bCs/>
          <w:color w:val="666666"/>
        </w:rPr>
        <w:t xml:space="preserve">Dlaczego: </w:t>
      </w:r>
      <w:r>
        <w:t xml:space="preserve">Członkiem zarządu nie może być osoba skazana prawomocnie za przestępstwa wymienione w art. 18 § 2 KSH (m.in. art. 587–587², 590–591 KSH, art. 228–231 KK oraz rozdziały XXXIII–XXXVII KK). Zakaz ustaje co do zasady z upływem 5 lat od uprawomocnienia wyroku; możliwy wniosek o zwolnienie z zakazu (nie przy przestępstwach umyślnych). Powołanie osoby objętej zakazem jest bezskuteczne i generuje chaos odpowiedzialnościowy.</w:t>
      </w:r>
    </w:p>
    <w:p>
      <w:pPr>
        <w:pStyle w:val="Heading1"/>
      </w:pPr>
      <w:r>
        <w:t xml:space="preserve">3. Formalności przy samym powołaniu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Uchwała o powołaniu — mandat powstaje z chwilą jej podjęcia. </w:t>
      </w:r>
      <w:r>
        <w:t xml:space="preserve">Wpis do KRS jest wyłącznie deklaratoryjny (tak m.in. NSA w wyroku z 14.05.2019 r., II FSK 1832/17: uchwała wywołuje skutki z chwilą podjęcia, a nie zarejestrowania). Odpowiedzialność biegnie więc od uchwały, nie od wpisu — warto zadbać o jednoznaczną datę w uchwale i otrzymać jej odpis.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Zgoda na powołanie i adres do doręczeń (art. 19a ust. 5 ustawy o KRS). </w:t>
      </w:r>
      <w:r>
        <w:t xml:space="preserve">Do wniosku o wpis dołącza się zgodę powołanego oraz jego adres do doręczeń. Kluczowa pułapka: do chwili zgłoszenia zmiany adresu doręczenia na adres ujawniony w aktach są skuteczne (art. 19a ust. 5b zd. 3) — nieaktualny adres to ryzyko przegranych spraw „zaocznie”, bez wiedzy zainteresowanego. Zgłoszenie zmiany adresu jest wolne od opłat (ust. 5c).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Termin zgłoszenia zmiany do KRS: 7 dni </w:t>
      </w:r>
      <w:r>
        <w:t xml:space="preserve">od zdarzenia (art. 22 ustawy o KRS) — obowiązek spółki; nowy członek zarządu powinien dopilnować terminu we własnym interesie.</w:t>
      </w:r>
    </w:p>
    <w:p>
      <w:pPr>
        <w:pStyle w:val="Heading1"/>
      </w:pPr>
      <w:r>
        <w:t xml:space="preserve">4. Dodatkowe zabezpieczenia nowo powołanego</w:t>
      </w:r>
    </w:p>
    <w:p>
      <w:pPr>
        <w:pStyle w:val="Heading3"/>
      </w:pPr>
      <w:r>
        <w:t xml:space="preserve">4.1. Ubezpieczenie D&amp;O (odpowiedzialności władz spółki)</w:t>
      </w:r>
    </w:p>
    <w:p>
      <w:r>
        <w:t xml:space="preserve">Standardowo pokrywa roszczenia związane z błędami w zarządzaniu (w tym roszczenia samej spółki i wspólników) oraz — co często najcenniejsze — </w:t>
      </w:r>
      <w:r>
        <w:rPr>
          <w:b/>
          <w:bCs/>
        </w:rPr>
        <w:t xml:space="preserve">koszty obrony prawnej</w:t>
      </w:r>
      <w:r>
        <w:t xml:space="preserve"> już na etapie sporu. Obejmuje zwykle także byłych i przyszłych członków organów, a niekiedy małżonków i spadkobierców.</w:t>
      </w:r>
    </w:p>
    <w:p>
      <w:r>
        <w:rPr>
          <w:b/>
          <w:bCs/>
        </w:rPr>
        <w:t xml:space="preserve">Na co zwrócić uwagę przed objęciem funkcji: </w:t>
      </w:r>
      <w:r>
        <w:t xml:space="preserve">(a) typowe wyłączenie „okoliczności znanych przed zawarciem umowy” — polisa kupiona już po wejściu do spółki z problemami może nie zadziałać na te problemy; (b) zakres pokrycia zobowiązań publicznoprawnych (art. 116 O.p./ZUS) różni się między ofertami — część polis go wyłącza, część obejmuje; decyduje treść OWU konkretnej polisy; (c) kary z KKS wymagają odrębnego ubezpieczenia karnoskarbowego; (d) wina umyślna jest zawsze wyłączona, a koszty obrony podlegają zwrotowi przy prawomocnym stwierdzeniu umyślności.</w:t>
      </w:r>
    </w:p>
    <w:p>
      <w:pPr>
        <w:pStyle w:val="Heading3"/>
      </w:pPr>
      <w:r>
        <w:t xml:space="preserve">4.2. Zasada biznesowej oceny sytuacji (art. 293 § 3 KSH)</w:t>
      </w:r>
    </w:p>
    <w:p>
      <w:r>
        <w:t xml:space="preserve">Od 13.10.2022 r. członek zarządu </w:t>
      </w:r>
      <w:r>
        <w:rPr>
          <w:i/>
          <w:iCs/>
        </w:rPr>
        <w:t xml:space="preserve">„nie narusza obowiązku dołożenia staranności (…), jeżeli postępując w sposób lojalny wobec spółki, działa w granicach uzasadnionego ryzyka gospodarczego, w tym na podstawie informacji, analiz i opinii, które powinny być w danych okolicznościach uwzględnione przy dokonywaniu starannej oceny</w:t>
      </w:r>
      <w:r>
        <w:t xml:space="preserve">” (brzmienie zweryfikowane, t.j. Dz.U. 2024 poz. 18). Ocena następuje na moment podejmowania decyzji, nie z perspektywy skutku.</w:t>
      </w:r>
    </w:p>
    <w:p>
      <w:r>
        <w:rPr>
          <w:b/>
          <w:bCs/>
        </w:rPr>
        <w:t xml:space="preserve">Warunek skuteczności tej ochrony: dokumentacja musi fizycznie istnieć. </w:t>
      </w:r>
      <w:r>
        <w:t xml:space="preserve">Rekomendowany standard: przed istotnymi decyzjami gromadzić analizy finansowe, opinie prawne/doradcze i protokołować rozważane warianty. UWAGA: przepis chroni w relacji ze spółką (art. 293 KSH) — NIE uchyla odpowiedzialności wobec wierzycieli z art. 299 KSH ani wobec US/ZUS z art. 116 O.p.</w:t>
      </w:r>
    </w:p>
    <w:p>
      <w:pPr>
        <w:pStyle w:val="Heading3"/>
      </w:pPr>
      <w:r>
        <w:t xml:space="preserve">4.3. Podział obowiązków w zarządzie — ochrona ograniczona</w:t>
      </w:r>
    </w:p>
    <w:p>
      <w:r>
        <w:t xml:space="preserve">Wewnętrzny podział kompetencji (np. „ja odpowiadam za sprzedaż, nie za finanse”) ma znaczenie głównie organizacyjne. W orzecznictwie konsekwentnie przyjmuje się, że nie uchyla on odpowiedzialności wobec wierzycieli i fiskusa; obowiązek złożenia wniosku o upadłość ciąży na każdym członku zarządu z osobna (art. 21 ust. 2 Prawa upadłościowego) i każdy może go złożyć samodzielnie, nawet przy reprezentacji łącznej. Praktyczna konsekwencja: członek zarządu pozbawiony realnego wpływu na finanse powinien żądać dostępu do danych finansowych — a w razie ich zatajania rozważyć rezygnację, zanim zmaterializują się przesłanki upadłości.</w:t>
      </w:r>
    </w:p>
    <w:p>
      <w:pPr>
        <w:pStyle w:val="Heading3"/>
      </w:pPr>
      <w:r>
        <w:t xml:space="preserve">4.4. Kontrakt menedżerski: klauzule ochronne i ich granice</w:t>
      </w:r>
    </w:p>
    <w:p>
      <w:r>
        <w:t xml:space="preserve">Warto negocjować: precyzyjny zakres kompetencji i procedur, obowiązki informacyjne spółki wobec członka zarządu (dostęp do danych finansowych), klauzule indemnifikacyjne (zwrot kosztów obrony), finansowanie polisy D&amp;O przez spółkę, a w układach właścicielskich o podwyższonym ryzyku — gwarancje wspólników. </w:t>
      </w:r>
      <w:r>
        <w:rPr>
          <w:b/>
          <w:bCs/>
        </w:rPr>
        <w:t xml:space="preserve">Granica: </w:t>
      </w:r>
      <w:r>
        <w:t xml:space="preserve">umową nie można skutecznie wyłączyć odpowiedzialności wobec osób trzecich (wierzycieli, US/ZUS); indemnifikacja od niewypłacalnej spółki jest pusta ekonomicznie.</w:t>
      </w:r>
    </w:p>
    <w:p>
      <w:pPr>
        <w:pStyle w:val="Heading3"/>
      </w:pPr>
      <w:r>
        <w:t xml:space="preserve">4.5. Monitoring kondycji spółki po objęciu funkcji</w:t>
      </w:r>
    </w:p>
    <w:p>
      <w:r>
        <w:t xml:space="preserve">Zabezpieczenia „na wejściu” dezaktualizują się. Rekomendowany standard: cykliczna (np. kwartalna) samoocena przesłanek niewypłacalności z art. 11 Prawa upadłościowego (płynnościowa — 3 miesiące opóźnień; zadłużeniowa — 24 miesiące przewagi zobowiązań), dokumentowana choćby krótką notatką. Termin 30 dni na wniosek o upadłość biegnie od wystąpienia podstawy, nie od dowiedzenia się o niej. Wyjściem awaryjnym chroniącym zarząd jest także otwarcie restrukturyzacji we właściwym czasie (art. 299 § 2 KSH; art. 116 § 1 pkt 1 lit. a O.p.).</w:t>
      </w:r>
    </w:p>
    <w:p>
      <w:pPr>
        <w:pStyle w:val="Heading3"/>
      </w:pPr>
      <w:r>
        <w:t xml:space="preserve">4.6. Prywatne archiwum od pierwszego dnia</w:t>
      </w:r>
    </w:p>
    <w:p>
      <w:r>
        <w:t xml:space="preserve">Kopie kluczowych dokumentów (uchwała o powołaniu, umowa spółki, sprawozdania, zaświadczenia US/ZUS z dnia wejścia, własna korespondencja o sytuacji finansowej) przechowywać prywatnie, poza infrastrukturą spółki. Po ewentualnym odejściu dostęp do dokumentacji spółki ustaje, a sądy nie uznają braku dostępu za okoliczność zwalniającą (por. WSA w Olsztynie, I SA/Ol 308/18).</w:t>
      </w:r>
    </w:p>
    <w:p>
      <w:pPr>
        <w:pStyle w:val="Heading1"/>
      </w:pPr>
      <w:r>
        <w:t xml:space="preserve">5. Zastrzeżenia i punkty do decyzji radcy prawnego</w:t>
      </w:r>
    </w:p>
    <w:p>
      <w:pPr>
        <w:pStyle w:val="ListParagraph"/>
        <w:numPr>
          <w:ilvl w:val="0"/>
          <w:numId w:val="3"/>
        </w:numPr>
      </w:pPr>
      <w:r>
        <w:t xml:space="preserve">Zakres pokrycia D&amp;O dla roszczeń z art. 299 KSH — rozbieżna praktyka rynkowa; w materiałach dla klientów pisać ostrożnie („zależnie od OWU”), nie obiecywać pokrycia.</w:t>
      </w:r>
    </w:p>
    <w:p>
      <w:pPr>
        <w:pStyle w:val="ListParagraph"/>
        <w:numPr>
          <w:ilvl w:val="0"/>
          <w:numId w:val="3"/>
        </w:numPr>
      </w:pPr>
      <w:r>
        <w:t xml:space="preserve">Sygnatury orzeczeń o podziale obowiązków w zarządzie — teza utrwalona, ale przed cytowaniem konkretnej sygnatury w materiale klienckim zweryfikować w SIP (LEX/Legalis).</w:t>
      </w:r>
    </w:p>
    <w:p>
      <w:pPr>
        <w:pStyle w:val="ListParagraph"/>
        <w:numPr>
          <w:ilvl w:val="0"/>
          <w:numId w:val="3"/>
        </w:numPr>
      </w:pPr>
      <w:r>
        <w:t xml:space="preserve">Katalog przestępstw z art. 18 § 2 KSH — przed użyciem w materiale klienckim potwierdzić aktualne brzmienie w SIP.</w:t>
      </w:r>
    </w:p>
    <w:p>
      <w:pPr>
        <w:pStyle w:val="ListParagraph"/>
        <w:numPr>
          <w:ilvl w:val="0"/>
          <w:numId w:val="3"/>
        </w:numPr>
      </w:pPr>
      <w:r>
        <w:t xml:space="preserve">Projektowane zmiany art. 116 O.p. (po wyrokach TSUE C-277/24 i C-278/24 oraz interpretacji ogólnej MF z 29.08.2025) — monitorować; w razie uchwalenia nowelizacji dokument wymaga aktualizacji.</w:t>
      </w:r>
    </w:p>
    <w:p>
      <w:pPr>
        <w:pBdr>
          <w:top w:val="single" w:color="CCCCCC" w:sz="4"/>
        </w:pBdr>
        <w:spacing w:before="240"/>
      </w:pPr>
      <w:r>
        <w:rPr>
          <w:i/>
          <w:iCs/>
          <w:color w:val="666666"/>
          <w:sz w:val="18"/>
          <w:szCs w:val="18"/>
        </w:rPr>
        <w:t xml:space="preserve">WERSJA ROBOCZA — materiał wewnętrzny przygotowany dla KRS Guard na podstawie badania źródeł (06.08.2026). Wymaga merytorycznej weryfikacji i akceptacji radcy prawnego przed jakimkolwiek użyciem wobec klientów. Nie stanowi porady prawnej.</w:t>
      </w:r>
    </w:p>
    <w:sectPr>
      <w:pgSz w:w="11906" w:h="16838" w:orient="portrait"/>
      <w:pgMar w:top="1247" w:right="1360" w:bottom="1247" w:left="1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40"/>
    </w:pPr>
    <w:rPr>
      <w:rFonts w:ascii="Arial" w:cs="Arial" w:eastAsia="Arial" w:hAnsi="Arial"/>
      <w:b/>
      <w:bCs/>
      <w:color w:val="1A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</w:pPr>
    <w:rPr>
      <w:rFonts w:ascii="Arial" w:cs="Arial" w:eastAsia="Arial" w:hAnsi="Arial"/>
      <w:b/>
      <w:bCs/>
      <w:color w:val="1A3A5C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60"/>
    </w:pPr>
    <w:rPr>
      <w:rFonts w:ascii="Arial" w:cs="Arial" w:eastAsia="Arial" w:hAnsi="Arial"/>
      <w:b/>
      <w:bCs/>
      <w:color w:val="333333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2026-08-06T19:52:51.524Z</dcterms:created>
  <dcterms:modified xsi:type="dcterms:W3CDTF">2026-08-06T19:52:51.524Z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