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2F42D" w14:textId="7EAFC9A3" w:rsidR="00F70D60" w:rsidRDefault="00F70D60" w:rsidP="0057412D">
      <w:pPr>
        <w:jc w:val="both"/>
        <w:rPr>
          <w:rFonts w:ascii="Lato" w:hAnsi="Lato"/>
          <w:b/>
          <w:bCs/>
        </w:rPr>
      </w:pPr>
      <w:r>
        <w:rPr>
          <w:rFonts w:ascii="Lato" w:hAnsi="Lato"/>
          <w:b/>
          <w:bCs/>
        </w:rPr>
        <w:t>Pd5036 Łukasz KRZOWSKI</w:t>
      </w:r>
    </w:p>
    <w:p w14:paraId="6BF8422C" w14:textId="163F0D03" w:rsidR="00F70D60" w:rsidRPr="00F70D60" w:rsidRDefault="00F70D60" w:rsidP="0057412D">
      <w:pPr>
        <w:jc w:val="both"/>
        <w:rPr>
          <w:rFonts w:ascii="Lato" w:hAnsi="Lato"/>
          <w:b/>
          <w:bCs/>
        </w:rPr>
      </w:pPr>
      <w:r w:rsidRPr="00F70D60">
        <w:rPr>
          <w:rFonts w:ascii="Lato" w:hAnsi="Lato"/>
          <w:b/>
          <w:bCs/>
        </w:rPr>
        <w:t>Raport z projektu zaliczeniowego</w:t>
      </w:r>
    </w:p>
    <w:p w14:paraId="2E0F77F7" w14:textId="77777777" w:rsidR="00F70D60" w:rsidRPr="00F70D60" w:rsidRDefault="00F70D60" w:rsidP="0057412D">
      <w:pPr>
        <w:jc w:val="both"/>
        <w:rPr>
          <w:rFonts w:ascii="Lato" w:hAnsi="Lato"/>
          <w:b/>
          <w:bCs/>
        </w:rPr>
      </w:pPr>
      <w:r w:rsidRPr="00F70D60">
        <w:rPr>
          <w:rFonts w:ascii="Lato" w:hAnsi="Lato"/>
          <w:b/>
          <w:bCs/>
        </w:rPr>
        <w:t>Analiza danych NGS — ścieżka transkryptomiczna</w:t>
      </w:r>
    </w:p>
    <w:p w14:paraId="2279FA73" w14:textId="77777777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  <w:b/>
          <w:bCs/>
        </w:rPr>
        <w:t>Przedmiot:</w:t>
      </w:r>
      <w:r w:rsidRPr="00F70D60">
        <w:rPr>
          <w:rFonts w:ascii="Lato" w:hAnsi="Lato"/>
        </w:rPr>
        <w:t xml:space="preserve"> Bioinformatyka w genomice i transkryptomice</w:t>
      </w:r>
    </w:p>
    <w:p w14:paraId="3C89DEB3" w14:textId="38D76455" w:rsidR="00F70D60" w:rsidRPr="00F70D60" w:rsidRDefault="00F70D60" w:rsidP="0057412D">
      <w:pPr>
        <w:jc w:val="both"/>
        <w:rPr>
          <w:rFonts w:ascii="Lato" w:hAnsi="Lato"/>
        </w:rPr>
      </w:pPr>
    </w:p>
    <w:p w14:paraId="10315977" w14:textId="77777777" w:rsidR="00F70D60" w:rsidRPr="00F70D60" w:rsidRDefault="00F70D60" w:rsidP="0057412D">
      <w:pPr>
        <w:jc w:val="both"/>
        <w:rPr>
          <w:rFonts w:ascii="Lato" w:hAnsi="Lato"/>
          <w:b/>
          <w:bCs/>
        </w:rPr>
      </w:pPr>
      <w:r w:rsidRPr="00F70D60">
        <w:rPr>
          <w:rFonts w:ascii="Lato" w:hAnsi="Lato"/>
          <w:b/>
          <w:bCs/>
        </w:rPr>
        <w:t>1. Cel projektu i wybór zbioru danych</w:t>
      </w:r>
    </w:p>
    <w:p w14:paraId="5041D4F0" w14:textId="77777777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</w:rPr>
        <w:t>Celem projektu było przeprowadzenie pełnej ścieżki analizy danych RNA-seq: od kontroli jakości surowych odczytów, przez przetwarzanie danych i mapowanie do genomu referencyjnego, po analizę różnicowej ekspresji genów i jej interpretację biologiczną.</w:t>
      </w:r>
    </w:p>
    <w:p w14:paraId="0892E990" w14:textId="40E65AB2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  <w:b/>
          <w:bCs/>
          <w:lang w:val="fr-BE"/>
        </w:rPr>
        <w:t>Zbiór danych:</w:t>
      </w:r>
      <w:r w:rsidRPr="00F70D60">
        <w:rPr>
          <w:rFonts w:ascii="Lato" w:hAnsi="Lato"/>
          <w:lang w:val="fr-BE"/>
        </w:rPr>
        <w:t xml:space="preserve"> </w:t>
      </w:r>
      <w:r w:rsidR="00CF465B" w:rsidRPr="00CF465B">
        <w:rPr>
          <w:rFonts w:ascii="Lato" w:hAnsi="Lato"/>
          <w:lang w:val="fr-BE"/>
        </w:rPr>
        <w:t>GSE147507</w:t>
      </w:r>
      <w:r w:rsidRPr="00F70D60">
        <w:rPr>
          <w:rFonts w:ascii="Lato" w:hAnsi="Lato"/>
          <w:i/>
          <w:iCs/>
          <w:lang w:val="fr-BE"/>
        </w:rPr>
        <w:t>"Transcriptional response to SARS-CoV-2 infection"</w:t>
      </w:r>
      <w:r w:rsidRPr="00F70D60">
        <w:rPr>
          <w:rFonts w:ascii="Lato" w:hAnsi="Lato"/>
          <w:lang w:val="fr-BE"/>
        </w:rPr>
        <w:t xml:space="preserve">, </w:t>
      </w:r>
      <w:r w:rsidR="0057412D">
        <w:rPr>
          <w:rFonts w:ascii="Lato" w:hAnsi="Lato"/>
          <w:lang w:val="fr-BE"/>
        </w:rPr>
        <w:t xml:space="preserve"> </w:t>
      </w:r>
      <w:r w:rsidRPr="00F70D60">
        <w:rPr>
          <w:rFonts w:ascii="Lato" w:hAnsi="Lato"/>
          <w:lang w:val="fr-BE"/>
        </w:rPr>
        <w:t xml:space="preserve">Oever Lab, Icahn School of Medicine at Mount Sinai. </w:t>
      </w:r>
      <w:r w:rsidRPr="00F70D60">
        <w:rPr>
          <w:rFonts w:ascii="Lato" w:hAnsi="Lato"/>
        </w:rPr>
        <w:t xml:space="preserve">Publikacja źródłowa: Blanco-Melo D. i wsp., </w:t>
      </w:r>
      <w:r w:rsidRPr="00F70D60">
        <w:rPr>
          <w:rFonts w:ascii="Lato" w:hAnsi="Lato"/>
          <w:i/>
          <w:iCs/>
        </w:rPr>
        <w:t>Cell</w:t>
      </w:r>
      <w:r w:rsidRPr="00F70D60">
        <w:rPr>
          <w:rFonts w:ascii="Lato" w:hAnsi="Lato"/>
        </w:rPr>
        <w:t xml:space="preserve"> (2020), doi:10.1101/2020.03.24.004655.</w:t>
      </w:r>
    </w:p>
    <w:p w14:paraId="0716DBC9" w14:textId="77777777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</w:rPr>
        <w:t xml:space="preserve">Do analizy wybrano podzbiór danych obejmujący ludzkie komórki nabłonka płuc </w:t>
      </w:r>
      <w:r w:rsidRPr="0057412D">
        <w:rPr>
          <w:rFonts w:ascii="Lato" w:hAnsi="Lato"/>
        </w:rPr>
        <w:t>A549</w:t>
      </w:r>
      <w:r w:rsidRPr="00F70D60">
        <w:rPr>
          <w:rFonts w:ascii="Lato" w:hAnsi="Lato"/>
        </w:rPr>
        <w:t>, poddane działaniu SARS-CoV-2 (MOI 2.0) lub potraktowane jako kontrola (Mock), w trzech powtórzeniach biologicznych na grupę.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938"/>
        <w:gridCol w:w="1460"/>
        <w:gridCol w:w="4664"/>
      </w:tblGrid>
      <w:tr w:rsidR="00F70D60" w:rsidRPr="00F70D60" w14:paraId="30F1ECDA" w14:textId="77777777" w:rsidTr="0057412D">
        <w:tc>
          <w:tcPr>
            <w:tcW w:w="0" w:type="auto"/>
            <w:hideMark/>
          </w:tcPr>
          <w:p w14:paraId="12FA506A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  <w:b/>
                <w:bCs/>
              </w:rPr>
            </w:pPr>
            <w:r w:rsidRPr="00F70D60">
              <w:rPr>
                <w:rFonts w:ascii="Lato" w:hAnsi="Lato"/>
                <w:b/>
                <w:bCs/>
              </w:rPr>
              <w:t>Grupa</w:t>
            </w:r>
          </w:p>
        </w:tc>
        <w:tc>
          <w:tcPr>
            <w:tcW w:w="0" w:type="auto"/>
            <w:hideMark/>
          </w:tcPr>
          <w:p w14:paraId="27EBB44C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  <w:b/>
                <w:bCs/>
              </w:rPr>
            </w:pPr>
            <w:r w:rsidRPr="00F70D60">
              <w:rPr>
                <w:rFonts w:ascii="Lato" w:hAnsi="Lato"/>
                <w:b/>
                <w:bCs/>
              </w:rPr>
              <w:t>Próbki</w:t>
            </w:r>
          </w:p>
        </w:tc>
        <w:tc>
          <w:tcPr>
            <w:tcW w:w="0" w:type="auto"/>
            <w:hideMark/>
          </w:tcPr>
          <w:p w14:paraId="18708D85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  <w:b/>
                <w:bCs/>
              </w:rPr>
            </w:pPr>
            <w:r w:rsidRPr="00F70D60">
              <w:rPr>
                <w:rFonts w:ascii="Lato" w:hAnsi="Lato"/>
                <w:b/>
                <w:bCs/>
              </w:rPr>
              <w:t>Numery SRA</w:t>
            </w:r>
          </w:p>
        </w:tc>
      </w:tr>
      <w:tr w:rsidR="00F70D60" w:rsidRPr="00F70D60" w14:paraId="691A5B5B" w14:textId="77777777" w:rsidTr="0057412D">
        <w:tc>
          <w:tcPr>
            <w:tcW w:w="0" w:type="auto"/>
            <w:hideMark/>
          </w:tcPr>
          <w:p w14:paraId="4C183040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Kontrola (Mock/WT)</w:t>
            </w:r>
          </w:p>
        </w:tc>
        <w:tc>
          <w:tcPr>
            <w:tcW w:w="0" w:type="auto"/>
            <w:hideMark/>
          </w:tcPr>
          <w:p w14:paraId="56FFE4E9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WT_rep1–3</w:t>
            </w:r>
          </w:p>
        </w:tc>
        <w:tc>
          <w:tcPr>
            <w:tcW w:w="0" w:type="auto"/>
            <w:hideMark/>
          </w:tcPr>
          <w:p w14:paraId="31FD9A6F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SRR11412215, SRR11412216, SRR11412217</w:t>
            </w:r>
          </w:p>
        </w:tc>
      </w:tr>
      <w:tr w:rsidR="00F70D60" w:rsidRPr="00F70D60" w14:paraId="5BC7FB5E" w14:textId="77777777" w:rsidTr="0057412D">
        <w:tc>
          <w:tcPr>
            <w:tcW w:w="0" w:type="auto"/>
            <w:hideMark/>
          </w:tcPr>
          <w:p w14:paraId="332F9364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Zakażone SARS-CoV-2 (MT)</w:t>
            </w:r>
          </w:p>
        </w:tc>
        <w:tc>
          <w:tcPr>
            <w:tcW w:w="0" w:type="auto"/>
            <w:hideMark/>
          </w:tcPr>
          <w:p w14:paraId="43363B4B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MT_rep1–3</w:t>
            </w:r>
          </w:p>
        </w:tc>
        <w:tc>
          <w:tcPr>
            <w:tcW w:w="0" w:type="auto"/>
            <w:hideMark/>
          </w:tcPr>
          <w:p w14:paraId="128D8F87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SRR11412218, SRR11412219, SRR11412220</w:t>
            </w:r>
          </w:p>
        </w:tc>
      </w:tr>
    </w:tbl>
    <w:p w14:paraId="2203305F" w14:textId="77777777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</w:rPr>
        <w:t xml:space="preserve">Dane pobrano z NCBI SRA (prefetch + fasterq-dump), format: single-end, Illumina NextSeq 500. Genom referencyjny: </w:t>
      </w:r>
      <w:r w:rsidRPr="0057412D">
        <w:rPr>
          <w:rFonts w:ascii="Lato" w:hAnsi="Lato"/>
        </w:rPr>
        <w:t>GRCh38</w:t>
      </w:r>
      <w:r w:rsidRPr="00F70D60">
        <w:rPr>
          <w:rFonts w:ascii="Lato" w:hAnsi="Lato"/>
        </w:rPr>
        <w:t xml:space="preserve"> (Ensembl, release 111).</w:t>
      </w:r>
    </w:p>
    <w:p w14:paraId="6F638393" w14:textId="77777777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  <w:b/>
          <w:bCs/>
        </w:rPr>
        <w:t>Uzasadnienie wyboru ścieżki:</w:t>
      </w:r>
      <w:r w:rsidRPr="00F70D60">
        <w:rPr>
          <w:rFonts w:ascii="Lato" w:hAnsi="Lato"/>
        </w:rPr>
        <w:t xml:space="preserve"> dane pochodzą z eksperymentu RNA-seq porównującego dwa warunki biologiczne, co jednoznacznie wskazuje na ścieżkę </w:t>
      </w:r>
      <w:r w:rsidRPr="0057412D">
        <w:rPr>
          <w:rFonts w:ascii="Lato" w:hAnsi="Lato"/>
        </w:rPr>
        <w:t>transkryptomiczną (</w:t>
      </w:r>
      <w:r w:rsidRPr="00F70D60">
        <w:rPr>
          <w:rFonts w:ascii="Lato" w:hAnsi="Lato"/>
        </w:rPr>
        <w:t>analiza różnicowej ekspresji genów).</w:t>
      </w:r>
    </w:p>
    <w:p w14:paraId="57BBA127" w14:textId="3A50D2C1" w:rsidR="00F70D60" w:rsidRPr="00F70D60" w:rsidRDefault="00F70D60" w:rsidP="0057412D">
      <w:pPr>
        <w:jc w:val="both"/>
        <w:rPr>
          <w:rFonts w:ascii="Lato" w:hAnsi="Lato"/>
        </w:rPr>
      </w:pPr>
    </w:p>
    <w:p w14:paraId="54222DA8" w14:textId="49B1F9EC" w:rsidR="00F70D60" w:rsidRPr="00F70D60" w:rsidRDefault="00F70D60" w:rsidP="0057412D">
      <w:pPr>
        <w:jc w:val="both"/>
        <w:rPr>
          <w:rFonts w:ascii="Lato" w:hAnsi="Lato"/>
          <w:b/>
          <w:bCs/>
        </w:rPr>
      </w:pPr>
      <w:r w:rsidRPr="00F70D60">
        <w:rPr>
          <w:rFonts w:ascii="Lato" w:hAnsi="Lato"/>
          <w:b/>
          <w:bCs/>
        </w:rPr>
        <w:t>2. Kontrola jakości odczytów</w:t>
      </w:r>
    </w:p>
    <w:p w14:paraId="3E3E73BA" w14:textId="77777777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  <w:b/>
          <w:bCs/>
        </w:rPr>
        <w:t>Narzędzia:</w:t>
      </w:r>
      <w:r w:rsidRPr="00F70D60">
        <w:rPr>
          <w:rFonts w:ascii="Lato" w:hAnsi="Lato"/>
        </w:rPr>
        <w:t xml:space="preserve"> FastQC, MultiQC.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200"/>
        <w:gridCol w:w="1988"/>
        <w:gridCol w:w="1382"/>
        <w:gridCol w:w="746"/>
        <w:gridCol w:w="1488"/>
      </w:tblGrid>
      <w:tr w:rsidR="00F70D60" w:rsidRPr="00F70D60" w14:paraId="5FBE1E5C" w14:textId="77777777" w:rsidTr="0057412D">
        <w:trPr>
          <w:jc w:val="center"/>
        </w:trPr>
        <w:tc>
          <w:tcPr>
            <w:tcW w:w="0" w:type="auto"/>
            <w:hideMark/>
          </w:tcPr>
          <w:p w14:paraId="7CEA7D69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  <w:b/>
                <w:bCs/>
              </w:rPr>
            </w:pPr>
            <w:r w:rsidRPr="00F70D60">
              <w:rPr>
                <w:rFonts w:ascii="Lato" w:hAnsi="Lato"/>
                <w:b/>
                <w:bCs/>
              </w:rPr>
              <w:t>Próbka</w:t>
            </w:r>
          </w:p>
        </w:tc>
        <w:tc>
          <w:tcPr>
            <w:tcW w:w="0" w:type="auto"/>
            <w:hideMark/>
          </w:tcPr>
          <w:p w14:paraId="4ADA12FD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  <w:b/>
                <w:bCs/>
              </w:rPr>
            </w:pPr>
            <w:r w:rsidRPr="00F70D60">
              <w:rPr>
                <w:rFonts w:ascii="Lato" w:hAnsi="Lato"/>
                <w:b/>
                <w:bCs/>
              </w:rPr>
              <w:t>Liczba odczytów</w:t>
            </w:r>
          </w:p>
        </w:tc>
        <w:tc>
          <w:tcPr>
            <w:tcW w:w="0" w:type="auto"/>
            <w:hideMark/>
          </w:tcPr>
          <w:p w14:paraId="2B1758D7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  <w:b/>
                <w:bCs/>
              </w:rPr>
            </w:pPr>
            <w:r w:rsidRPr="00F70D60">
              <w:rPr>
                <w:rFonts w:ascii="Lato" w:hAnsi="Lato"/>
                <w:b/>
                <w:bCs/>
              </w:rPr>
              <w:t>Długość</w:t>
            </w:r>
          </w:p>
        </w:tc>
        <w:tc>
          <w:tcPr>
            <w:tcW w:w="0" w:type="auto"/>
            <w:hideMark/>
          </w:tcPr>
          <w:p w14:paraId="39B7FD48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  <w:b/>
                <w:bCs/>
              </w:rPr>
            </w:pPr>
            <w:r w:rsidRPr="00F70D60">
              <w:rPr>
                <w:rFonts w:ascii="Lato" w:hAnsi="Lato"/>
                <w:b/>
                <w:bCs/>
              </w:rPr>
              <w:t>%GC</w:t>
            </w:r>
          </w:p>
        </w:tc>
        <w:tc>
          <w:tcPr>
            <w:tcW w:w="0" w:type="auto"/>
            <w:hideMark/>
          </w:tcPr>
          <w:p w14:paraId="627C9071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  <w:b/>
                <w:bCs/>
              </w:rPr>
            </w:pPr>
            <w:r w:rsidRPr="00F70D60">
              <w:rPr>
                <w:rFonts w:ascii="Lato" w:hAnsi="Lato"/>
                <w:b/>
                <w:bCs/>
              </w:rPr>
              <w:t>% duplikacji</w:t>
            </w:r>
          </w:p>
        </w:tc>
      </w:tr>
      <w:tr w:rsidR="00F70D60" w:rsidRPr="00F70D60" w14:paraId="30FB81CA" w14:textId="77777777" w:rsidTr="0057412D">
        <w:trPr>
          <w:jc w:val="center"/>
        </w:trPr>
        <w:tc>
          <w:tcPr>
            <w:tcW w:w="0" w:type="auto"/>
            <w:hideMark/>
          </w:tcPr>
          <w:p w14:paraId="1B9F8B10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WT_rep1</w:t>
            </w:r>
          </w:p>
        </w:tc>
        <w:tc>
          <w:tcPr>
            <w:tcW w:w="0" w:type="auto"/>
            <w:hideMark/>
          </w:tcPr>
          <w:p w14:paraId="52A69DE8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4 260 400</w:t>
            </w:r>
          </w:p>
        </w:tc>
        <w:tc>
          <w:tcPr>
            <w:tcW w:w="0" w:type="auto"/>
            <w:hideMark/>
          </w:tcPr>
          <w:p w14:paraId="5D04B6DB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35–151 bp</w:t>
            </w:r>
          </w:p>
        </w:tc>
        <w:tc>
          <w:tcPr>
            <w:tcW w:w="0" w:type="auto"/>
            <w:hideMark/>
          </w:tcPr>
          <w:p w14:paraId="18E7C6C7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49,0</w:t>
            </w:r>
          </w:p>
        </w:tc>
        <w:tc>
          <w:tcPr>
            <w:tcW w:w="0" w:type="auto"/>
            <w:hideMark/>
          </w:tcPr>
          <w:p w14:paraId="0EC18442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60,6</w:t>
            </w:r>
          </w:p>
        </w:tc>
      </w:tr>
      <w:tr w:rsidR="00F70D60" w:rsidRPr="00F70D60" w14:paraId="338112A6" w14:textId="77777777" w:rsidTr="0057412D">
        <w:trPr>
          <w:jc w:val="center"/>
        </w:trPr>
        <w:tc>
          <w:tcPr>
            <w:tcW w:w="0" w:type="auto"/>
            <w:hideMark/>
          </w:tcPr>
          <w:p w14:paraId="3BAEE37F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WT_rep2</w:t>
            </w:r>
          </w:p>
        </w:tc>
        <w:tc>
          <w:tcPr>
            <w:tcW w:w="0" w:type="auto"/>
            <w:hideMark/>
          </w:tcPr>
          <w:p w14:paraId="3F5A530F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4 175 640</w:t>
            </w:r>
          </w:p>
        </w:tc>
        <w:tc>
          <w:tcPr>
            <w:tcW w:w="0" w:type="auto"/>
            <w:hideMark/>
          </w:tcPr>
          <w:p w14:paraId="07312AB6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35–151 bp</w:t>
            </w:r>
          </w:p>
        </w:tc>
        <w:tc>
          <w:tcPr>
            <w:tcW w:w="0" w:type="auto"/>
            <w:hideMark/>
          </w:tcPr>
          <w:p w14:paraId="04404DCE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49,0</w:t>
            </w:r>
          </w:p>
        </w:tc>
        <w:tc>
          <w:tcPr>
            <w:tcW w:w="0" w:type="auto"/>
            <w:hideMark/>
          </w:tcPr>
          <w:p w14:paraId="31F58877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60,5</w:t>
            </w:r>
          </w:p>
        </w:tc>
      </w:tr>
      <w:tr w:rsidR="00F70D60" w:rsidRPr="00F70D60" w14:paraId="1357404D" w14:textId="77777777" w:rsidTr="0057412D">
        <w:trPr>
          <w:jc w:val="center"/>
        </w:trPr>
        <w:tc>
          <w:tcPr>
            <w:tcW w:w="0" w:type="auto"/>
            <w:hideMark/>
          </w:tcPr>
          <w:p w14:paraId="79B546D7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lastRenderedPageBreak/>
              <w:t>WT_rep3</w:t>
            </w:r>
          </w:p>
        </w:tc>
        <w:tc>
          <w:tcPr>
            <w:tcW w:w="0" w:type="auto"/>
            <w:hideMark/>
          </w:tcPr>
          <w:p w14:paraId="3A6B8C75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4 322 242</w:t>
            </w:r>
          </w:p>
        </w:tc>
        <w:tc>
          <w:tcPr>
            <w:tcW w:w="0" w:type="auto"/>
            <w:hideMark/>
          </w:tcPr>
          <w:p w14:paraId="4AF84323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35–151 bp</w:t>
            </w:r>
          </w:p>
        </w:tc>
        <w:tc>
          <w:tcPr>
            <w:tcW w:w="0" w:type="auto"/>
            <w:hideMark/>
          </w:tcPr>
          <w:p w14:paraId="31347F5D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49,0</w:t>
            </w:r>
          </w:p>
        </w:tc>
        <w:tc>
          <w:tcPr>
            <w:tcW w:w="0" w:type="auto"/>
            <w:hideMark/>
          </w:tcPr>
          <w:p w14:paraId="4606F0F8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61,7</w:t>
            </w:r>
          </w:p>
        </w:tc>
      </w:tr>
      <w:tr w:rsidR="00F70D60" w:rsidRPr="00F70D60" w14:paraId="2D142413" w14:textId="77777777" w:rsidTr="0057412D">
        <w:trPr>
          <w:jc w:val="center"/>
        </w:trPr>
        <w:tc>
          <w:tcPr>
            <w:tcW w:w="0" w:type="auto"/>
            <w:hideMark/>
          </w:tcPr>
          <w:p w14:paraId="154A7429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MT_rep1</w:t>
            </w:r>
          </w:p>
        </w:tc>
        <w:tc>
          <w:tcPr>
            <w:tcW w:w="0" w:type="auto"/>
            <w:hideMark/>
          </w:tcPr>
          <w:p w14:paraId="6457067C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4 245 291</w:t>
            </w:r>
          </w:p>
        </w:tc>
        <w:tc>
          <w:tcPr>
            <w:tcW w:w="0" w:type="auto"/>
            <w:hideMark/>
          </w:tcPr>
          <w:p w14:paraId="79A0A8B9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35–151 bp</w:t>
            </w:r>
          </w:p>
        </w:tc>
        <w:tc>
          <w:tcPr>
            <w:tcW w:w="0" w:type="auto"/>
            <w:hideMark/>
          </w:tcPr>
          <w:p w14:paraId="2375ADB5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49,0</w:t>
            </w:r>
          </w:p>
        </w:tc>
        <w:tc>
          <w:tcPr>
            <w:tcW w:w="0" w:type="auto"/>
            <w:hideMark/>
          </w:tcPr>
          <w:p w14:paraId="7495ACD4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61,4</w:t>
            </w:r>
          </w:p>
        </w:tc>
      </w:tr>
      <w:tr w:rsidR="00F70D60" w:rsidRPr="00F70D60" w14:paraId="1AC010DA" w14:textId="77777777" w:rsidTr="0057412D">
        <w:trPr>
          <w:jc w:val="center"/>
        </w:trPr>
        <w:tc>
          <w:tcPr>
            <w:tcW w:w="0" w:type="auto"/>
            <w:hideMark/>
          </w:tcPr>
          <w:p w14:paraId="78B8A578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MT_rep2</w:t>
            </w:r>
          </w:p>
        </w:tc>
        <w:tc>
          <w:tcPr>
            <w:tcW w:w="0" w:type="auto"/>
            <w:hideMark/>
          </w:tcPr>
          <w:p w14:paraId="5EB0F21D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4 106 965</w:t>
            </w:r>
          </w:p>
        </w:tc>
        <w:tc>
          <w:tcPr>
            <w:tcW w:w="0" w:type="auto"/>
            <w:hideMark/>
          </w:tcPr>
          <w:p w14:paraId="454536C0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35–151 bp</w:t>
            </w:r>
          </w:p>
        </w:tc>
        <w:tc>
          <w:tcPr>
            <w:tcW w:w="0" w:type="auto"/>
            <w:hideMark/>
          </w:tcPr>
          <w:p w14:paraId="0B523307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49,0</w:t>
            </w:r>
          </w:p>
        </w:tc>
        <w:tc>
          <w:tcPr>
            <w:tcW w:w="0" w:type="auto"/>
            <w:hideMark/>
          </w:tcPr>
          <w:p w14:paraId="6B7C4DC3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59,4</w:t>
            </w:r>
          </w:p>
        </w:tc>
      </w:tr>
      <w:tr w:rsidR="00F70D60" w:rsidRPr="00F70D60" w14:paraId="2655C0CA" w14:textId="77777777" w:rsidTr="0057412D">
        <w:trPr>
          <w:jc w:val="center"/>
        </w:trPr>
        <w:tc>
          <w:tcPr>
            <w:tcW w:w="0" w:type="auto"/>
            <w:hideMark/>
          </w:tcPr>
          <w:p w14:paraId="55533AF5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MT_rep3</w:t>
            </w:r>
          </w:p>
        </w:tc>
        <w:tc>
          <w:tcPr>
            <w:tcW w:w="0" w:type="auto"/>
            <w:hideMark/>
          </w:tcPr>
          <w:p w14:paraId="7509B8F2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4 027 775</w:t>
            </w:r>
          </w:p>
        </w:tc>
        <w:tc>
          <w:tcPr>
            <w:tcW w:w="0" w:type="auto"/>
            <w:hideMark/>
          </w:tcPr>
          <w:p w14:paraId="110903FE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35–151 bp</w:t>
            </w:r>
          </w:p>
        </w:tc>
        <w:tc>
          <w:tcPr>
            <w:tcW w:w="0" w:type="auto"/>
            <w:hideMark/>
          </w:tcPr>
          <w:p w14:paraId="21EAE64A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49,0</w:t>
            </w:r>
          </w:p>
        </w:tc>
        <w:tc>
          <w:tcPr>
            <w:tcW w:w="0" w:type="auto"/>
            <w:hideMark/>
          </w:tcPr>
          <w:p w14:paraId="4B917581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59,6</w:t>
            </w:r>
          </w:p>
        </w:tc>
      </w:tr>
    </w:tbl>
    <w:p w14:paraId="5213ED45" w14:textId="77777777" w:rsidR="0057412D" w:rsidRDefault="0057412D" w:rsidP="0057412D">
      <w:pPr>
        <w:jc w:val="both"/>
        <w:rPr>
          <w:rFonts w:ascii="Lato" w:hAnsi="Lato"/>
          <w:b/>
          <w:bCs/>
        </w:rPr>
      </w:pPr>
    </w:p>
    <w:p w14:paraId="782BE561" w14:textId="61825990" w:rsidR="00F70D60" w:rsidRPr="00F70D60" w:rsidRDefault="00F70D60" w:rsidP="0057412D">
      <w:pPr>
        <w:jc w:val="both"/>
        <w:rPr>
          <w:rFonts w:ascii="Lato" w:hAnsi="Lato"/>
        </w:rPr>
      </w:pPr>
    </w:p>
    <w:p w14:paraId="470BA250" w14:textId="60B2DFEC" w:rsidR="00F70D60" w:rsidRPr="00F70D60" w:rsidRDefault="00F70D60" w:rsidP="0057412D">
      <w:pPr>
        <w:jc w:val="both"/>
        <w:rPr>
          <w:rFonts w:ascii="Lato" w:hAnsi="Lato"/>
          <w:b/>
          <w:bCs/>
        </w:rPr>
      </w:pPr>
      <w:r w:rsidRPr="00F70D60">
        <w:rPr>
          <w:rFonts w:ascii="Lato" w:hAnsi="Lato"/>
          <w:b/>
          <w:bCs/>
        </w:rPr>
        <w:t>3. Wycinanie adapterów</w:t>
      </w:r>
    </w:p>
    <w:p w14:paraId="245EBC71" w14:textId="4A7FE0B3" w:rsidR="00F70D60" w:rsidRPr="00F70D60" w:rsidRDefault="00F70D60" w:rsidP="0057412D">
      <w:pPr>
        <w:rPr>
          <w:rFonts w:ascii="Lato" w:hAnsi="Lato"/>
        </w:rPr>
      </w:pPr>
      <w:r w:rsidRPr="00F70D60">
        <w:rPr>
          <w:rFonts w:ascii="Lato" w:hAnsi="Lato"/>
          <w:b/>
          <w:bCs/>
        </w:rPr>
        <w:t>Narzędzie:</w:t>
      </w:r>
      <w:r w:rsidRPr="00F70D60">
        <w:rPr>
          <w:rFonts w:ascii="Lato" w:hAnsi="Lato"/>
        </w:rPr>
        <w:t xml:space="preserve"> Cutadapt. Sekwencja adaptera:</w:t>
      </w:r>
      <w:r w:rsidR="0057412D">
        <w:rPr>
          <w:rFonts w:ascii="Lato" w:hAnsi="Lato"/>
        </w:rPr>
        <w:t xml:space="preserve">                          </w:t>
      </w:r>
      <w:r w:rsidRPr="00F70D60">
        <w:rPr>
          <w:rFonts w:ascii="Lato" w:hAnsi="Lato"/>
        </w:rPr>
        <w:t>AGATCGGAAGAGCACACGTCTGAACTCCAGTCA (Illumina), tryb single-end.</w:t>
      </w:r>
    </w:p>
    <w:p w14:paraId="2F4C9698" w14:textId="77777777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  <w:b/>
          <w:bCs/>
        </w:rPr>
        <w:t>Porównanie statystyk przed i po usunięciu adapterów: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0"/>
        <w:gridCol w:w="1458"/>
        <w:gridCol w:w="1472"/>
        <w:gridCol w:w="1590"/>
        <w:gridCol w:w="2056"/>
        <w:gridCol w:w="1286"/>
      </w:tblGrid>
      <w:tr w:rsidR="00F70D60" w:rsidRPr="00F70D60" w14:paraId="6EADA992" w14:textId="77777777" w:rsidTr="0057412D">
        <w:tc>
          <w:tcPr>
            <w:tcW w:w="0" w:type="auto"/>
            <w:hideMark/>
          </w:tcPr>
          <w:p w14:paraId="2839FF84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  <w:b/>
                <w:bCs/>
              </w:rPr>
            </w:pPr>
            <w:r w:rsidRPr="00F70D60">
              <w:rPr>
                <w:rFonts w:ascii="Lato" w:hAnsi="Lato"/>
                <w:b/>
                <w:bCs/>
              </w:rPr>
              <w:t>Próbka</w:t>
            </w:r>
          </w:p>
        </w:tc>
        <w:tc>
          <w:tcPr>
            <w:tcW w:w="0" w:type="auto"/>
            <w:hideMark/>
          </w:tcPr>
          <w:p w14:paraId="540C2A91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  <w:b/>
                <w:bCs/>
              </w:rPr>
            </w:pPr>
            <w:r w:rsidRPr="00F70D60">
              <w:rPr>
                <w:rFonts w:ascii="Lato" w:hAnsi="Lato"/>
                <w:b/>
                <w:bCs/>
              </w:rPr>
              <w:t>Odczyty przed</w:t>
            </w:r>
          </w:p>
        </w:tc>
        <w:tc>
          <w:tcPr>
            <w:tcW w:w="0" w:type="auto"/>
            <w:hideMark/>
          </w:tcPr>
          <w:p w14:paraId="71C9DEAE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  <w:b/>
                <w:bCs/>
              </w:rPr>
            </w:pPr>
            <w:r w:rsidRPr="00F70D60">
              <w:rPr>
                <w:rFonts w:ascii="Lato" w:hAnsi="Lato"/>
                <w:b/>
                <w:bCs/>
              </w:rPr>
              <w:t>Z adapterem</w:t>
            </w:r>
          </w:p>
        </w:tc>
        <w:tc>
          <w:tcPr>
            <w:tcW w:w="0" w:type="auto"/>
            <w:hideMark/>
          </w:tcPr>
          <w:p w14:paraId="6870A987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  <w:b/>
                <w:bCs/>
              </w:rPr>
            </w:pPr>
            <w:r w:rsidRPr="00F70D60">
              <w:rPr>
                <w:rFonts w:ascii="Lato" w:hAnsi="Lato"/>
                <w:b/>
                <w:bCs/>
              </w:rPr>
              <w:t>% z adapterem</w:t>
            </w:r>
          </w:p>
        </w:tc>
        <w:tc>
          <w:tcPr>
            <w:tcW w:w="0" w:type="auto"/>
            <w:hideMark/>
          </w:tcPr>
          <w:p w14:paraId="452484AC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  <w:b/>
                <w:bCs/>
              </w:rPr>
            </w:pPr>
            <w:r w:rsidRPr="00F70D60">
              <w:rPr>
                <w:rFonts w:ascii="Lato" w:hAnsi="Lato"/>
                <w:b/>
                <w:bCs/>
              </w:rPr>
              <w:t>Odrzucone (za krótkie)</w:t>
            </w:r>
          </w:p>
        </w:tc>
        <w:tc>
          <w:tcPr>
            <w:tcW w:w="0" w:type="auto"/>
            <w:hideMark/>
          </w:tcPr>
          <w:p w14:paraId="25029227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  <w:b/>
                <w:bCs/>
              </w:rPr>
            </w:pPr>
            <w:r w:rsidRPr="00F70D60">
              <w:rPr>
                <w:rFonts w:ascii="Lato" w:hAnsi="Lato"/>
                <w:b/>
                <w:bCs/>
              </w:rPr>
              <w:t>Odczyty po</w:t>
            </w:r>
          </w:p>
        </w:tc>
      </w:tr>
      <w:tr w:rsidR="00F70D60" w:rsidRPr="00F70D60" w14:paraId="3D250C7D" w14:textId="77777777" w:rsidTr="0057412D">
        <w:tc>
          <w:tcPr>
            <w:tcW w:w="0" w:type="auto"/>
            <w:hideMark/>
          </w:tcPr>
          <w:p w14:paraId="174F4A37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WT_rep1</w:t>
            </w:r>
          </w:p>
        </w:tc>
        <w:tc>
          <w:tcPr>
            <w:tcW w:w="0" w:type="auto"/>
            <w:hideMark/>
          </w:tcPr>
          <w:p w14:paraId="57DEE357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4 260 400</w:t>
            </w:r>
          </w:p>
        </w:tc>
        <w:tc>
          <w:tcPr>
            <w:tcW w:w="0" w:type="auto"/>
            <w:hideMark/>
          </w:tcPr>
          <w:p w14:paraId="1CC465C3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71 772</w:t>
            </w:r>
          </w:p>
        </w:tc>
        <w:tc>
          <w:tcPr>
            <w:tcW w:w="0" w:type="auto"/>
            <w:hideMark/>
          </w:tcPr>
          <w:p w14:paraId="3580A58F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1,7%</w:t>
            </w:r>
          </w:p>
        </w:tc>
        <w:tc>
          <w:tcPr>
            <w:tcW w:w="0" w:type="auto"/>
            <w:hideMark/>
          </w:tcPr>
          <w:p w14:paraId="235C2FE0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1 312</w:t>
            </w:r>
          </w:p>
        </w:tc>
        <w:tc>
          <w:tcPr>
            <w:tcW w:w="0" w:type="auto"/>
            <w:hideMark/>
          </w:tcPr>
          <w:p w14:paraId="22A55E72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4 259 088</w:t>
            </w:r>
          </w:p>
        </w:tc>
      </w:tr>
      <w:tr w:rsidR="00F70D60" w:rsidRPr="00F70D60" w14:paraId="0E2C42F1" w14:textId="77777777" w:rsidTr="0057412D">
        <w:tc>
          <w:tcPr>
            <w:tcW w:w="0" w:type="auto"/>
            <w:hideMark/>
          </w:tcPr>
          <w:p w14:paraId="515CDF6A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WT_rep2</w:t>
            </w:r>
          </w:p>
        </w:tc>
        <w:tc>
          <w:tcPr>
            <w:tcW w:w="0" w:type="auto"/>
            <w:hideMark/>
          </w:tcPr>
          <w:p w14:paraId="72F3D4B3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4 175 640</w:t>
            </w:r>
          </w:p>
        </w:tc>
        <w:tc>
          <w:tcPr>
            <w:tcW w:w="0" w:type="auto"/>
            <w:hideMark/>
          </w:tcPr>
          <w:p w14:paraId="0F33C626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69 207</w:t>
            </w:r>
          </w:p>
        </w:tc>
        <w:tc>
          <w:tcPr>
            <w:tcW w:w="0" w:type="auto"/>
            <w:hideMark/>
          </w:tcPr>
          <w:p w14:paraId="504561AA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1,7%</w:t>
            </w:r>
          </w:p>
        </w:tc>
        <w:tc>
          <w:tcPr>
            <w:tcW w:w="0" w:type="auto"/>
            <w:hideMark/>
          </w:tcPr>
          <w:p w14:paraId="10C0AA00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1 355</w:t>
            </w:r>
          </w:p>
        </w:tc>
        <w:tc>
          <w:tcPr>
            <w:tcW w:w="0" w:type="auto"/>
            <w:hideMark/>
          </w:tcPr>
          <w:p w14:paraId="4A468369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4 174 285</w:t>
            </w:r>
          </w:p>
        </w:tc>
      </w:tr>
      <w:tr w:rsidR="00F70D60" w:rsidRPr="00F70D60" w14:paraId="68628C8B" w14:textId="77777777" w:rsidTr="0057412D">
        <w:tc>
          <w:tcPr>
            <w:tcW w:w="0" w:type="auto"/>
            <w:hideMark/>
          </w:tcPr>
          <w:p w14:paraId="5310CB53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WT_rep3</w:t>
            </w:r>
          </w:p>
        </w:tc>
        <w:tc>
          <w:tcPr>
            <w:tcW w:w="0" w:type="auto"/>
            <w:hideMark/>
          </w:tcPr>
          <w:p w14:paraId="46551CB3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4 322 242</w:t>
            </w:r>
          </w:p>
        </w:tc>
        <w:tc>
          <w:tcPr>
            <w:tcW w:w="0" w:type="auto"/>
            <w:hideMark/>
          </w:tcPr>
          <w:p w14:paraId="4A3AC7EF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69 975</w:t>
            </w:r>
          </w:p>
        </w:tc>
        <w:tc>
          <w:tcPr>
            <w:tcW w:w="0" w:type="auto"/>
            <w:hideMark/>
          </w:tcPr>
          <w:p w14:paraId="4C14EB8C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1,6%</w:t>
            </w:r>
          </w:p>
        </w:tc>
        <w:tc>
          <w:tcPr>
            <w:tcW w:w="0" w:type="auto"/>
            <w:hideMark/>
          </w:tcPr>
          <w:p w14:paraId="599D3DE3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1 406</w:t>
            </w:r>
          </w:p>
        </w:tc>
        <w:tc>
          <w:tcPr>
            <w:tcW w:w="0" w:type="auto"/>
            <w:hideMark/>
          </w:tcPr>
          <w:p w14:paraId="005C1A1D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4 320 836</w:t>
            </w:r>
          </w:p>
        </w:tc>
      </w:tr>
      <w:tr w:rsidR="00F70D60" w:rsidRPr="00F70D60" w14:paraId="79FAA9C4" w14:textId="77777777" w:rsidTr="0057412D">
        <w:tc>
          <w:tcPr>
            <w:tcW w:w="0" w:type="auto"/>
            <w:hideMark/>
          </w:tcPr>
          <w:p w14:paraId="27B6B1AD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MT_rep1</w:t>
            </w:r>
          </w:p>
        </w:tc>
        <w:tc>
          <w:tcPr>
            <w:tcW w:w="0" w:type="auto"/>
            <w:hideMark/>
          </w:tcPr>
          <w:p w14:paraId="26CB0168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4 245 291</w:t>
            </w:r>
          </w:p>
        </w:tc>
        <w:tc>
          <w:tcPr>
            <w:tcW w:w="0" w:type="auto"/>
            <w:hideMark/>
          </w:tcPr>
          <w:p w14:paraId="5501B82A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67 940</w:t>
            </w:r>
          </w:p>
        </w:tc>
        <w:tc>
          <w:tcPr>
            <w:tcW w:w="0" w:type="auto"/>
            <w:hideMark/>
          </w:tcPr>
          <w:p w14:paraId="3E0304BD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1,6%</w:t>
            </w:r>
          </w:p>
        </w:tc>
        <w:tc>
          <w:tcPr>
            <w:tcW w:w="0" w:type="auto"/>
            <w:hideMark/>
          </w:tcPr>
          <w:p w14:paraId="14D9AC91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1 304</w:t>
            </w:r>
          </w:p>
        </w:tc>
        <w:tc>
          <w:tcPr>
            <w:tcW w:w="0" w:type="auto"/>
            <w:hideMark/>
          </w:tcPr>
          <w:p w14:paraId="7DBDEB59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4 243 987</w:t>
            </w:r>
          </w:p>
        </w:tc>
      </w:tr>
      <w:tr w:rsidR="00F70D60" w:rsidRPr="00F70D60" w14:paraId="133F78D3" w14:textId="77777777" w:rsidTr="0057412D">
        <w:tc>
          <w:tcPr>
            <w:tcW w:w="0" w:type="auto"/>
            <w:hideMark/>
          </w:tcPr>
          <w:p w14:paraId="204FCEE6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MT_rep2</w:t>
            </w:r>
          </w:p>
        </w:tc>
        <w:tc>
          <w:tcPr>
            <w:tcW w:w="0" w:type="auto"/>
            <w:hideMark/>
          </w:tcPr>
          <w:p w14:paraId="30C1096C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4 106 965</w:t>
            </w:r>
          </w:p>
        </w:tc>
        <w:tc>
          <w:tcPr>
            <w:tcW w:w="0" w:type="auto"/>
            <w:hideMark/>
          </w:tcPr>
          <w:p w14:paraId="78935317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66 593</w:t>
            </w:r>
          </w:p>
        </w:tc>
        <w:tc>
          <w:tcPr>
            <w:tcW w:w="0" w:type="auto"/>
            <w:hideMark/>
          </w:tcPr>
          <w:p w14:paraId="46E797E9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1,6%</w:t>
            </w:r>
          </w:p>
        </w:tc>
        <w:tc>
          <w:tcPr>
            <w:tcW w:w="0" w:type="auto"/>
            <w:hideMark/>
          </w:tcPr>
          <w:p w14:paraId="3DBB978B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959</w:t>
            </w:r>
          </w:p>
        </w:tc>
        <w:tc>
          <w:tcPr>
            <w:tcW w:w="0" w:type="auto"/>
            <w:hideMark/>
          </w:tcPr>
          <w:p w14:paraId="60B1776D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4 106 006</w:t>
            </w:r>
          </w:p>
        </w:tc>
      </w:tr>
      <w:tr w:rsidR="00F70D60" w:rsidRPr="00F70D60" w14:paraId="73BE29D4" w14:textId="77777777" w:rsidTr="0057412D">
        <w:tc>
          <w:tcPr>
            <w:tcW w:w="0" w:type="auto"/>
            <w:hideMark/>
          </w:tcPr>
          <w:p w14:paraId="050B0388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MT_rep3</w:t>
            </w:r>
          </w:p>
        </w:tc>
        <w:tc>
          <w:tcPr>
            <w:tcW w:w="0" w:type="auto"/>
            <w:hideMark/>
          </w:tcPr>
          <w:p w14:paraId="129339D2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4 027 775</w:t>
            </w:r>
          </w:p>
        </w:tc>
        <w:tc>
          <w:tcPr>
            <w:tcW w:w="0" w:type="auto"/>
            <w:hideMark/>
          </w:tcPr>
          <w:p w14:paraId="351DF6B8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65 087</w:t>
            </w:r>
          </w:p>
        </w:tc>
        <w:tc>
          <w:tcPr>
            <w:tcW w:w="0" w:type="auto"/>
            <w:hideMark/>
          </w:tcPr>
          <w:p w14:paraId="598ECAFB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1,6%</w:t>
            </w:r>
          </w:p>
        </w:tc>
        <w:tc>
          <w:tcPr>
            <w:tcW w:w="0" w:type="auto"/>
            <w:hideMark/>
          </w:tcPr>
          <w:p w14:paraId="560DECBA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883</w:t>
            </w:r>
          </w:p>
        </w:tc>
        <w:tc>
          <w:tcPr>
            <w:tcW w:w="0" w:type="auto"/>
            <w:hideMark/>
          </w:tcPr>
          <w:p w14:paraId="6F3F8AD6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4 026 892</w:t>
            </w:r>
          </w:p>
        </w:tc>
      </w:tr>
    </w:tbl>
    <w:p w14:paraId="61578E0B" w14:textId="77777777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</w:rPr>
        <w:t>Odsetek odczytów z adapterem był niski (1,6–1,7%) i spójny między próbkami; utrata odczytów w wyniku przycinania nie przekroczyła 0,03%.</w:t>
      </w:r>
    </w:p>
    <w:p w14:paraId="76F128B7" w14:textId="60F0B4C0" w:rsidR="00F70D60" w:rsidRPr="00F70D60" w:rsidRDefault="00F70D60" w:rsidP="0057412D">
      <w:pPr>
        <w:jc w:val="both"/>
        <w:rPr>
          <w:rFonts w:ascii="Lato" w:hAnsi="Lato"/>
        </w:rPr>
      </w:pPr>
    </w:p>
    <w:p w14:paraId="1CB3E3D4" w14:textId="0D530192" w:rsidR="00F70D60" w:rsidRPr="00F70D60" w:rsidRDefault="00F70D60" w:rsidP="0057412D">
      <w:pPr>
        <w:jc w:val="both"/>
        <w:rPr>
          <w:rFonts w:ascii="Lato" w:hAnsi="Lato"/>
          <w:b/>
          <w:bCs/>
        </w:rPr>
      </w:pPr>
      <w:r w:rsidRPr="00F70D60">
        <w:rPr>
          <w:rFonts w:ascii="Lato" w:hAnsi="Lato"/>
          <w:b/>
          <w:bCs/>
        </w:rPr>
        <w:t>4. Przycinanie sekwencji</w:t>
      </w:r>
    </w:p>
    <w:p w14:paraId="3C37EC7F" w14:textId="77777777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  <w:b/>
          <w:bCs/>
        </w:rPr>
        <w:t>Narzędzie:</w:t>
      </w:r>
      <w:r w:rsidRPr="00F70D60">
        <w:rPr>
          <w:rFonts w:ascii="Lato" w:hAnsi="Lato"/>
        </w:rPr>
        <w:t xml:space="preserve"> Trimmomatic, tryb SE, zautomatyzowane skryptem Bash iterującym po wszystkich próbkach.</w:t>
      </w:r>
    </w:p>
    <w:p w14:paraId="48788B9E" w14:textId="77777777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</w:rPr>
        <w:t>trimmomatic SE -threads 4 -phred33 \</w:t>
      </w:r>
    </w:p>
    <w:p w14:paraId="5391112D" w14:textId="77777777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</w:rPr>
        <w:t xml:space="preserve">    trimmed_data/${sample}_trimmed.fastq.gz \</w:t>
      </w:r>
    </w:p>
    <w:p w14:paraId="7F4CD0F2" w14:textId="77777777" w:rsidR="00F70D60" w:rsidRPr="00F70D60" w:rsidRDefault="00F70D60" w:rsidP="0057412D">
      <w:pPr>
        <w:jc w:val="both"/>
        <w:rPr>
          <w:rFonts w:ascii="Lato" w:hAnsi="Lato"/>
          <w:lang w:val="it-IT"/>
        </w:rPr>
      </w:pPr>
      <w:r w:rsidRPr="00F70D60">
        <w:rPr>
          <w:rFonts w:ascii="Lato" w:hAnsi="Lato"/>
        </w:rPr>
        <w:t xml:space="preserve">    </w:t>
      </w:r>
      <w:r w:rsidRPr="00F70D60">
        <w:rPr>
          <w:rFonts w:ascii="Lato" w:hAnsi="Lato"/>
          <w:lang w:val="it-IT"/>
        </w:rPr>
        <w:t>trimmed_data/quality_trimmed/${sample}_final.fastq.gz \</w:t>
      </w:r>
    </w:p>
    <w:p w14:paraId="40F8DFCE" w14:textId="77777777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  <w:lang w:val="it-IT"/>
        </w:rPr>
        <w:t xml:space="preserve">    </w:t>
      </w:r>
      <w:r w:rsidRPr="00F70D60">
        <w:rPr>
          <w:rFonts w:ascii="Lato" w:hAnsi="Lato"/>
        </w:rPr>
        <w:t>LEADING:20 TRAILING:20 SLIDINGWINDOW:5:20 MINLEN:50</w:t>
      </w:r>
    </w:p>
    <w:p w14:paraId="14E4AE63" w14:textId="77777777" w:rsidR="0057412D" w:rsidRDefault="0057412D" w:rsidP="0057412D">
      <w:pPr>
        <w:jc w:val="both"/>
        <w:rPr>
          <w:rFonts w:ascii="Lato" w:hAnsi="Lato"/>
          <w:b/>
          <w:bCs/>
        </w:rPr>
      </w:pPr>
    </w:p>
    <w:p w14:paraId="26AEC079" w14:textId="446FED05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  <w:b/>
          <w:bCs/>
        </w:rPr>
        <w:lastRenderedPageBreak/>
        <w:t>Porównanie statystyk przed i po przycinaniu: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200"/>
        <w:gridCol w:w="1314"/>
        <w:gridCol w:w="1446"/>
        <w:gridCol w:w="1667"/>
      </w:tblGrid>
      <w:tr w:rsidR="00F70D60" w:rsidRPr="00F70D60" w14:paraId="15197A2E" w14:textId="77777777" w:rsidTr="0057412D">
        <w:trPr>
          <w:jc w:val="center"/>
        </w:trPr>
        <w:tc>
          <w:tcPr>
            <w:tcW w:w="0" w:type="auto"/>
            <w:hideMark/>
          </w:tcPr>
          <w:p w14:paraId="191AA53F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  <w:b/>
                <w:bCs/>
              </w:rPr>
            </w:pPr>
            <w:r w:rsidRPr="00F70D60">
              <w:rPr>
                <w:rFonts w:ascii="Lato" w:hAnsi="Lato"/>
                <w:b/>
                <w:bCs/>
              </w:rPr>
              <w:t>Próbka</w:t>
            </w:r>
          </w:p>
        </w:tc>
        <w:tc>
          <w:tcPr>
            <w:tcW w:w="0" w:type="auto"/>
            <w:hideMark/>
          </w:tcPr>
          <w:p w14:paraId="2E4219B6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  <w:b/>
                <w:bCs/>
              </w:rPr>
            </w:pPr>
            <w:r w:rsidRPr="00F70D60">
              <w:rPr>
                <w:rFonts w:ascii="Lato" w:hAnsi="Lato"/>
                <w:b/>
                <w:bCs/>
              </w:rPr>
              <w:t>Wejście</w:t>
            </w:r>
          </w:p>
        </w:tc>
        <w:tc>
          <w:tcPr>
            <w:tcW w:w="0" w:type="auto"/>
            <w:hideMark/>
          </w:tcPr>
          <w:p w14:paraId="38E11AF5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  <w:b/>
                <w:bCs/>
              </w:rPr>
            </w:pPr>
            <w:r w:rsidRPr="00F70D60">
              <w:rPr>
                <w:rFonts w:ascii="Lato" w:hAnsi="Lato"/>
                <w:b/>
                <w:bCs/>
              </w:rPr>
              <w:t>Zachowane</w:t>
            </w:r>
          </w:p>
        </w:tc>
        <w:tc>
          <w:tcPr>
            <w:tcW w:w="0" w:type="auto"/>
            <w:hideMark/>
          </w:tcPr>
          <w:p w14:paraId="2ED3F98E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  <w:b/>
                <w:bCs/>
              </w:rPr>
            </w:pPr>
            <w:r w:rsidRPr="00F70D60">
              <w:rPr>
                <w:rFonts w:ascii="Lato" w:hAnsi="Lato"/>
                <w:b/>
                <w:bCs/>
              </w:rPr>
              <w:t>% zachowane</w:t>
            </w:r>
          </w:p>
        </w:tc>
      </w:tr>
      <w:tr w:rsidR="00F70D60" w:rsidRPr="00F70D60" w14:paraId="7D01BC55" w14:textId="77777777" w:rsidTr="0057412D">
        <w:trPr>
          <w:jc w:val="center"/>
        </w:trPr>
        <w:tc>
          <w:tcPr>
            <w:tcW w:w="0" w:type="auto"/>
            <w:hideMark/>
          </w:tcPr>
          <w:p w14:paraId="0D70F607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WT_rep1</w:t>
            </w:r>
          </w:p>
        </w:tc>
        <w:tc>
          <w:tcPr>
            <w:tcW w:w="0" w:type="auto"/>
            <w:hideMark/>
          </w:tcPr>
          <w:p w14:paraId="419B30AD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4 259 088</w:t>
            </w:r>
          </w:p>
        </w:tc>
        <w:tc>
          <w:tcPr>
            <w:tcW w:w="0" w:type="auto"/>
            <w:hideMark/>
          </w:tcPr>
          <w:p w14:paraId="79A73748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4 106 011</w:t>
            </w:r>
          </w:p>
        </w:tc>
        <w:tc>
          <w:tcPr>
            <w:tcW w:w="0" w:type="auto"/>
            <w:hideMark/>
          </w:tcPr>
          <w:p w14:paraId="1F00CE94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96,41%</w:t>
            </w:r>
          </w:p>
        </w:tc>
      </w:tr>
      <w:tr w:rsidR="00F70D60" w:rsidRPr="00F70D60" w14:paraId="66704743" w14:textId="77777777" w:rsidTr="0057412D">
        <w:trPr>
          <w:jc w:val="center"/>
        </w:trPr>
        <w:tc>
          <w:tcPr>
            <w:tcW w:w="0" w:type="auto"/>
            <w:hideMark/>
          </w:tcPr>
          <w:p w14:paraId="46A30E67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WT_rep2</w:t>
            </w:r>
          </w:p>
        </w:tc>
        <w:tc>
          <w:tcPr>
            <w:tcW w:w="0" w:type="auto"/>
            <w:hideMark/>
          </w:tcPr>
          <w:p w14:paraId="786C5344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4 174 285</w:t>
            </w:r>
          </w:p>
        </w:tc>
        <w:tc>
          <w:tcPr>
            <w:tcW w:w="0" w:type="auto"/>
            <w:hideMark/>
          </w:tcPr>
          <w:p w14:paraId="6EC34D57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4 027 658</w:t>
            </w:r>
          </w:p>
        </w:tc>
        <w:tc>
          <w:tcPr>
            <w:tcW w:w="0" w:type="auto"/>
            <w:hideMark/>
          </w:tcPr>
          <w:p w14:paraId="557AE356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96,49%</w:t>
            </w:r>
          </w:p>
        </w:tc>
      </w:tr>
      <w:tr w:rsidR="00F70D60" w:rsidRPr="00F70D60" w14:paraId="294AEA63" w14:textId="77777777" w:rsidTr="0057412D">
        <w:trPr>
          <w:jc w:val="center"/>
        </w:trPr>
        <w:tc>
          <w:tcPr>
            <w:tcW w:w="0" w:type="auto"/>
            <w:hideMark/>
          </w:tcPr>
          <w:p w14:paraId="7C6ABA31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WT_rep3</w:t>
            </w:r>
          </w:p>
        </w:tc>
        <w:tc>
          <w:tcPr>
            <w:tcW w:w="0" w:type="auto"/>
            <w:hideMark/>
          </w:tcPr>
          <w:p w14:paraId="2575D660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4 320 836</w:t>
            </w:r>
          </w:p>
        </w:tc>
        <w:tc>
          <w:tcPr>
            <w:tcW w:w="0" w:type="auto"/>
            <w:hideMark/>
          </w:tcPr>
          <w:p w14:paraId="34ADDBFF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4 189 739</w:t>
            </w:r>
          </w:p>
        </w:tc>
        <w:tc>
          <w:tcPr>
            <w:tcW w:w="0" w:type="auto"/>
            <w:hideMark/>
          </w:tcPr>
          <w:p w14:paraId="0CDD852E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96,97%</w:t>
            </w:r>
          </w:p>
        </w:tc>
      </w:tr>
      <w:tr w:rsidR="00F70D60" w:rsidRPr="00F70D60" w14:paraId="4FF944F2" w14:textId="77777777" w:rsidTr="0057412D">
        <w:trPr>
          <w:jc w:val="center"/>
        </w:trPr>
        <w:tc>
          <w:tcPr>
            <w:tcW w:w="0" w:type="auto"/>
            <w:hideMark/>
          </w:tcPr>
          <w:p w14:paraId="3A0EA60A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MT_rep1</w:t>
            </w:r>
          </w:p>
        </w:tc>
        <w:tc>
          <w:tcPr>
            <w:tcW w:w="0" w:type="auto"/>
            <w:hideMark/>
          </w:tcPr>
          <w:p w14:paraId="5F04B1CF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4 243 987</w:t>
            </w:r>
          </w:p>
        </w:tc>
        <w:tc>
          <w:tcPr>
            <w:tcW w:w="0" w:type="auto"/>
            <w:hideMark/>
          </w:tcPr>
          <w:p w14:paraId="52264CC8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4 117 742</w:t>
            </w:r>
          </w:p>
        </w:tc>
        <w:tc>
          <w:tcPr>
            <w:tcW w:w="0" w:type="auto"/>
            <w:hideMark/>
          </w:tcPr>
          <w:p w14:paraId="225C74CB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97,03%</w:t>
            </w:r>
          </w:p>
        </w:tc>
      </w:tr>
      <w:tr w:rsidR="00F70D60" w:rsidRPr="00F70D60" w14:paraId="1F6B0FA1" w14:textId="77777777" w:rsidTr="0057412D">
        <w:trPr>
          <w:jc w:val="center"/>
        </w:trPr>
        <w:tc>
          <w:tcPr>
            <w:tcW w:w="0" w:type="auto"/>
            <w:hideMark/>
          </w:tcPr>
          <w:p w14:paraId="28D6D068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MT_rep2</w:t>
            </w:r>
          </w:p>
        </w:tc>
        <w:tc>
          <w:tcPr>
            <w:tcW w:w="0" w:type="auto"/>
            <w:hideMark/>
          </w:tcPr>
          <w:p w14:paraId="5405ED1D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4 106 006</w:t>
            </w:r>
          </w:p>
        </w:tc>
        <w:tc>
          <w:tcPr>
            <w:tcW w:w="0" w:type="auto"/>
            <w:hideMark/>
          </w:tcPr>
          <w:p w14:paraId="02664862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3 983 955</w:t>
            </w:r>
          </w:p>
        </w:tc>
        <w:tc>
          <w:tcPr>
            <w:tcW w:w="0" w:type="auto"/>
            <w:hideMark/>
          </w:tcPr>
          <w:p w14:paraId="28F378B9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97,03%</w:t>
            </w:r>
          </w:p>
        </w:tc>
      </w:tr>
      <w:tr w:rsidR="00F70D60" w:rsidRPr="00F70D60" w14:paraId="66063DA3" w14:textId="77777777" w:rsidTr="0057412D">
        <w:trPr>
          <w:jc w:val="center"/>
        </w:trPr>
        <w:tc>
          <w:tcPr>
            <w:tcW w:w="0" w:type="auto"/>
            <w:hideMark/>
          </w:tcPr>
          <w:p w14:paraId="6943435E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MT_rep3</w:t>
            </w:r>
          </w:p>
        </w:tc>
        <w:tc>
          <w:tcPr>
            <w:tcW w:w="0" w:type="auto"/>
            <w:hideMark/>
          </w:tcPr>
          <w:p w14:paraId="547C499C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4 026 892</w:t>
            </w:r>
          </w:p>
        </w:tc>
        <w:tc>
          <w:tcPr>
            <w:tcW w:w="0" w:type="auto"/>
            <w:hideMark/>
          </w:tcPr>
          <w:p w14:paraId="3F20C50E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3 911 391</w:t>
            </w:r>
          </w:p>
        </w:tc>
        <w:tc>
          <w:tcPr>
            <w:tcW w:w="0" w:type="auto"/>
            <w:hideMark/>
          </w:tcPr>
          <w:p w14:paraId="67348CB1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97,13%</w:t>
            </w:r>
          </w:p>
        </w:tc>
      </w:tr>
    </w:tbl>
    <w:p w14:paraId="75573864" w14:textId="77777777" w:rsidR="0057412D" w:rsidRDefault="0057412D" w:rsidP="0057412D">
      <w:pPr>
        <w:jc w:val="both"/>
        <w:rPr>
          <w:rFonts w:ascii="Lato" w:hAnsi="Lato"/>
          <w:b/>
          <w:bCs/>
        </w:rPr>
      </w:pPr>
    </w:p>
    <w:p w14:paraId="1877802B" w14:textId="4324C99C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  <w:b/>
          <w:bCs/>
        </w:rPr>
        <w:t>Ponowna kontrola jakości (FastQC/MultiQC) po przycięciu:</w:t>
      </w:r>
      <w:r w:rsidRPr="00F70D60">
        <w:rPr>
          <w:rFonts w:ascii="Lato" w:hAnsi="Lato"/>
        </w:rPr>
        <w:t xml:space="preserve"> średnia długość odczytu skróciła się o ok. 3–4 bp (efekt przycięcia końców niskiej jakości), rozkład GC pozostał niezmieniony (49,0%), a poziom duplikacji wzrósł nieznacznie (o 0,5–0,7 pp) — zgodnie z oczekiwaniem po usunięciu krótkich fragmentów niskiej jakości.</w:t>
      </w:r>
    </w:p>
    <w:p w14:paraId="3B7C9EF4" w14:textId="2E1B428D" w:rsidR="00F70D60" w:rsidRPr="00F70D60" w:rsidRDefault="00F70D60" w:rsidP="0057412D">
      <w:pPr>
        <w:jc w:val="both"/>
        <w:rPr>
          <w:rFonts w:ascii="Lato" w:hAnsi="Lato"/>
        </w:rPr>
      </w:pPr>
    </w:p>
    <w:p w14:paraId="36EACC5C" w14:textId="35CC8EC8" w:rsidR="00F70D60" w:rsidRPr="00F70D60" w:rsidRDefault="00F70D60" w:rsidP="0057412D">
      <w:pPr>
        <w:jc w:val="both"/>
        <w:rPr>
          <w:rFonts w:ascii="Lato" w:hAnsi="Lato"/>
          <w:b/>
          <w:bCs/>
        </w:rPr>
      </w:pPr>
      <w:r w:rsidRPr="00F70D60">
        <w:rPr>
          <w:rFonts w:ascii="Lato" w:hAnsi="Lato"/>
          <w:b/>
          <w:bCs/>
        </w:rPr>
        <w:t>5. Mapowanie sekwencji do genomu referencyjnego</w:t>
      </w:r>
    </w:p>
    <w:p w14:paraId="2BAB8FF3" w14:textId="77777777" w:rsidR="0057412D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  <w:b/>
          <w:bCs/>
        </w:rPr>
        <w:t>Wybór narzędzia:</w:t>
      </w:r>
      <w:r w:rsidRPr="00F70D60">
        <w:rPr>
          <w:rFonts w:ascii="Lato" w:hAnsi="Lato"/>
        </w:rPr>
        <w:t xml:space="preserve"> </w:t>
      </w:r>
      <w:r w:rsidRPr="0057412D">
        <w:rPr>
          <w:rFonts w:ascii="Lato" w:hAnsi="Lato"/>
        </w:rPr>
        <w:t>STAR</w:t>
      </w:r>
    </w:p>
    <w:p w14:paraId="403FE253" w14:textId="77777777" w:rsidR="0057412D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  <w:b/>
          <w:bCs/>
        </w:rPr>
        <w:t>Genom referencyjny:</w:t>
      </w:r>
      <w:r w:rsidRPr="00F70D60">
        <w:rPr>
          <w:rFonts w:ascii="Lato" w:hAnsi="Lato"/>
        </w:rPr>
        <w:t xml:space="preserve"> GRCh38 (Ensembl release 111), </w:t>
      </w:r>
    </w:p>
    <w:p w14:paraId="3F9F2ADA" w14:textId="6E6F55EA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  <w:b/>
          <w:bCs/>
        </w:rPr>
        <w:t>Statystyki mapowania: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0"/>
        <w:gridCol w:w="2228"/>
        <w:gridCol w:w="2507"/>
        <w:gridCol w:w="1257"/>
        <w:gridCol w:w="1870"/>
      </w:tblGrid>
      <w:tr w:rsidR="00F70D60" w:rsidRPr="00F70D60" w14:paraId="6ADF3A96" w14:textId="77777777" w:rsidTr="0057412D">
        <w:tc>
          <w:tcPr>
            <w:tcW w:w="0" w:type="auto"/>
            <w:hideMark/>
          </w:tcPr>
          <w:p w14:paraId="583BBAD2" w14:textId="77777777" w:rsidR="00F70D60" w:rsidRPr="00F70D60" w:rsidRDefault="00F70D60" w:rsidP="0057412D">
            <w:pPr>
              <w:spacing w:after="160" w:line="278" w:lineRule="auto"/>
              <w:jc w:val="center"/>
              <w:rPr>
                <w:rFonts w:ascii="Lato" w:hAnsi="Lato"/>
                <w:b/>
                <w:bCs/>
              </w:rPr>
            </w:pPr>
            <w:r w:rsidRPr="00F70D60">
              <w:rPr>
                <w:rFonts w:ascii="Lato" w:hAnsi="Lato"/>
                <w:b/>
                <w:bCs/>
              </w:rPr>
              <w:t>Próbka</w:t>
            </w:r>
          </w:p>
        </w:tc>
        <w:tc>
          <w:tcPr>
            <w:tcW w:w="0" w:type="auto"/>
            <w:hideMark/>
          </w:tcPr>
          <w:p w14:paraId="067AEB06" w14:textId="77777777" w:rsidR="00F70D60" w:rsidRPr="00F70D60" w:rsidRDefault="00F70D60" w:rsidP="0057412D">
            <w:pPr>
              <w:spacing w:after="160" w:line="278" w:lineRule="auto"/>
              <w:jc w:val="center"/>
              <w:rPr>
                <w:rFonts w:ascii="Lato" w:hAnsi="Lato"/>
                <w:b/>
                <w:bCs/>
              </w:rPr>
            </w:pPr>
            <w:r w:rsidRPr="00F70D60">
              <w:rPr>
                <w:rFonts w:ascii="Lato" w:hAnsi="Lato"/>
                <w:b/>
                <w:bCs/>
              </w:rPr>
              <w:t>Odczyty wejściowe</w:t>
            </w:r>
          </w:p>
        </w:tc>
        <w:tc>
          <w:tcPr>
            <w:tcW w:w="0" w:type="auto"/>
            <w:hideMark/>
          </w:tcPr>
          <w:p w14:paraId="34970BC3" w14:textId="77777777" w:rsidR="00F70D60" w:rsidRPr="00F70D60" w:rsidRDefault="00F70D60" w:rsidP="0057412D">
            <w:pPr>
              <w:spacing w:after="160" w:line="278" w:lineRule="auto"/>
              <w:jc w:val="center"/>
              <w:rPr>
                <w:rFonts w:ascii="Lato" w:hAnsi="Lato"/>
                <w:b/>
                <w:bCs/>
              </w:rPr>
            </w:pPr>
            <w:r w:rsidRPr="00F70D60">
              <w:rPr>
                <w:rFonts w:ascii="Lato" w:hAnsi="Lato"/>
                <w:b/>
                <w:bCs/>
              </w:rPr>
              <w:t>Unikalnie zmapowane</w:t>
            </w:r>
          </w:p>
        </w:tc>
        <w:tc>
          <w:tcPr>
            <w:tcW w:w="0" w:type="auto"/>
            <w:hideMark/>
          </w:tcPr>
          <w:p w14:paraId="21AB15BA" w14:textId="77777777" w:rsidR="00F70D60" w:rsidRPr="00F70D60" w:rsidRDefault="00F70D60" w:rsidP="0057412D">
            <w:pPr>
              <w:spacing w:after="160" w:line="278" w:lineRule="auto"/>
              <w:jc w:val="center"/>
              <w:rPr>
                <w:rFonts w:ascii="Lato" w:hAnsi="Lato"/>
                <w:b/>
                <w:bCs/>
              </w:rPr>
            </w:pPr>
            <w:r w:rsidRPr="00F70D60">
              <w:rPr>
                <w:rFonts w:ascii="Lato" w:hAnsi="Lato"/>
                <w:b/>
                <w:bCs/>
              </w:rPr>
              <w:t>Wiele loci</w:t>
            </w:r>
          </w:p>
        </w:tc>
        <w:tc>
          <w:tcPr>
            <w:tcW w:w="0" w:type="auto"/>
            <w:hideMark/>
          </w:tcPr>
          <w:p w14:paraId="3B6D4AE6" w14:textId="77777777" w:rsidR="00F70D60" w:rsidRPr="00F70D60" w:rsidRDefault="00F70D60" w:rsidP="0057412D">
            <w:pPr>
              <w:spacing w:after="160" w:line="278" w:lineRule="auto"/>
              <w:jc w:val="center"/>
              <w:rPr>
                <w:rFonts w:ascii="Lato" w:hAnsi="Lato"/>
                <w:b/>
                <w:bCs/>
              </w:rPr>
            </w:pPr>
            <w:r w:rsidRPr="00F70D60">
              <w:rPr>
                <w:rFonts w:ascii="Lato" w:hAnsi="Lato"/>
                <w:b/>
                <w:bCs/>
              </w:rPr>
              <w:t>Niezmapowane</w:t>
            </w:r>
          </w:p>
        </w:tc>
      </w:tr>
      <w:tr w:rsidR="00F70D60" w:rsidRPr="00F70D60" w14:paraId="59E3DAAC" w14:textId="77777777" w:rsidTr="0057412D">
        <w:tc>
          <w:tcPr>
            <w:tcW w:w="0" w:type="auto"/>
            <w:hideMark/>
          </w:tcPr>
          <w:p w14:paraId="10D76EF4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WT_rep1</w:t>
            </w:r>
          </w:p>
        </w:tc>
        <w:tc>
          <w:tcPr>
            <w:tcW w:w="0" w:type="auto"/>
            <w:hideMark/>
          </w:tcPr>
          <w:p w14:paraId="33C82DD4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4 106 011</w:t>
            </w:r>
          </w:p>
        </w:tc>
        <w:tc>
          <w:tcPr>
            <w:tcW w:w="0" w:type="auto"/>
            <w:hideMark/>
          </w:tcPr>
          <w:p w14:paraId="2192F7C8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94,88%</w:t>
            </w:r>
          </w:p>
        </w:tc>
        <w:tc>
          <w:tcPr>
            <w:tcW w:w="0" w:type="auto"/>
            <w:hideMark/>
          </w:tcPr>
          <w:p w14:paraId="1E387E5D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4,87%</w:t>
            </w:r>
          </w:p>
        </w:tc>
        <w:tc>
          <w:tcPr>
            <w:tcW w:w="0" w:type="auto"/>
            <w:hideMark/>
          </w:tcPr>
          <w:p w14:paraId="78546CEE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0,20%</w:t>
            </w:r>
          </w:p>
        </w:tc>
      </w:tr>
      <w:tr w:rsidR="00F70D60" w:rsidRPr="00F70D60" w14:paraId="483ED90A" w14:textId="77777777" w:rsidTr="0057412D">
        <w:tc>
          <w:tcPr>
            <w:tcW w:w="0" w:type="auto"/>
            <w:hideMark/>
          </w:tcPr>
          <w:p w14:paraId="1548EE33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WT_rep2</w:t>
            </w:r>
          </w:p>
        </w:tc>
        <w:tc>
          <w:tcPr>
            <w:tcW w:w="0" w:type="auto"/>
            <w:hideMark/>
          </w:tcPr>
          <w:p w14:paraId="29E6DBB7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4 027 658</w:t>
            </w:r>
          </w:p>
        </w:tc>
        <w:tc>
          <w:tcPr>
            <w:tcW w:w="0" w:type="auto"/>
            <w:hideMark/>
          </w:tcPr>
          <w:p w14:paraId="1887D65F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94,92%</w:t>
            </w:r>
          </w:p>
        </w:tc>
        <w:tc>
          <w:tcPr>
            <w:tcW w:w="0" w:type="auto"/>
            <w:hideMark/>
          </w:tcPr>
          <w:p w14:paraId="2E37BAA7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4,84%</w:t>
            </w:r>
          </w:p>
        </w:tc>
        <w:tc>
          <w:tcPr>
            <w:tcW w:w="0" w:type="auto"/>
            <w:hideMark/>
          </w:tcPr>
          <w:p w14:paraId="2B005EBA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0,19%</w:t>
            </w:r>
          </w:p>
        </w:tc>
      </w:tr>
      <w:tr w:rsidR="00F70D60" w:rsidRPr="00F70D60" w14:paraId="2F255C5F" w14:textId="77777777" w:rsidTr="0057412D">
        <w:tc>
          <w:tcPr>
            <w:tcW w:w="0" w:type="auto"/>
            <w:hideMark/>
          </w:tcPr>
          <w:p w14:paraId="2E193BCF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WT_rep3</w:t>
            </w:r>
          </w:p>
        </w:tc>
        <w:tc>
          <w:tcPr>
            <w:tcW w:w="0" w:type="auto"/>
            <w:hideMark/>
          </w:tcPr>
          <w:p w14:paraId="1918529D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4 189 739</w:t>
            </w:r>
          </w:p>
        </w:tc>
        <w:tc>
          <w:tcPr>
            <w:tcW w:w="0" w:type="auto"/>
            <w:hideMark/>
          </w:tcPr>
          <w:p w14:paraId="5525FF6A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95,06%</w:t>
            </w:r>
          </w:p>
        </w:tc>
        <w:tc>
          <w:tcPr>
            <w:tcW w:w="0" w:type="auto"/>
            <w:hideMark/>
          </w:tcPr>
          <w:p w14:paraId="2DC4700F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4,74%</w:t>
            </w:r>
          </w:p>
        </w:tc>
        <w:tc>
          <w:tcPr>
            <w:tcW w:w="0" w:type="auto"/>
            <w:hideMark/>
          </w:tcPr>
          <w:p w14:paraId="640BAE2A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0,15%</w:t>
            </w:r>
          </w:p>
        </w:tc>
      </w:tr>
      <w:tr w:rsidR="00F70D60" w:rsidRPr="00F70D60" w14:paraId="0CDB0051" w14:textId="77777777" w:rsidTr="0057412D">
        <w:tc>
          <w:tcPr>
            <w:tcW w:w="0" w:type="auto"/>
            <w:hideMark/>
          </w:tcPr>
          <w:p w14:paraId="47557D8E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MT_rep1</w:t>
            </w:r>
          </w:p>
        </w:tc>
        <w:tc>
          <w:tcPr>
            <w:tcW w:w="0" w:type="auto"/>
            <w:hideMark/>
          </w:tcPr>
          <w:p w14:paraId="35BE90A5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4 117 742</w:t>
            </w:r>
          </w:p>
        </w:tc>
        <w:tc>
          <w:tcPr>
            <w:tcW w:w="0" w:type="auto"/>
            <w:hideMark/>
          </w:tcPr>
          <w:p w14:paraId="6ABFDE88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95,06%</w:t>
            </w:r>
          </w:p>
        </w:tc>
        <w:tc>
          <w:tcPr>
            <w:tcW w:w="0" w:type="auto"/>
            <w:hideMark/>
          </w:tcPr>
          <w:p w14:paraId="5DC90A61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4,75%</w:t>
            </w:r>
          </w:p>
        </w:tc>
        <w:tc>
          <w:tcPr>
            <w:tcW w:w="0" w:type="auto"/>
            <w:hideMark/>
          </w:tcPr>
          <w:p w14:paraId="04A01890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0,15%</w:t>
            </w:r>
          </w:p>
        </w:tc>
      </w:tr>
      <w:tr w:rsidR="00F70D60" w:rsidRPr="00F70D60" w14:paraId="168D640E" w14:textId="77777777" w:rsidTr="0057412D">
        <w:tc>
          <w:tcPr>
            <w:tcW w:w="0" w:type="auto"/>
            <w:hideMark/>
          </w:tcPr>
          <w:p w14:paraId="48A7D926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MT_rep2</w:t>
            </w:r>
          </w:p>
        </w:tc>
        <w:tc>
          <w:tcPr>
            <w:tcW w:w="0" w:type="auto"/>
            <w:hideMark/>
          </w:tcPr>
          <w:p w14:paraId="6A4269B5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3 983 955</w:t>
            </w:r>
          </w:p>
        </w:tc>
        <w:tc>
          <w:tcPr>
            <w:tcW w:w="0" w:type="auto"/>
            <w:hideMark/>
          </w:tcPr>
          <w:p w14:paraId="10DE3BF8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94,24%</w:t>
            </w:r>
          </w:p>
        </w:tc>
        <w:tc>
          <w:tcPr>
            <w:tcW w:w="0" w:type="auto"/>
            <w:hideMark/>
          </w:tcPr>
          <w:p w14:paraId="38AF4C32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4,92%</w:t>
            </w:r>
          </w:p>
        </w:tc>
        <w:tc>
          <w:tcPr>
            <w:tcW w:w="0" w:type="auto"/>
            <w:hideMark/>
          </w:tcPr>
          <w:p w14:paraId="380AEF5C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0,77%</w:t>
            </w:r>
          </w:p>
        </w:tc>
      </w:tr>
      <w:tr w:rsidR="00F70D60" w:rsidRPr="00F70D60" w14:paraId="4FD69F41" w14:textId="77777777" w:rsidTr="0057412D">
        <w:tc>
          <w:tcPr>
            <w:tcW w:w="0" w:type="auto"/>
            <w:hideMark/>
          </w:tcPr>
          <w:p w14:paraId="49443970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MT_rep3</w:t>
            </w:r>
          </w:p>
        </w:tc>
        <w:tc>
          <w:tcPr>
            <w:tcW w:w="0" w:type="auto"/>
            <w:hideMark/>
          </w:tcPr>
          <w:p w14:paraId="595C5B0C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3 911 391</w:t>
            </w:r>
          </w:p>
        </w:tc>
        <w:tc>
          <w:tcPr>
            <w:tcW w:w="0" w:type="auto"/>
            <w:hideMark/>
          </w:tcPr>
          <w:p w14:paraId="471DC1A3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94,80%</w:t>
            </w:r>
          </w:p>
        </w:tc>
        <w:tc>
          <w:tcPr>
            <w:tcW w:w="0" w:type="auto"/>
            <w:hideMark/>
          </w:tcPr>
          <w:p w14:paraId="5B9A61BB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4,91%</w:t>
            </w:r>
          </w:p>
        </w:tc>
        <w:tc>
          <w:tcPr>
            <w:tcW w:w="0" w:type="auto"/>
            <w:hideMark/>
          </w:tcPr>
          <w:p w14:paraId="4CA422C4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0,23%</w:t>
            </w:r>
          </w:p>
        </w:tc>
      </w:tr>
    </w:tbl>
    <w:p w14:paraId="77A86996" w14:textId="77777777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</w:rPr>
        <w:t>Uzyskany odsetek unikalnie zmapowanych odczytów (94,2–95,1%) jest bardzo dobrym wynikiem dla danych RNA-seq człowieka.</w:t>
      </w:r>
    </w:p>
    <w:p w14:paraId="12E78BB1" w14:textId="2E8CAC2B" w:rsidR="00F70D60" w:rsidRDefault="00F70D60" w:rsidP="0057412D">
      <w:pPr>
        <w:jc w:val="both"/>
        <w:rPr>
          <w:rFonts w:ascii="Lato" w:hAnsi="Lato"/>
        </w:rPr>
      </w:pPr>
    </w:p>
    <w:p w14:paraId="0705AA53" w14:textId="77777777" w:rsidR="0057412D" w:rsidRPr="00F70D60" w:rsidRDefault="0057412D" w:rsidP="0057412D">
      <w:pPr>
        <w:jc w:val="both"/>
        <w:rPr>
          <w:rFonts w:ascii="Lato" w:hAnsi="Lato"/>
        </w:rPr>
      </w:pPr>
    </w:p>
    <w:p w14:paraId="57E6C3DD" w14:textId="624CE594" w:rsidR="00F70D60" w:rsidRPr="00F70D60" w:rsidRDefault="00F70D60" w:rsidP="0057412D">
      <w:pPr>
        <w:jc w:val="both"/>
        <w:rPr>
          <w:rFonts w:ascii="Lato" w:hAnsi="Lato"/>
          <w:b/>
          <w:bCs/>
        </w:rPr>
      </w:pPr>
      <w:r w:rsidRPr="00F70D60">
        <w:rPr>
          <w:rFonts w:ascii="Lato" w:hAnsi="Lato"/>
          <w:b/>
          <w:bCs/>
        </w:rPr>
        <w:lastRenderedPageBreak/>
        <w:t>6.Wizualizacja w IGV</w:t>
      </w:r>
    </w:p>
    <w:p w14:paraId="4AF4E8D3" w14:textId="77777777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</w:rPr>
        <w:t xml:space="preserve">Program: </w:t>
      </w:r>
      <w:r w:rsidRPr="00F70D60">
        <w:rPr>
          <w:rFonts w:ascii="Lato" w:hAnsi="Lato"/>
          <w:b/>
          <w:bCs/>
        </w:rPr>
        <w:t>IGV</w:t>
      </w:r>
      <w:r w:rsidRPr="00F70D60">
        <w:rPr>
          <w:rFonts w:ascii="Lato" w:hAnsi="Lato"/>
        </w:rPr>
        <w:t xml:space="preserve">, genom referencyjny Human GRCh38/hg38, region genu </w:t>
      </w:r>
      <w:r w:rsidRPr="00F70D60">
        <w:rPr>
          <w:rFonts w:ascii="Lato" w:hAnsi="Lato"/>
          <w:b/>
          <w:bCs/>
        </w:rPr>
        <w:t>MX1</w:t>
      </w:r>
      <w:r w:rsidRPr="00F70D60">
        <w:rPr>
          <w:rFonts w:ascii="Lato" w:hAnsi="Lato"/>
        </w:rPr>
        <w:t xml:space="preserve"> (chr21:41,424,239–41,461,212), próbki WT_rep1–3 i MT_rep1–3.</w:t>
      </w:r>
    </w:p>
    <w:p w14:paraId="3094C3F0" w14:textId="003C4436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</w:rPr>
        <mc:AlternateContent>
          <mc:Choice Requires="wps">
            <w:drawing>
              <wp:inline distT="0" distB="0" distL="0" distR="0" wp14:anchorId="74BF0DE3" wp14:editId="14970234">
                <wp:extent cx="304800" cy="304800"/>
                <wp:effectExtent l="0" t="0" r="0" b="0"/>
                <wp:docPr id="1271908673" name="Prostokąt 12" descr="Widok IGV regionu genu MX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1D1751" id="Prostokąt 12" o:spid="_x0000_s1026" alt="Widok IGV regionu genu MX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2DAD7F" w14:textId="77777777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  <w:b/>
          <w:bCs/>
        </w:rPr>
        <w:t>Zaobserwowane cechy:</w:t>
      </w:r>
    </w:p>
    <w:p w14:paraId="72DEDA89" w14:textId="77777777" w:rsidR="00F70D60" w:rsidRPr="00F70D60" w:rsidRDefault="00F70D60" w:rsidP="0057412D">
      <w:pPr>
        <w:numPr>
          <w:ilvl w:val="0"/>
          <w:numId w:val="2"/>
        </w:numPr>
        <w:jc w:val="both"/>
        <w:rPr>
          <w:rFonts w:ascii="Lato" w:hAnsi="Lato"/>
        </w:rPr>
      </w:pPr>
      <w:r w:rsidRPr="00F70D60">
        <w:rPr>
          <w:rFonts w:ascii="Lato" w:hAnsi="Lato"/>
          <w:b/>
          <w:bCs/>
        </w:rPr>
        <w:t>Różnice między grupami:</w:t>
      </w:r>
      <w:r w:rsidRPr="00F70D60">
        <w:rPr>
          <w:rFonts w:ascii="Lato" w:hAnsi="Lato"/>
        </w:rPr>
        <w:t xml:space="preserve"> próbki zakażone (MT) wykazują liczniejsze i grubsze łuki splicingowe oraz wyższe piki pokrycia niż próbki kontrolne (WT), co odpowiada podwyższonej ekspresji genu MX1 w warunkach infekcji.</w:t>
      </w:r>
    </w:p>
    <w:p w14:paraId="6A72B759" w14:textId="77777777" w:rsidR="00F70D60" w:rsidRPr="00F70D60" w:rsidRDefault="00F70D60" w:rsidP="0057412D">
      <w:pPr>
        <w:numPr>
          <w:ilvl w:val="0"/>
          <w:numId w:val="2"/>
        </w:numPr>
        <w:jc w:val="both"/>
        <w:rPr>
          <w:rFonts w:ascii="Lato" w:hAnsi="Lato"/>
        </w:rPr>
      </w:pPr>
      <w:r w:rsidRPr="00F70D60">
        <w:rPr>
          <w:rFonts w:ascii="Lato" w:hAnsi="Lato"/>
          <w:b/>
          <w:bCs/>
        </w:rPr>
        <w:t>Jakość mapowania:</w:t>
      </w:r>
      <w:r w:rsidRPr="00F70D60">
        <w:rPr>
          <w:rFonts w:ascii="Lato" w:hAnsi="Lato"/>
        </w:rPr>
        <w:t xml:space="preserve"> brak nieoczekiwanych przerw w pokryciu, spójna struktura eksonowa między wszystkimi próbkami.</w:t>
      </w:r>
    </w:p>
    <w:p w14:paraId="4DF0BBA8" w14:textId="238F456A" w:rsidR="00F70D60" w:rsidRPr="00F70D60" w:rsidRDefault="00F70D60" w:rsidP="0057412D">
      <w:pPr>
        <w:jc w:val="both"/>
        <w:rPr>
          <w:rFonts w:ascii="Lato" w:hAnsi="Lato"/>
        </w:rPr>
      </w:pPr>
    </w:p>
    <w:p w14:paraId="275BEC35" w14:textId="0233E74A" w:rsidR="00F70D60" w:rsidRPr="00F70D60" w:rsidRDefault="00F70D60" w:rsidP="0057412D">
      <w:pPr>
        <w:jc w:val="both"/>
        <w:rPr>
          <w:rFonts w:ascii="Lato" w:hAnsi="Lato"/>
          <w:b/>
          <w:bCs/>
        </w:rPr>
      </w:pPr>
      <w:r w:rsidRPr="00F70D60">
        <w:rPr>
          <w:rFonts w:ascii="Lato" w:hAnsi="Lato"/>
          <w:b/>
          <w:bCs/>
        </w:rPr>
        <w:t>7. Sprawdzanie biblioteki RNA</w:t>
      </w:r>
    </w:p>
    <w:p w14:paraId="0C816E5F" w14:textId="77777777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  <w:b/>
          <w:bCs/>
        </w:rPr>
        <w:t>Narzędzie:</w:t>
      </w:r>
      <w:r w:rsidRPr="00F70D60">
        <w:rPr>
          <w:rFonts w:ascii="Lato" w:hAnsi="Lato"/>
        </w:rPr>
        <w:t xml:space="preserve"> RSeQC, infer_experiment.py.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200"/>
        <w:gridCol w:w="1636"/>
        <w:gridCol w:w="1104"/>
        <w:gridCol w:w="1062"/>
      </w:tblGrid>
      <w:tr w:rsidR="00F70D60" w:rsidRPr="00F70D60" w14:paraId="26F9672D" w14:textId="77777777" w:rsidTr="00F2798F">
        <w:trPr>
          <w:jc w:val="center"/>
        </w:trPr>
        <w:tc>
          <w:tcPr>
            <w:tcW w:w="0" w:type="auto"/>
            <w:hideMark/>
          </w:tcPr>
          <w:p w14:paraId="5C73E011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  <w:b/>
                <w:bCs/>
              </w:rPr>
            </w:pPr>
            <w:r w:rsidRPr="00F70D60">
              <w:rPr>
                <w:rFonts w:ascii="Lato" w:hAnsi="Lato"/>
                <w:b/>
                <w:bCs/>
              </w:rPr>
              <w:t>Próbka</w:t>
            </w:r>
          </w:p>
        </w:tc>
        <w:tc>
          <w:tcPr>
            <w:tcW w:w="0" w:type="auto"/>
            <w:hideMark/>
          </w:tcPr>
          <w:p w14:paraId="6467D6CC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  <w:b/>
                <w:bCs/>
              </w:rPr>
            </w:pPr>
            <w:r w:rsidRPr="00F70D60">
              <w:rPr>
                <w:rFonts w:ascii="Lato" w:hAnsi="Lato"/>
                <w:b/>
                <w:bCs/>
              </w:rPr>
              <w:t>Nieokreślone</w:t>
            </w:r>
          </w:p>
        </w:tc>
        <w:tc>
          <w:tcPr>
            <w:tcW w:w="0" w:type="auto"/>
            <w:hideMark/>
          </w:tcPr>
          <w:p w14:paraId="7EA83C27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  <w:b/>
                <w:bCs/>
              </w:rPr>
            </w:pPr>
            <w:r w:rsidRPr="00F70D60">
              <w:rPr>
                <w:rFonts w:ascii="Lato" w:hAnsi="Lato"/>
                <w:b/>
                <w:bCs/>
              </w:rPr>
              <w:t>Forward</w:t>
            </w:r>
          </w:p>
        </w:tc>
        <w:tc>
          <w:tcPr>
            <w:tcW w:w="0" w:type="auto"/>
            <w:hideMark/>
          </w:tcPr>
          <w:p w14:paraId="1718A187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  <w:b/>
                <w:bCs/>
              </w:rPr>
            </w:pPr>
            <w:r w:rsidRPr="00F70D60">
              <w:rPr>
                <w:rFonts w:ascii="Lato" w:hAnsi="Lato"/>
                <w:b/>
                <w:bCs/>
              </w:rPr>
              <w:t>Reverse</w:t>
            </w:r>
          </w:p>
        </w:tc>
      </w:tr>
      <w:tr w:rsidR="00F70D60" w:rsidRPr="00F70D60" w14:paraId="0F750290" w14:textId="77777777" w:rsidTr="00F2798F">
        <w:trPr>
          <w:jc w:val="center"/>
        </w:trPr>
        <w:tc>
          <w:tcPr>
            <w:tcW w:w="0" w:type="auto"/>
            <w:hideMark/>
          </w:tcPr>
          <w:p w14:paraId="48F7E67D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WT_rep1</w:t>
            </w:r>
          </w:p>
        </w:tc>
        <w:tc>
          <w:tcPr>
            <w:tcW w:w="0" w:type="auto"/>
            <w:hideMark/>
          </w:tcPr>
          <w:p w14:paraId="69522BA4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15,4%</w:t>
            </w:r>
          </w:p>
        </w:tc>
        <w:tc>
          <w:tcPr>
            <w:tcW w:w="0" w:type="auto"/>
            <w:hideMark/>
          </w:tcPr>
          <w:p w14:paraId="10611171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3,1%</w:t>
            </w:r>
          </w:p>
        </w:tc>
        <w:tc>
          <w:tcPr>
            <w:tcW w:w="0" w:type="auto"/>
            <w:hideMark/>
          </w:tcPr>
          <w:p w14:paraId="76E6CDE0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81,6%</w:t>
            </w:r>
          </w:p>
        </w:tc>
      </w:tr>
      <w:tr w:rsidR="00F70D60" w:rsidRPr="00F70D60" w14:paraId="22557909" w14:textId="77777777" w:rsidTr="00F2798F">
        <w:trPr>
          <w:jc w:val="center"/>
        </w:trPr>
        <w:tc>
          <w:tcPr>
            <w:tcW w:w="0" w:type="auto"/>
            <w:hideMark/>
          </w:tcPr>
          <w:p w14:paraId="16F00F47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WT_rep2</w:t>
            </w:r>
          </w:p>
        </w:tc>
        <w:tc>
          <w:tcPr>
            <w:tcW w:w="0" w:type="auto"/>
            <w:hideMark/>
          </w:tcPr>
          <w:p w14:paraId="1286DCC7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16,4%</w:t>
            </w:r>
          </w:p>
        </w:tc>
        <w:tc>
          <w:tcPr>
            <w:tcW w:w="0" w:type="auto"/>
            <w:hideMark/>
          </w:tcPr>
          <w:p w14:paraId="5AD08ACB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3,0%</w:t>
            </w:r>
          </w:p>
        </w:tc>
        <w:tc>
          <w:tcPr>
            <w:tcW w:w="0" w:type="auto"/>
            <w:hideMark/>
          </w:tcPr>
          <w:p w14:paraId="0D69790C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80,6%</w:t>
            </w:r>
          </w:p>
        </w:tc>
      </w:tr>
      <w:tr w:rsidR="00F70D60" w:rsidRPr="00F70D60" w14:paraId="7E18E9E1" w14:textId="77777777" w:rsidTr="00F2798F">
        <w:trPr>
          <w:jc w:val="center"/>
        </w:trPr>
        <w:tc>
          <w:tcPr>
            <w:tcW w:w="0" w:type="auto"/>
            <w:hideMark/>
          </w:tcPr>
          <w:p w14:paraId="4411002C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WT_rep3</w:t>
            </w:r>
          </w:p>
        </w:tc>
        <w:tc>
          <w:tcPr>
            <w:tcW w:w="0" w:type="auto"/>
            <w:hideMark/>
          </w:tcPr>
          <w:p w14:paraId="5B4070C6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15,9%</w:t>
            </w:r>
          </w:p>
        </w:tc>
        <w:tc>
          <w:tcPr>
            <w:tcW w:w="0" w:type="auto"/>
            <w:hideMark/>
          </w:tcPr>
          <w:p w14:paraId="52333F22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3,1%</w:t>
            </w:r>
          </w:p>
        </w:tc>
        <w:tc>
          <w:tcPr>
            <w:tcW w:w="0" w:type="auto"/>
            <w:hideMark/>
          </w:tcPr>
          <w:p w14:paraId="1309E813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81,0%</w:t>
            </w:r>
          </w:p>
        </w:tc>
      </w:tr>
      <w:tr w:rsidR="00F70D60" w:rsidRPr="00F70D60" w14:paraId="7F2F213A" w14:textId="77777777" w:rsidTr="00F2798F">
        <w:trPr>
          <w:jc w:val="center"/>
        </w:trPr>
        <w:tc>
          <w:tcPr>
            <w:tcW w:w="0" w:type="auto"/>
            <w:hideMark/>
          </w:tcPr>
          <w:p w14:paraId="1CD159CC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MT_rep1</w:t>
            </w:r>
          </w:p>
        </w:tc>
        <w:tc>
          <w:tcPr>
            <w:tcW w:w="0" w:type="auto"/>
            <w:hideMark/>
          </w:tcPr>
          <w:p w14:paraId="266EA0BB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15,5%</w:t>
            </w:r>
          </w:p>
        </w:tc>
        <w:tc>
          <w:tcPr>
            <w:tcW w:w="0" w:type="auto"/>
            <w:hideMark/>
          </w:tcPr>
          <w:p w14:paraId="7D18F38E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3,1%</w:t>
            </w:r>
          </w:p>
        </w:tc>
        <w:tc>
          <w:tcPr>
            <w:tcW w:w="0" w:type="auto"/>
            <w:hideMark/>
          </w:tcPr>
          <w:p w14:paraId="414495AF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81,4%</w:t>
            </w:r>
          </w:p>
        </w:tc>
      </w:tr>
      <w:tr w:rsidR="00F70D60" w:rsidRPr="00F70D60" w14:paraId="70F4CB3C" w14:textId="77777777" w:rsidTr="00F2798F">
        <w:trPr>
          <w:jc w:val="center"/>
        </w:trPr>
        <w:tc>
          <w:tcPr>
            <w:tcW w:w="0" w:type="auto"/>
            <w:hideMark/>
          </w:tcPr>
          <w:p w14:paraId="4E1AB949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MT_rep2</w:t>
            </w:r>
          </w:p>
        </w:tc>
        <w:tc>
          <w:tcPr>
            <w:tcW w:w="0" w:type="auto"/>
            <w:hideMark/>
          </w:tcPr>
          <w:p w14:paraId="7243123D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15,4%</w:t>
            </w:r>
          </w:p>
        </w:tc>
        <w:tc>
          <w:tcPr>
            <w:tcW w:w="0" w:type="auto"/>
            <w:hideMark/>
          </w:tcPr>
          <w:p w14:paraId="121F9D82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4,8%</w:t>
            </w:r>
          </w:p>
        </w:tc>
        <w:tc>
          <w:tcPr>
            <w:tcW w:w="0" w:type="auto"/>
            <w:hideMark/>
          </w:tcPr>
          <w:p w14:paraId="61EA34B4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79,8%</w:t>
            </w:r>
          </w:p>
        </w:tc>
      </w:tr>
      <w:tr w:rsidR="00F70D60" w:rsidRPr="00F70D60" w14:paraId="1FCD6CBE" w14:textId="77777777" w:rsidTr="00F2798F">
        <w:trPr>
          <w:jc w:val="center"/>
        </w:trPr>
        <w:tc>
          <w:tcPr>
            <w:tcW w:w="0" w:type="auto"/>
            <w:hideMark/>
          </w:tcPr>
          <w:p w14:paraId="7A25A192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MT_rep3</w:t>
            </w:r>
          </w:p>
        </w:tc>
        <w:tc>
          <w:tcPr>
            <w:tcW w:w="0" w:type="auto"/>
            <w:hideMark/>
          </w:tcPr>
          <w:p w14:paraId="10B46A15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15,6%</w:t>
            </w:r>
          </w:p>
        </w:tc>
        <w:tc>
          <w:tcPr>
            <w:tcW w:w="0" w:type="auto"/>
            <w:hideMark/>
          </w:tcPr>
          <w:p w14:paraId="74566DD5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4,7%</w:t>
            </w:r>
          </w:p>
        </w:tc>
        <w:tc>
          <w:tcPr>
            <w:tcW w:w="0" w:type="auto"/>
            <w:hideMark/>
          </w:tcPr>
          <w:p w14:paraId="32C08C26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79,7%</w:t>
            </w:r>
          </w:p>
        </w:tc>
      </w:tr>
    </w:tbl>
    <w:p w14:paraId="26D16DD2" w14:textId="77777777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  <w:b/>
          <w:bCs/>
        </w:rPr>
        <w:t>Wynik:</w:t>
      </w:r>
      <w:r w:rsidRPr="00F70D60">
        <w:rPr>
          <w:rFonts w:ascii="Lato" w:hAnsi="Lato"/>
        </w:rPr>
        <w:t xml:space="preserve"> biblioteka typu </w:t>
      </w:r>
      <w:r w:rsidRPr="00F70D60">
        <w:rPr>
          <w:rFonts w:ascii="Lato" w:hAnsi="Lato"/>
          <w:b/>
          <w:bCs/>
        </w:rPr>
        <w:t>stranded, reverse (SE-SR)</w:t>
      </w:r>
      <w:r w:rsidRPr="00F70D60">
        <w:rPr>
          <w:rFonts w:ascii="Lato" w:hAnsi="Lato"/>
        </w:rPr>
        <w:t>, spójnie we wszystkich 6 próbkach. Ustawienie zastosowane w kolejnym kroku: strandSpecific = 2.</w:t>
      </w:r>
    </w:p>
    <w:p w14:paraId="4B6EDEFD" w14:textId="7C6F56A0" w:rsidR="00F70D60" w:rsidRPr="00F70D60" w:rsidRDefault="00F70D60" w:rsidP="0057412D">
      <w:pPr>
        <w:jc w:val="both"/>
        <w:rPr>
          <w:rFonts w:ascii="Lato" w:hAnsi="Lato"/>
        </w:rPr>
      </w:pPr>
    </w:p>
    <w:p w14:paraId="776D779C" w14:textId="1E1B0422" w:rsidR="00F70D60" w:rsidRPr="00F70D60" w:rsidRDefault="00F70D60" w:rsidP="0057412D">
      <w:pPr>
        <w:jc w:val="both"/>
        <w:rPr>
          <w:rFonts w:ascii="Lato" w:hAnsi="Lato"/>
          <w:b/>
          <w:bCs/>
        </w:rPr>
      </w:pPr>
      <w:r w:rsidRPr="00F70D60">
        <w:rPr>
          <w:rFonts w:ascii="Lato" w:hAnsi="Lato"/>
          <w:b/>
          <w:bCs/>
        </w:rPr>
        <w:t>8. Utworzenie macierzy zliczeń</w:t>
      </w:r>
    </w:p>
    <w:p w14:paraId="3D92847F" w14:textId="77777777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  <w:b/>
          <w:bCs/>
        </w:rPr>
        <w:t>Narzędzie:</w:t>
      </w:r>
      <w:r w:rsidRPr="00F70D60">
        <w:rPr>
          <w:rFonts w:ascii="Lato" w:hAnsi="Lato"/>
        </w:rPr>
        <w:t xml:space="preserve"> featureCounts (pakiet Rsubread). </w:t>
      </w:r>
      <w:r w:rsidRPr="00F70D60">
        <w:rPr>
          <w:rFonts w:ascii="Lato" w:hAnsi="Lato"/>
          <w:lang w:val="fr-BE"/>
        </w:rPr>
        <w:t xml:space="preserve">Adnotacja genów: Ensembl release 111 (63 241 genów). </w:t>
      </w:r>
      <w:r w:rsidRPr="00F70D60">
        <w:rPr>
          <w:rFonts w:ascii="Lato" w:hAnsi="Lato"/>
        </w:rPr>
        <w:t>Normalizacja zastosowana na etapie analizy różnicowej (DESeq2, normalizacja median-of-ratios).</w:t>
      </w:r>
    </w:p>
    <w:p w14:paraId="38F1DA79" w14:textId="77777777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</w:rPr>
        <w:t>featureCounts(files = pliki_bam,</w:t>
      </w:r>
    </w:p>
    <w:p w14:paraId="315721BC" w14:textId="77777777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</w:rPr>
        <w:t xml:space="preserve">    annot.ext = "reference/Homo_sapiens.GRCh38.111.gtf",</w:t>
      </w:r>
    </w:p>
    <w:p w14:paraId="76B5F19A" w14:textId="77777777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</w:rPr>
        <w:t xml:space="preserve">    isGTFAnnotationFile = TRUE,</w:t>
      </w:r>
    </w:p>
    <w:p w14:paraId="3D0285A6" w14:textId="77777777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</w:rPr>
        <w:lastRenderedPageBreak/>
        <w:t xml:space="preserve">    GTF.featureType = "exon", GTF.attrType = "gene_id",</w:t>
      </w:r>
    </w:p>
    <w:p w14:paraId="24CE0FF1" w14:textId="77777777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</w:rPr>
        <w:t xml:space="preserve">    isPairedEnd = FALSE,</w:t>
      </w:r>
    </w:p>
    <w:p w14:paraId="104653D7" w14:textId="77777777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</w:rPr>
        <w:t xml:space="preserve">    strandSpecific = 2,</w:t>
      </w:r>
    </w:p>
    <w:p w14:paraId="750B16ED" w14:textId="77777777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</w:rPr>
        <w:t xml:space="preserve">    nthreads = 4)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200"/>
        <w:gridCol w:w="2450"/>
        <w:gridCol w:w="2485"/>
        <w:gridCol w:w="1865"/>
      </w:tblGrid>
      <w:tr w:rsidR="00F70D60" w:rsidRPr="00F70D60" w14:paraId="37B2BD85" w14:textId="77777777" w:rsidTr="00F2798F">
        <w:trPr>
          <w:jc w:val="center"/>
        </w:trPr>
        <w:tc>
          <w:tcPr>
            <w:tcW w:w="0" w:type="auto"/>
            <w:hideMark/>
          </w:tcPr>
          <w:p w14:paraId="457B684D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  <w:b/>
                <w:bCs/>
              </w:rPr>
            </w:pPr>
            <w:r w:rsidRPr="00F70D60">
              <w:rPr>
                <w:rFonts w:ascii="Lato" w:hAnsi="Lato"/>
                <w:b/>
                <w:bCs/>
              </w:rPr>
              <w:t>Próbka</w:t>
            </w:r>
          </w:p>
        </w:tc>
        <w:tc>
          <w:tcPr>
            <w:tcW w:w="0" w:type="auto"/>
            <w:hideMark/>
          </w:tcPr>
          <w:p w14:paraId="2A5D2286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  <w:b/>
                <w:bCs/>
              </w:rPr>
            </w:pPr>
            <w:r w:rsidRPr="00F70D60">
              <w:rPr>
                <w:rFonts w:ascii="Lato" w:hAnsi="Lato"/>
                <w:b/>
                <w:bCs/>
              </w:rPr>
              <w:t>Odczyty (alignments)</w:t>
            </w:r>
          </w:p>
        </w:tc>
        <w:tc>
          <w:tcPr>
            <w:tcW w:w="0" w:type="auto"/>
            <w:hideMark/>
          </w:tcPr>
          <w:p w14:paraId="52022C45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  <w:b/>
                <w:bCs/>
              </w:rPr>
            </w:pPr>
            <w:r w:rsidRPr="00F70D60">
              <w:rPr>
                <w:rFonts w:ascii="Lato" w:hAnsi="Lato"/>
                <w:b/>
                <w:bCs/>
              </w:rPr>
              <w:t>Przypisane do genów</w:t>
            </w:r>
          </w:p>
        </w:tc>
        <w:tc>
          <w:tcPr>
            <w:tcW w:w="0" w:type="auto"/>
            <w:hideMark/>
          </w:tcPr>
          <w:p w14:paraId="386938BF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  <w:b/>
                <w:bCs/>
              </w:rPr>
            </w:pPr>
            <w:r w:rsidRPr="00F70D60">
              <w:rPr>
                <w:rFonts w:ascii="Lato" w:hAnsi="Lato"/>
                <w:b/>
                <w:bCs/>
              </w:rPr>
              <w:t>% przypisanych</w:t>
            </w:r>
          </w:p>
        </w:tc>
      </w:tr>
      <w:tr w:rsidR="00F70D60" w:rsidRPr="00F70D60" w14:paraId="4DEB834E" w14:textId="77777777" w:rsidTr="00F2798F">
        <w:trPr>
          <w:jc w:val="center"/>
        </w:trPr>
        <w:tc>
          <w:tcPr>
            <w:tcW w:w="0" w:type="auto"/>
            <w:hideMark/>
          </w:tcPr>
          <w:p w14:paraId="5F1D71C1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WT_rep1</w:t>
            </w:r>
          </w:p>
        </w:tc>
        <w:tc>
          <w:tcPr>
            <w:tcW w:w="0" w:type="auto"/>
            <w:hideMark/>
          </w:tcPr>
          <w:p w14:paraId="07A1DC2C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4 458 984</w:t>
            </w:r>
          </w:p>
        </w:tc>
        <w:tc>
          <w:tcPr>
            <w:tcW w:w="0" w:type="auto"/>
            <w:hideMark/>
          </w:tcPr>
          <w:p w14:paraId="67883C67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3 722 581</w:t>
            </w:r>
          </w:p>
        </w:tc>
        <w:tc>
          <w:tcPr>
            <w:tcW w:w="0" w:type="auto"/>
            <w:hideMark/>
          </w:tcPr>
          <w:p w14:paraId="70823300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83,5%</w:t>
            </w:r>
          </w:p>
        </w:tc>
      </w:tr>
      <w:tr w:rsidR="00F70D60" w:rsidRPr="00F70D60" w14:paraId="62E59061" w14:textId="77777777" w:rsidTr="00F2798F">
        <w:trPr>
          <w:jc w:val="center"/>
        </w:trPr>
        <w:tc>
          <w:tcPr>
            <w:tcW w:w="0" w:type="auto"/>
            <w:hideMark/>
          </w:tcPr>
          <w:p w14:paraId="5F192E5C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WT_rep2</w:t>
            </w:r>
          </w:p>
        </w:tc>
        <w:tc>
          <w:tcPr>
            <w:tcW w:w="0" w:type="auto"/>
            <w:hideMark/>
          </w:tcPr>
          <w:p w14:paraId="64147642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4 371 934</w:t>
            </w:r>
          </w:p>
        </w:tc>
        <w:tc>
          <w:tcPr>
            <w:tcW w:w="0" w:type="auto"/>
            <w:hideMark/>
          </w:tcPr>
          <w:p w14:paraId="00099EF8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3 652 087</w:t>
            </w:r>
          </w:p>
        </w:tc>
        <w:tc>
          <w:tcPr>
            <w:tcW w:w="0" w:type="auto"/>
            <w:hideMark/>
          </w:tcPr>
          <w:p w14:paraId="0C242D2B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83,5%</w:t>
            </w:r>
          </w:p>
        </w:tc>
      </w:tr>
      <w:tr w:rsidR="00F70D60" w:rsidRPr="00F70D60" w14:paraId="5B101245" w14:textId="77777777" w:rsidTr="00F2798F">
        <w:trPr>
          <w:jc w:val="center"/>
        </w:trPr>
        <w:tc>
          <w:tcPr>
            <w:tcW w:w="0" w:type="auto"/>
            <w:hideMark/>
          </w:tcPr>
          <w:p w14:paraId="1BE0C4DB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WT_rep3</w:t>
            </w:r>
          </w:p>
        </w:tc>
        <w:tc>
          <w:tcPr>
            <w:tcW w:w="0" w:type="auto"/>
            <w:hideMark/>
          </w:tcPr>
          <w:p w14:paraId="18ECD13D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4 542 479</w:t>
            </w:r>
          </w:p>
        </w:tc>
        <w:tc>
          <w:tcPr>
            <w:tcW w:w="0" w:type="auto"/>
            <w:hideMark/>
          </w:tcPr>
          <w:p w14:paraId="5023D62B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3 791 405</w:t>
            </w:r>
          </w:p>
        </w:tc>
        <w:tc>
          <w:tcPr>
            <w:tcW w:w="0" w:type="auto"/>
            <w:hideMark/>
          </w:tcPr>
          <w:p w14:paraId="09DC14A1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83,5%</w:t>
            </w:r>
          </w:p>
        </w:tc>
      </w:tr>
      <w:tr w:rsidR="00F70D60" w:rsidRPr="00F70D60" w14:paraId="7F61ABC8" w14:textId="77777777" w:rsidTr="00F2798F">
        <w:trPr>
          <w:jc w:val="center"/>
        </w:trPr>
        <w:tc>
          <w:tcPr>
            <w:tcW w:w="0" w:type="auto"/>
            <w:hideMark/>
          </w:tcPr>
          <w:p w14:paraId="1299BA3C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MT_rep1</w:t>
            </w:r>
          </w:p>
        </w:tc>
        <w:tc>
          <w:tcPr>
            <w:tcW w:w="0" w:type="auto"/>
            <w:hideMark/>
          </w:tcPr>
          <w:p w14:paraId="2E8A491E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4 465 327</w:t>
            </w:r>
          </w:p>
        </w:tc>
        <w:tc>
          <w:tcPr>
            <w:tcW w:w="0" w:type="auto"/>
            <w:hideMark/>
          </w:tcPr>
          <w:p w14:paraId="0A23DC05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3 727 688</w:t>
            </w:r>
          </w:p>
        </w:tc>
        <w:tc>
          <w:tcPr>
            <w:tcW w:w="0" w:type="auto"/>
            <w:hideMark/>
          </w:tcPr>
          <w:p w14:paraId="1CBC504F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83,5%</w:t>
            </w:r>
          </w:p>
        </w:tc>
      </w:tr>
      <w:tr w:rsidR="00F70D60" w:rsidRPr="00F70D60" w14:paraId="28B277E2" w14:textId="77777777" w:rsidTr="00F2798F">
        <w:trPr>
          <w:jc w:val="center"/>
        </w:trPr>
        <w:tc>
          <w:tcPr>
            <w:tcW w:w="0" w:type="auto"/>
            <w:hideMark/>
          </w:tcPr>
          <w:p w14:paraId="610803A0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MT_rep2</w:t>
            </w:r>
          </w:p>
        </w:tc>
        <w:tc>
          <w:tcPr>
            <w:tcW w:w="0" w:type="auto"/>
            <w:hideMark/>
          </w:tcPr>
          <w:p w14:paraId="0B800797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4 325 172</w:t>
            </w:r>
          </w:p>
        </w:tc>
        <w:tc>
          <w:tcPr>
            <w:tcW w:w="0" w:type="auto"/>
            <w:hideMark/>
          </w:tcPr>
          <w:p w14:paraId="49AFE600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3 487 456</w:t>
            </w:r>
          </w:p>
        </w:tc>
        <w:tc>
          <w:tcPr>
            <w:tcW w:w="0" w:type="auto"/>
            <w:hideMark/>
          </w:tcPr>
          <w:p w14:paraId="7C17660A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80,6%</w:t>
            </w:r>
          </w:p>
        </w:tc>
      </w:tr>
      <w:tr w:rsidR="00F70D60" w:rsidRPr="00F70D60" w14:paraId="187D8747" w14:textId="77777777" w:rsidTr="00F2798F">
        <w:trPr>
          <w:jc w:val="center"/>
        </w:trPr>
        <w:tc>
          <w:tcPr>
            <w:tcW w:w="0" w:type="auto"/>
            <w:hideMark/>
          </w:tcPr>
          <w:p w14:paraId="61ADE274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MT_rep3</w:t>
            </w:r>
          </w:p>
        </w:tc>
        <w:tc>
          <w:tcPr>
            <w:tcW w:w="0" w:type="auto"/>
            <w:hideMark/>
          </w:tcPr>
          <w:p w14:paraId="66D575AC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4 265 830</w:t>
            </w:r>
          </w:p>
        </w:tc>
        <w:tc>
          <w:tcPr>
            <w:tcW w:w="0" w:type="auto"/>
            <w:hideMark/>
          </w:tcPr>
          <w:p w14:paraId="26103927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3 442 116</w:t>
            </w:r>
          </w:p>
        </w:tc>
        <w:tc>
          <w:tcPr>
            <w:tcW w:w="0" w:type="auto"/>
            <w:hideMark/>
          </w:tcPr>
          <w:p w14:paraId="576D55B3" w14:textId="77777777" w:rsidR="00F70D60" w:rsidRPr="00F70D60" w:rsidRDefault="00F70D60" w:rsidP="0057412D">
            <w:pPr>
              <w:spacing w:after="160" w:line="278" w:lineRule="auto"/>
              <w:jc w:val="both"/>
              <w:rPr>
                <w:rFonts w:ascii="Lato" w:hAnsi="Lato"/>
              </w:rPr>
            </w:pPr>
            <w:r w:rsidRPr="00F70D60">
              <w:rPr>
                <w:rFonts w:ascii="Lato" w:hAnsi="Lato"/>
              </w:rPr>
              <w:t>80,7%</w:t>
            </w:r>
          </w:p>
        </w:tc>
      </w:tr>
    </w:tbl>
    <w:p w14:paraId="22BB5AB4" w14:textId="77777777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</w:rPr>
        <w:t xml:space="preserve">Wynikiem jest macierz zliczeń o wymiarach </w:t>
      </w:r>
      <w:r w:rsidRPr="00F70D60">
        <w:rPr>
          <w:rFonts w:ascii="Lato" w:hAnsi="Lato"/>
          <w:b/>
          <w:bCs/>
        </w:rPr>
        <w:t>63 241 genów × 6 próbek</w:t>
      </w:r>
      <w:r w:rsidRPr="00F70D60">
        <w:rPr>
          <w:rFonts w:ascii="Lato" w:hAnsi="Lato"/>
        </w:rPr>
        <w:t>.</w:t>
      </w:r>
    </w:p>
    <w:p w14:paraId="08936FCE" w14:textId="1CB0D68B" w:rsidR="00F70D60" w:rsidRPr="00F70D60" w:rsidRDefault="00F70D60" w:rsidP="0057412D">
      <w:pPr>
        <w:jc w:val="both"/>
        <w:rPr>
          <w:rFonts w:ascii="Lato" w:hAnsi="Lato"/>
        </w:rPr>
      </w:pPr>
    </w:p>
    <w:p w14:paraId="1B34DF18" w14:textId="77777777" w:rsidR="00F70D60" w:rsidRPr="00F70D60" w:rsidRDefault="00F70D60" w:rsidP="0057412D">
      <w:pPr>
        <w:jc w:val="both"/>
        <w:rPr>
          <w:rFonts w:ascii="Lato" w:hAnsi="Lato"/>
          <w:b/>
          <w:bCs/>
        </w:rPr>
      </w:pPr>
      <w:r w:rsidRPr="00F70D60">
        <w:rPr>
          <w:rFonts w:ascii="Lato" w:hAnsi="Lato"/>
          <w:b/>
          <w:bCs/>
        </w:rPr>
        <w:t>9. Krok 8 — Analiza różnicowa ekspresji genów</w:t>
      </w:r>
    </w:p>
    <w:p w14:paraId="565F6A78" w14:textId="77777777" w:rsidR="00F70D60" w:rsidRPr="00F70D60" w:rsidRDefault="00F70D60" w:rsidP="0057412D">
      <w:pPr>
        <w:jc w:val="both"/>
        <w:rPr>
          <w:rFonts w:ascii="Lato" w:hAnsi="Lato"/>
          <w:lang w:val="fr-BE"/>
        </w:rPr>
      </w:pPr>
      <w:r w:rsidRPr="00F70D60">
        <w:rPr>
          <w:rFonts w:ascii="Lato" w:hAnsi="Lato"/>
          <w:b/>
          <w:bCs/>
        </w:rPr>
        <w:t>Narzędzie:</w:t>
      </w:r>
      <w:r w:rsidRPr="00F70D60">
        <w:rPr>
          <w:rFonts w:ascii="Lato" w:hAnsi="Lato"/>
        </w:rPr>
        <w:t xml:space="preserve"> DESeq2. </w:t>
      </w:r>
      <w:r w:rsidRPr="00F70D60">
        <w:rPr>
          <w:rFonts w:ascii="Lato" w:hAnsi="Lato"/>
          <w:lang w:val="fr-BE"/>
        </w:rPr>
        <w:t>Kontrast: SARS-CoV-2 (MT) vs Mock (WT).</w:t>
      </w:r>
    </w:p>
    <w:p w14:paraId="258453C3" w14:textId="77777777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  <w:b/>
          <w:bCs/>
        </w:rPr>
        <w:t>Kontrola jakości próbek przed analizą właściwą:</w:t>
      </w:r>
      <w:r w:rsidRPr="00F70D60">
        <w:rPr>
          <w:rFonts w:ascii="Lato" w:hAnsi="Lato"/>
        </w:rPr>
        <w:t xml:space="preserve"> analiza głównych składowych (PCA) na znormalizowanych danych (transformacja VST) wykazała, że próbka MT_rep1 grupuje się transkryptomicznie z próbkami kontrolnymi, a nie z pozostałymi próbkami zakażonymi (MT_rep2, MT_rep3), które tworzyły odrębny, wyraźnie oddzielony klaster (PC1, 76% wariancji). Weryfikację potwierdziły znormalizowane poziomy ekspresji klasycznych genów odpowiedzi przeciwwirusowej (IFIT1, ISG15, MX1, IFI6, CXCL10) — w MT_rep1 pozostawały one na poziomie zbliżonym do próbek kontrolnych, podczas gdy MT_rep2 i MT_rep3 wykazywały ich umiarkowaną indukcję. Na tej podstawie próbkę MT_rep1 wykluczono z dalszej analizy różnicowej jako niereprezentatywną dla efektu badanego warunku.</w:t>
      </w:r>
    </w:p>
    <w:p w14:paraId="608E3555" w14:textId="673556F4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  <w:b/>
          <w:bCs/>
        </w:rPr>
        <w:t>Kryteria filtrowania:</w:t>
      </w:r>
      <w:r w:rsidRPr="00F70D60">
        <w:rPr>
          <w:rFonts w:ascii="Lato" w:hAnsi="Lato"/>
        </w:rPr>
        <w:t xml:space="preserve"> próg istotności statystycznej</w:t>
      </w:r>
      <w:r w:rsidR="00F2798F">
        <w:rPr>
          <w:rFonts w:ascii="Lato" w:hAnsi="Lato"/>
        </w:rPr>
        <w:t xml:space="preserve"> </w:t>
      </w:r>
      <w:r w:rsidRPr="00F70D60">
        <w:rPr>
          <w:rFonts w:ascii="Lato" w:hAnsi="Lato"/>
        </w:rPr>
        <w:t>(Benjamini-Hochberg) &lt; 0,05.</w:t>
      </w:r>
    </w:p>
    <w:p w14:paraId="4AA0E162" w14:textId="77777777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  <w:b/>
          <w:bCs/>
        </w:rPr>
        <w:t>Wynik analizy (n=5: WT_rep1–3, MT_rep2–3): 515 istotnie różnicowo eksprymowanych genów.</w:t>
      </w:r>
    </w:p>
    <w:p w14:paraId="18F34ED6" w14:textId="77777777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  <w:b/>
          <w:bCs/>
        </w:rPr>
        <w:t>Wykresy rozkładu ekspresji:</w:t>
      </w:r>
    </w:p>
    <w:p w14:paraId="4924203D" w14:textId="28F9237C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</w:rPr>
        <w:lastRenderedPageBreak/>
        <mc:AlternateContent>
          <mc:Choice Requires="wps">
            <w:drawing>
              <wp:inline distT="0" distB="0" distL="0" distR="0" wp14:anchorId="5AE8ECED" wp14:editId="53F76DD6">
                <wp:extent cx="304800" cy="304800"/>
                <wp:effectExtent l="0" t="0" r="0" b="0"/>
                <wp:docPr id="1427727846" name="Prostokąt 11" descr="MA-plo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D0C342" id="Prostokąt 11" o:spid="_x0000_s1026" alt="MA-plo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F2798F">
        <w:rPr>
          <w:noProof/>
        </w:rPr>
        <w:drawing>
          <wp:inline distT="0" distB="0" distL="0" distR="0" wp14:anchorId="6F472B2B" wp14:editId="2FB1198F">
            <wp:extent cx="4695281" cy="3651885"/>
            <wp:effectExtent l="0" t="0" r="0" b="5715"/>
            <wp:docPr id="1169027209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213" cy="3654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59C5B" w14:textId="61FEC217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</w:rPr>
        <mc:AlternateContent>
          <mc:Choice Requires="wps">
            <w:drawing>
              <wp:inline distT="0" distB="0" distL="0" distR="0" wp14:anchorId="34D6275A" wp14:editId="12F1833E">
                <wp:extent cx="304800" cy="304800"/>
                <wp:effectExtent l="0" t="0" r="0" b="0"/>
                <wp:docPr id="500321057" name="Prostokąt 10" descr="Volcano plo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EE32D4" id="Prostokąt 10" o:spid="_x0000_s1026" alt="Volcano plo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F2798F">
        <w:rPr>
          <w:noProof/>
        </w:rPr>
        <w:drawing>
          <wp:inline distT="0" distB="0" distL="0" distR="0" wp14:anchorId="26A28338" wp14:editId="747D3173">
            <wp:extent cx="4979670" cy="4481813"/>
            <wp:effectExtent l="0" t="0" r="0" b="0"/>
            <wp:docPr id="151591879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604" cy="4486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BFA85" w14:textId="2C50CEC4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</w:rPr>
        <mc:AlternateContent>
          <mc:Choice Requires="wps">
            <w:drawing>
              <wp:inline distT="0" distB="0" distL="0" distR="0" wp14:anchorId="16B066B6" wp14:editId="7330A5AD">
                <wp:extent cx="304800" cy="304800"/>
                <wp:effectExtent l="0" t="0" r="0" b="0"/>
                <wp:docPr id="1433866916" name="Prostokąt 9" descr="Heatmap top 30 D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E83F3D" id="Prostokąt 9" o:spid="_x0000_s1026" alt="Heatmap top 30 DE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5468147" w14:textId="57FA2861" w:rsidR="00F70D60" w:rsidRPr="00F70D60" w:rsidRDefault="00F2798F" w:rsidP="0057412D">
      <w:pPr>
        <w:jc w:val="both"/>
        <w:rPr>
          <w:rFonts w:ascii="Lato" w:hAnsi="Lato"/>
        </w:rPr>
      </w:pPr>
      <w:r>
        <w:rPr>
          <w:noProof/>
        </w:rPr>
        <w:lastRenderedPageBreak/>
        <w:drawing>
          <wp:inline distT="0" distB="0" distL="0" distR="0" wp14:anchorId="4CC62386" wp14:editId="5EDABA5D">
            <wp:extent cx="5760720" cy="7200900"/>
            <wp:effectExtent l="0" t="0" r="0" b="0"/>
            <wp:docPr id="595474280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20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A6D23" w14:textId="55629AE4" w:rsidR="00F70D60" w:rsidRPr="00F70D60" w:rsidRDefault="00F70D60" w:rsidP="0057412D">
      <w:pPr>
        <w:jc w:val="both"/>
        <w:rPr>
          <w:rFonts w:ascii="Lato" w:hAnsi="Lato"/>
          <w:b/>
          <w:bCs/>
        </w:rPr>
      </w:pPr>
      <w:r w:rsidRPr="00F70D60">
        <w:rPr>
          <w:rFonts w:ascii="Lato" w:hAnsi="Lato"/>
          <w:b/>
          <w:bCs/>
        </w:rPr>
        <w:t>10. Adnotacja funkcjonalna wyników</w:t>
      </w:r>
    </w:p>
    <w:p w14:paraId="4299CA95" w14:textId="77777777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  <w:b/>
          <w:bCs/>
        </w:rPr>
        <w:t>Narzędzie:</w:t>
      </w:r>
      <w:r w:rsidRPr="00F70D60">
        <w:rPr>
          <w:rFonts w:ascii="Lato" w:hAnsi="Lato"/>
        </w:rPr>
        <w:t xml:space="preserve"> pakiet org.Hs.eg.db (adnotacja Ensembl/NCBI).</w:t>
      </w:r>
    </w:p>
    <w:p w14:paraId="20FD7B11" w14:textId="77777777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  <w:b/>
          <w:bCs/>
        </w:rPr>
        <w:t>Najważniejsze zidentyfikowane geny DE:</w:t>
      </w:r>
    </w:p>
    <w:p w14:paraId="3766F2D9" w14:textId="77777777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</w:rPr>
        <w:t xml:space="preserve">Wśród genów o najwyższej istotności statystycznej dominują geny </w:t>
      </w:r>
      <w:r w:rsidRPr="00F70D60">
        <w:rPr>
          <w:rFonts w:ascii="Lato" w:hAnsi="Lato"/>
          <w:b/>
          <w:bCs/>
        </w:rPr>
        <w:t>mitochondrialne</w:t>
      </w:r>
      <w:r w:rsidRPr="00F70D60">
        <w:rPr>
          <w:rFonts w:ascii="Lato" w:hAnsi="Lato"/>
        </w:rPr>
        <w:t xml:space="preserve"> (ND4L, ATP8, COX2, ATP6, CYTB, ND5, ND6) oraz geny </w:t>
      </w:r>
      <w:r w:rsidRPr="00F70D60">
        <w:rPr>
          <w:rFonts w:ascii="Lato" w:hAnsi="Lato"/>
          <w:b/>
          <w:bCs/>
        </w:rPr>
        <w:t>"housekeeping"/rybosomalne</w:t>
      </w:r>
      <w:r w:rsidRPr="00F70D60">
        <w:rPr>
          <w:rFonts w:ascii="Lato" w:hAnsi="Lato"/>
        </w:rPr>
        <w:t xml:space="preserve"> (EEF1A1, RPL23A, RPS4X, PPIA) — ich wielkości efektu są niewielkie (log2FC 0,08–1,4), </w:t>
      </w:r>
      <w:r w:rsidRPr="00F70D60">
        <w:rPr>
          <w:rFonts w:ascii="Lato" w:hAnsi="Lato"/>
        </w:rPr>
        <w:lastRenderedPageBreak/>
        <w:t>a istotność statystyczna wynika z wysokiej ekspresji bazowej i niskiej wariancji między replikatami. Wskazuje to na globalny wpływ infekcji na metabolizm energetyczny i maszynerię translacyjną komórki.</w:t>
      </w:r>
    </w:p>
    <w:p w14:paraId="037F471A" w14:textId="3D0655F7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</w:rPr>
        <w:t xml:space="preserve">Wśród genów o największej wielkości zmiany (|log2FC|) znalazły się m.in. </w:t>
      </w:r>
      <w:r w:rsidRPr="00F70D60">
        <w:rPr>
          <w:rFonts w:ascii="Lato" w:hAnsi="Lato"/>
          <w:b/>
          <w:bCs/>
        </w:rPr>
        <w:t>IL18</w:t>
      </w:r>
      <w:r w:rsidRPr="00F70D60">
        <w:rPr>
          <w:rFonts w:ascii="Lato" w:hAnsi="Lato"/>
        </w:rPr>
        <w:t xml:space="preserve"> (cytokina prozapalna) oraz </w:t>
      </w:r>
      <w:r w:rsidRPr="00F70D60">
        <w:rPr>
          <w:rFonts w:ascii="Lato" w:hAnsi="Lato"/>
          <w:b/>
          <w:bCs/>
        </w:rPr>
        <w:t>SAMD9</w:t>
      </w:r>
      <w:r w:rsidRPr="00F70D60">
        <w:rPr>
          <w:rFonts w:ascii="Lato" w:hAnsi="Lato"/>
        </w:rPr>
        <w:t xml:space="preserve"> (gen o udokumentowanej funkcji restrykcyjnej wobec niektórych wirusów) geny o wyraźnym znaczeniu w kontekście odpowiedzi immunologicznej gospodarza.</w:t>
      </w:r>
    </w:p>
    <w:p w14:paraId="15F8E838" w14:textId="371CC0E5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</w:rPr>
        <w:t>Klasyczne geny odpowiedzi interferonowej (IFIT1, IFIT2, IFIT3, MX1, IFI27, ISG15, CXCL10, IRF7) wykazały kierunek zmian zgodny z aktywacją odpowiedzi przeciwwirusowej (podwyższona ekspresja w próbkach zakażonych), przy czym część z nich (IFIT1, IFIT2, IFIT3, MX1, IFI27) osiągnęła istotność na poziomie surowej wartości p (&lt;0,05), choć nie po korekcie na wielokrotne testowanie</w:t>
      </w:r>
      <w:r w:rsidR="00031A15">
        <w:rPr>
          <w:rFonts w:ascii="Lato" w:hAnsi="Lato"/>
        </w:rPr>
        <w:t>.</w:t>
      </w:r>
    </w:p>
    <w:p w14:paraId="08F172B5" w14:textId="0439DFB3" w:rsidR="00F70D60" w:rsidRPr="00F70D60" w:rsidRDefault="00F70D60" w:rsidP="0057412D">
      <w:pPr>
        <w:jc w:val="both"/>
        <w:rPr>
          <w:rFonts w:ascii="Lato" w:hAnsi="Lato"/>
          <w:b/>
          <w:bCs/>
        </w:rPr>
      </w:pPr>
      <w:r w:rsidRPr="00F70D60">
        <w:rPr>
          <w:rFonts w:ascii="Lato" w:hAnsi="Lato"/>
          <w:b/>
          <w:bCs/>
        </w:rPr>
        <w:t>11. Analizy wyższego rzędu (GO/KEGG)</w:t>
      </w:r>
    </w:p>
    <w:p w14:paraId="31CA2C5F" w14:textId="77777777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  <w:b/>
          <w:bCs/>
        </w:rPr>
        <w:t>Narzędzie:</w:t>
      </w:r>
      <w:r w:rsidRPr="00F70D60">
        <w:rPr>
          <w:rFonts w:ascii="Lato" w:hAnsi="Lato"/>
        </w:rPr>
        <w:t xml:space="preserve"> clusterProfiler (enrichGO, enrichKEGG), na liście 515 genów różnicowo eksprymowanych.</w:t>
      </w:r>
    </w:p>
    <w:p w14:paraId="34150F34" w14:textId="3E855EB5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  <w:b/>
          <w:bCs/>
        </w:rPr>
        <w:t>Najważniejsze wzbogacone procesy biologiczne (GO: Biological Process):</w:t>
      </w:r>
      <w:r w:rsidRPr="00F70D60">
        <w:rPr>
          <w:rFonts w:ascii="Lato" w:hAnsi="Lato"/>
        </w:rPr>
        <w:t xml:space="preserve"> cytoplasmic translation, translation, ribosome biogenesis, oxidative phosphorylation</w:t>
      </w:r>
      <w:r w:rsidR="00031A15">
        <w:rPr>
          <w:rFonts w:ascii="Lato" w:hAnsi="Lato"/>
        </w:rPr>
        <w:t xml:space="preserve">, </w:t>
      </w:r>
      <w:r w:rsidRPr="00F70D60">
        <w:rPr>
          <w:rFonts w:ascii="Lato" w:hAnsi="Lato"/>
        </w:rPr>
        <w:t>spójne z obserwacją dominacji genów rybosomalnych i mitochondrialnych wśród najistotniejszych DEG.</w:t>
      </w:r>
    </w:p>
    <w:p w14:paraId="407653F1" w14:textId="5ADA8F03" w:rsidR="00F70D60" w:rsidRPr="00F70D60" w:rsidRDefault="00031A15" w:rsidP="0057412D">
      <w:pPr>
        <w:jc w:val="both"/>
        <w:rPr>
          <w:rFonts w:ascii="Lato" w:hAnsi="Lato"/>
        </w:rPr>
      </w:pPr>
      <w:r>
        <w:rPr>
          <w:rFonts w:ascii="Lato" w:hAnsi="Lato"/>
        </w:rPr>
        <w:br w:type="textWrapping" w:clear="all"/>
      </w:r>
      <w:r w:rsidR="00F70D60" w:rsidRPr="00F70D60">
        <w:rPr>
          <w:rFonts w:ascii="Lato" w:hAnsi="Lato"/>
        </w:rPr>
        <mc:AlternateContent>
          <mc:Choice Requires="wps">
            <w:drawing>
              <wp:inline distT="0" distB="0" distL="0" distR="0" wp14:anchorId="4005A2B0" wp14:editId="0B5366BC">
                <wp:extent cx="304800" cy="304800"/>
                <wp:effectExtent l="0" t="0" r="0" b="0"/>
                <wp:docPr id="1988707294" name="Prostokąt 8" descr="Wzbogacenie 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628558" id="Prostokąt 8" o:spid="_x0000_s1026" alt="Wzbogacenie G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7B33F0D" wp14:editId="154AB0D7">
            <wp:extent cx="4646295" cy="3717241"/>
            <wp:effectExtent l="0" t="0" r="1905" b="0"/>
            <wp:docPr id="1338852224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943" cy="372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F267C" w14:textId="7031DA6F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</w:rPr>
        <w:lastRenderedPageBreak/>
        <mc:AlternateContent>
          <mc:Choice Requires="wps">
            <w:drawing>
              <wp:inline distT="0" distB="0" distL="0" distR="0" wp14:anchorId="333F0072" wp14:editId="157BC645">
                <wp:extent cx="304800" cy="304800"/>
                <wp:effectExtent l="0" t="0" r="0" b="0"/>
                <wp:docPr id="336025416" name="Prostokąt 7" descr="Wzbogacenie KEG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30F743" id="Prostokąt 7" o:spid="_x0000_s1026" alt="Wzbogacenie KEG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031A15">
        <w:rPr>
          <w:noProof/>
        </w:rPr>
        <w:drawing>
          <wp:inline distT="0" distB="0" distL="0" distR="0" wp14:anchorId="14B73666" wp14:editId="0B6ABDC3">
            <wp:extent cx="4993958" cy="3995387"/>
            <wp:effectExtent l="0" t="0" r="0" b="5715"/>
            <wp:docPr id="308626812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514" cy="4003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42609" w14:textId="55D6C1D1" w:rsidR="00F70D60" w:rsidRPr="00F70D60" w:rsidRDefault="00F70D60" w:rsidP="0057412D">
      <w:pPr>
        <w:jc w:val="both"/>
        <w:rPr>
          <w:rFonts w:ascii="Lato" w:hAnsi="Lato"/>
        </w:rPr>
      </w:pPr>
      <w:r w:rsidRPr="00F70D60">
        <w:rPr>
          <w:rFonts w:ascii="Lato" w:hAnsi="Lato"/>
          <w:b/>
          <w:bCs/>
        </w:rPr>
        <w:t>Interpretacja biologiczna:</w:t>
      </w:r>
      <w:r w:rsidRPr="00F70D60">
        <w:rPr>
          <w:rFonts w:ascii="Lato" w:hAnsi="Lato"/>
        </w:rPr>
        <w:t xml:space="preserve"> istotne statystycznie wzbogacenie ścieżki </w:t>
      </w:r>
      <w:r w:rsidRPr="00F70D60">
        <w:rPr>
          <w:rFonts w:ascii="Lato" w:hAnsi="Lato"/>
          <w:b/>
          <w:bCs/>
        </w:rPr>
        <w:t>"Coronavirus disease" (hsa05171)</w:t>
      </w:r>
      <w:r w:rsidR="00031A15">
        <w:rPr>
          <w:rFonts w:ascii="Lato" w:hAnsi="Lato"/>
        </w:rPr>
        <w:t xml:space="preserve"> </w:t>
      </w:r>
      <w:r w:rsidRPr="00F70D60">
        <w:rPr>
          <w:rFonts w:ascii="Lato" w:hAnsi="Lato"/>
        </w:rPr>
        <w:t>drugiej najsilniej wzbogaconej ścieżki KEGG stanowi bezpośrednie potwierdzenie, że zidentyfikowany zestaw genów odzwierciedla rzeczywistą odpowiedź komórki na zakażenie SARS-CoV-2. Obecność ścieżek neurodegeneracyjnych (Parkinson, Alzheimer, Prion, Huntington) wynika z nakładania się zestawów genów mitochondrialnych i proteostatycznych między tymi ścieżkami a ścieżką koronawirusową w bazie KEGG i nie stanowi odrębnego wyniku biologicznego.</w:t>
      </w:r>
    </w:p>
    <w:p w14:paraId="7F63E994" w14:textId="18FE8A3B" w:rsidR="00F70D60" w:rsidRPr="00F70D60" w:rsidRDefault="00F70D60" w:rsidP="0057412D">
      <w:pPr>
        <w:jc w:val="both"/>
        <w:rPr>
          <w:rFonts w:ascii="Lato" w:hAnsi="Lato"/>
        </w:rPr>
      </w:pPr>
    </w:p>
    <w:p w14:paraId="3704C974" w14:textId="77777777" w:rsidR="00F70D60" w:rsidRPr="00F70D60" w:rsidRDefault="00F70D60" w:rsidP="0057412D">
      <w:pPr>
        <w:jc w:val="both"/>
        <w:rPr>
          <w:rFonts w:ascii="Lato" w:hAnsi="Lato"/>
          <w:b/>
          <w:bCs/>
        </w:rPr>
      </w:pPr>
      <w:r w:rsidRPr="00F70D60">
        <w:rPr>
          <w:rFonts w:ascii="Lato" w:hAnsi="Lato"/>
          <w:b/>
          <w:bCs/>
        </w:rPr>
        <w:t>12. Podsumowanie i wnioski</w:t>
      </w:r>
    </w:p>
    <w:p w14:paraId="4DB13631" w14:textId="77777777" w:rsidR="00F70D60" w:rsidRPr="00F70D60" w:rsidRDefault="00F70D60" w:rsidP="0057412D">
      <w:pPr>
        <w:numPr>
          <w:ilvl w:val="0"/>
          <w:numId w:val="3"/>
        </w:numPr>
        <w:jc w:val="both"/>
        <w:rPr>
          <w:rFonts w:ascii="Lato" w:hAnsi="Lato"/>
        </w:rPr>
      </w:pPr>
      <w:r w:rsidRPr="00F70D60">
        <w:rPr>
          <w:rFonts w:ascii="Lato" w:hAnsi="Lato"/>
        </w:rPr>
        <w:t>Wszystkie etapy analizy (kontrola jakości, przycinanie, mapowanie, zliczanie, analiza różnicowa, adnotacja, analiza wzbogacenia) zostały wykonane zgodnie z dobrymi praktykami bioinformatycznymi, z uzasadnionym doborem narzędzi dostosowanych do charakteru danych (RNA-seq, single-end).</w:t>
      </w:r>
    </w:p>
    <w:p w14:paraId="2278C17B" w14:textId="2AD6598D" w:rsidR="00F70D60" w:rsidRPr="00F70D60" w:rsidRDefault="00F70D60" w:rsidP="0057412D">
      <w:pPr>
        <w:numPr>
          <w:ilvl w:val="0"/>
          <w:numId w:val="3"/>
        </w:numPr>
        <w:jc w:val="both"/>
        <w:rPr>
          <w:rFonts w:ascii="Lato" w:hAnsi="Lato"/>
        </w:rPr>
      </w:pPr>
      <w:r w:rsidRPr="00F70D60">
        <w:rPr>
          <w:rFonts w:ascii="Lato" w:hAnsi="Lato"/>
        </w:rPr>
        <w:t>Analiza różnicowej ekspresji genó</w:t>
      </w:r>
      <w:r w:rsidRPr="00031A15">
        <w:rPr>
          <w:rFonts w:ascii="Lato" w:hAnsi="Lato"/>
        </w:rPr>
        <w:t>w zidentyfikowała 515 istotnie statystycznie genów między próbkami zakażonymi SARS-CoV-2 a kontrolą.</w:t>
      </w:r>
    </w:p>
    <w:p w14:paraId="0DA350B2" w14:textId="77777777" w:rsidR="00F70D60" w:rsidRPr="00F70D60" w:rsidRDefault="00F70D60" w:rsidP="0057412D">
      <w:pPr>
        <w:numPr>
          <w:ilvl w:val="0"/>
          <w:numId w:val="3"/>
        </w:numPr>
        <w:jc w:val="both"/>
        <w:rPr>
          <w:rFonts w:ascii="Lato" w:hAnsi="Lato"/>
        </w:rPr>
      </w:pPr>
      <w:r w:rsidRPr="00F70D60">
        <w:rPr>
          <w:rFonts w:ascii="Lato" w:hAnsi="Lato"/>
        </w:rPr>
        <w:t>Wynik analizy wzbogacenia ścieżek KEGG (istotne wzbogacenie ścieżki "Coronavirus disease") potwierdza biologiczną trafność przeprowadzonej analizy.</w:t>
      </w:r>
    </w:p>
    <w:p w14:paraId="4D5B7B4E" w14:textId="7C363BE7" w:rsidR="00F70D60" w:rsidRPr="00F70D60" w:rsidRDefault="00F70D60" w:rsidP="0057412D">
      <w:pPr>
        <w:numPr>
          <w:ilvl w:val="0"/>
          <w:numId w:val="3"/>
        </w:numPr>
        <w:jc w:val="both"/>
        <w:rPr>
          <w:rFonts w:ascii="Lato" w:hAnsi="Lato"/>
        </w:rPr>
      </w:pPr>
      <w:r w:rsidRPr="00F70D60">
        <w:rPr>
          <w:rFonts w:ascii="Lato" w:hAnsi="Lato"/>
        </w:rPr>
        <w:t xml:space="preserve">Zidentyfikowane geny wskazują na dwa równoległe komponenty odpowiedzi komórkowej na infekcję: (a) komponent specyficzny dla odpowiedzi </w:t>
      </w:r>
      <w:r w:rsidRPr="00F70D60">
        <w:rPr>
          <w:rFonts w:ascii="Lato" w:hAnsi="Lato"/>
        </w:rPr>
        <w:lastRenderedPageBreak/>
        <w:t>przeciwwirusowej (kierunkowa indukcja genów interferonowych) oraz (b) globalny wpływ na metabolizm energetyczny i maszynerię translacyjną komórki (dominacja genów mitochondrialnych i rybosomalnych).</w:t>
      </w:r>
    </w:p>
    <w:p w14:paraId="2241CEDA" w14:textId="47A50A46" w:rsidR="00F70D60" w:rsidRPr="00F70D60" w:rsidRDefault="00F70D60" w:rsidP="0057412D">
      <w:pPr>
        <w:jc w:val="both"/>
        <w:rPr>
          <w:rFonts w:ascii="Lato" w:hAnsi="Lato"/>
        </w:rPr>
      </w:pPr>
    </w:p>
    <w:p w14:paraId="51A93A84" w14:textId="77777777" w:rsidR="00F70D60" w:rsidRPr="00F70D60" w:rsidRDefault="00F70D60" w:rsidP="0057412D">
      <w:pPr>
        <w:jc w:val="both"/>
        <w:rPr>
          <w:rFonts w:ascii="Lato" w:hAnsi="Lato"/>
          <w:b/>
          <w:bCs/>
        </w:rPr>
      </w:pPr>
      <w:r w:rsidRPr="00F70D60">
        <w:rPr>
          <w:rFonts w:ascii="Lato" w:hAnsi="Lato"/>
          <w:b/>
          <w:bCs/>
        </w:rPr>
        <w:t>13. Bibliografia</w:t>
      </w:r>
    </w:p>
    <w:p w14:paraId="6436B211" w14:textId="77777777" w:rsidR="00F70D60" w:rsidRPr="00F70D60" w:rsidRDefault="00F70D60" w:rsidP="0057412D">
      <w:pPr>
        <w:numPr>
          <w:ilvl w:val="0"/>
          <w:numId w:val="4"/>
        </w:numPr>
        <w:jc w:val="both"/>
        <w:rPr>
          <w:rFonts w:ascii="Lato" w:hAnsi="Lato"/>
          <w:lang w:val="it-IT"/>
        </w:rPr>
      </w:pPr>
      <w:r w:rsidRPr="00F70D60">
        <w:rPr>
          <w:rFonts w:ascii="Lato" w:hAnsi="Lato"/>
          <w:lang w:val="fr-BE"/>
        </w:rPr>
        <w:t xml:space="preserve">GSE147507 — </w:t>
      </w:r>
      <w:r w:rsidRPr="00F70D60">
        <w:rPr>
          <w:rFonts w:ascii="Lato" w:hAnsi="Lato"/>
          <w:i/>
          <w:iCs/>
          <w:lang w:val="fr-BE"/>
        </w:rPr>
        <w:t>"Transcriptional response to SARS-CoV-2 infection"</w:t>
      </w:r>
      <w:r w:rsidRPr="00F70D60">
        <w:rPr>
          <w:rFonts w:ascii="Lato" w:hAnsi="Lato"/>
          <w:lang w:val="fr-BE"/>
        </w:rPr>
        <w:t xml:space="preserve">, tenOever Lab, Icahn School of Medicine at Mount Sinai. </w:t>
      </w:r>
      <w:r w:rsidRPr="00F70D60">
        <w:rPr>
          <w:rFonts w:ascii="Lato" w:hAnsi="Lato"/>
          <w:lang w:val="it-IT"/>
        </w:rPr>
        <w:t>NCBI GEO: https://www.ncbi.nlm.nih.gov/geo/query/acc.cgi?acc=GSE147507</w:t>
      </w:r>
    </w:p>
    <w:p w14:paraId="215A2765" w14:textId="77777777" w:rsidR="00F70D60" w:rsidRPr="00F70D60" w:rsidRDefault="00F70D60" w:rsidP="0057412D">
      <w:pPr>
        <w:numPr>
          <w:ilvl w:val="0"/>
          <w:numId w:val="4"/>
        </w:numPr>
        <w:jc w:val="both"/>
        <w:rPr>
          <w:rFonts w:ascii="Lato" w:hAnsi="Lato"/>
          <w:lang w:val="it-IT"/>
        </w:rPr>
      </w:pPr>
      <w:r w:rsidRPr="00F70D60">
        <w:rPr>
          <w:rFonts w:ascii="Lato" w:hAnsi="Lato"/>
          <w:lang w:val="it-IT"/>
        </w:rPr>
        <w:t xml:space="preserve">Blanco-Melo D., Nilsson-Payant B.E., Liu W.-C. i wsp., </w:t>
      </w:r>
      <w:r w:rsidRPr="00F70D60">
        <w:rPr>
          <w:rFonts w:ascii="Lato" w:hAnsi="Lato"/>
          <w:i/>
          <w:iCs/>
          <w:lang w:val="it-IT"/>
        </w:rPr>
        <w:t>"SARS-CoV-2 launches a unique transcriptional signature from in vitro, ex vivo, and in vivo systems"</w:t>
      </w:r>
      <w:r w:rsidRPr="00F70D60">
        <w:rPr>
          <w:rFonts w:ascii="Lato" w:hAnsi="Lato"/>
          <w:lang w:val="it-IT"/>
        </w:rPr>
        <w:t xml:space="preserve">, bioRxiv (2020), doi:10.1101/2020.03.24.004655 (opublikowana w </w:t>
      </w:r>
      <w:r w:rsidRPr="00F70D60">
        <w:rPr>
          <w:rFonts w:ascii="Lato" w:hAnsi="Lato"/>
          <w:i/>
          <w:iCs/>
          <w:lang w:val="it-IT"/>
        </w:rPr>
        <w:t>Cell</w:t>
      </w:r>
      <w:r w:rsidRPr="00F70D60">
        <w:rPr>
          <w:rFonts w:ascii="Lato" w:hAnsi="Lato"/>
          <w:lang w:val="it-IT"/>
        </w:rPr>
        <w:t>, 2020)</w:t>
      </w:r>
    </w:p>
    <w:p w14:paraId="04EA0F95" w14:textId="77777777" w:rsidR="00B357C8" w:rsidRPr="00F70D60" w:rsidRDefault="00B357C8" w:rsidP="0057412D">
      <w:pPr>
        <w:jc w:val="both"/>
        <w:rPr>
          <w:rFonts w:ascii="Lato" w:hAnsi="Lato"/>
          <w:lang w:val="it-IT"/>
        </w:rPr>
      </w:pPr>
    </w:p>
    <w:sectPr w:rsidR="00B357C8" w:rsidRPr="00F70D60"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FA083" w14:textId="77777777" w:rsidR="005301D1" w:rsidRDefault="005301D1" w:rsidP="00031A15">
      <w:pPr>
        <w:spacing w:after="0" w:line="240" w:lineRule="auto"/>
      </w:pPr>
      <w:r>
        <w:separator/>
      </w:r>
    </w:p>
  </w:endnote>
  <w:endnote w:type="continuationSeparator" w:id="0">
    <w:p w14:paraId="59FB48B7" w14:textId="77777777" w:rsidR="005301D1" w:rsidRDefault="005301D1" w:rsidP="00031A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-1421635839"/>
      <w:docPartObj>
        <w:docPartGallery w:val="Page Numbers (Bottom of Page)"/>
        <w:docPartUnique/>
      </w:docPartObj>
    </w:sdtPr>
    <w:sdtEndPr>
      <w:rPr>
        <w:sz w:val="16"/>
        <w:szCs w:val="16"/>
      </w:rPr>
    </w:sdtEndPr>
    <w:sdtContent>
      <w:p w14:paraId="7242302B" w14:textId="15CA711C" w:rsidR="00031A15" w:rsidRPr="00031A15" w:rsidRDefault="00031A15" w:rsidP="00031A15">
        <w:pPr>
          <w:pStyle w:val="Stopka"/>
          <w:jc w:val="right"/>
          <w:rPr>
            <w:rFonts w:asciiTheme="majorHAnsi" w:eastAsiaTheme="majorEastAsia" w:hAnsiTheme="majorHAnsi" w:cstheme="majorBidi"/>
            <w:sz w:val="16"/>
            <w:szCs w:val="16"/>
          </w:rPr>
        </w:pPr>
        <w:r w:rsidRPr="00031A15">
          <w:rPr>
            <w:rFonts w:asciiTheme="majorHAnsi" w:eastAsiaTheme="majorEastAsia" w:hAnsiTheme="majorHAnsi" w:cstheme="majorBidi"/>
            <w:sz w:val="16"/>
            <w:szCs w:val="16"/>
          </w:rPr>
          <w:t xml:space="preserve">str. </w:t>
        </w:r>
        <w:r w:rsidRPr="00031A15">
          <w:rPr>
            <w:rFonts w:eastAsiaTheme="minorEastAsia" w:cs="Times New Roman"/>
            <w:sz w:val="16"/>
            <w:szCs w:val="16"/>
          </w:rPr>
          <w:fldChar w:fldCharType="begin"/>
        </w:r>
        <w:r w:rsidRPr="00031A15">
          <w:rPr>
            <w:sz w:val="16"/>
            <w:szCs w:val="16"/>
          </w:rPr>
          <w:instrText>PAGE    \* MERGEFORMAT</w:instrText>
        </w:r>
        <w:r w:rsidRPr="00031A15">
          <w:rPr>
            <w:rFonts w:eastAsiaTheme="minorEastAsia" w:cs="Times New Roman"/>
            <w:sz w:val="16"/>
            <w:szCs w:val="16"/>
          </w:rPr>
          <w:fldChar w:fldCharType="separate"/>
        </w:r>
        <w:r w:rsidRPr="00031A15">
          <w:rPr>
            <w:rFonts w:asciiTheme="majorHAnsi" w:eastAsiaTheme="majorEastAsia" w:hAnsiTheme="majorHAnsi" w:cstheme="majorBidi"/>
            <w:sz w:val="16"/>
            <w:szCs w:val="16"/>
          </w:rPr>
          <w:t>2</w:t>
        </w:r>
        <w:r w:rsidRPr="00031A15">
          <w:rPr>
            <w:rFonts w:asciiTheme="majorHAnsi" w:eastAsiaTheme="majorEastAsia" w:hAnsiTheme="majorHAnsi" w:cstheme="majorBidi"/>
            <w:sz w:val="16"/>
            <w:szCs w:val="16"/>
          </w:rPr>
          <w:fldChar w:fldCharType="end"/>
        </w:r>
        <w:r w:rsidRPr="00031A15">
          <w:rPr>
            <w:rFonts w:asciiTheme="majorHAnsi" w:eastAsiaTheme="majorEastAsia" w:hAnsiTheme="majorHAnsi" w:cstheme="majorBidi"/>
            <w:sz w:val="16"/>
            <w:szCs w:val="16"/>
          </w:rPr>
          <w:t>/10</w:t>
        </w:r>
      </w:p>
    </w:sdtContent>
  </w:sdt>
  <w:p w14:paraId="0B233451" w14:textId="77777777" w:rsidR="00031A15" w:rsidRDefault="00031A1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D3C7B" w14:textId="77777777" w:rsidR="005301D1" w:rsidRDefault="005301D1" w:rsidP="00031A15">
      <w:pPr>
        <w:spacing w:after="0" w:line="240" w:lineRule="auto"/>
      </w:pPr>
      <w:r>
        <w:separator/>
      </w:r>
    </w:p>
  </w:footnote>
  <w:footnote w:type="continuationSeparator" w:id="0">
    <w:p w14:paraId="5B6E4BC1" w14:textId="77777777" w:rsidR="005301D1" w:rsidRDefault="005301D1" w:rsidP="00031A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B4B2E"/>
    <w:multiLevelType w:val="multilevel"/>
    <w:tmpl w:val="BDA4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CE6AF1"/>
    <w:multiLevelType w:val="multilevel"/>
    <w:tmpl w:val="E23E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391F6E"/>
    <w:multiLevelType w:val="multilevel"/>
    <w:tmpl w:val="DDF24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7A42DD"/>
    <w:multiLevelType w:val="multilevel"/>
    <w:tmpl w:val="C91E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671262">
    <w:abstractNumId w:val="1"/>
  </w:num>
  <w:num w:numId="2" w16cid:durableId="1704936190">
    <w:abstractNumId w:val="3"/>
  </w:num>
  <w:num w:numId="3" w16cid:durableId="1176577880">
    <w:abstractNumId w:val="2"/>
  </w:num>
  <w:num w:numId="4" w16cid:durableId="686830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D60"/>
    <w:rsid w:val="00031A15"/>
    <w:rsid w:val="002338BF"/>
    <w:rsid w:val="005301D1"/>
    <w:rsid w:val="0057412D"/>
    <w:rsid w:val="00B357C8"/>
    <w:rsid w:val="00CF465B"/>
    <w:rsid w:val="00F2798F"/>
    <w:rsid w:val="00F70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77EAD"/>
  <w15:chartTrackingRefBased/>
  <w15:docId w15:val="{3B8BC5EF-3DEC-41B5-BEF3-F7710005A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70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70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70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70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70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70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70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70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70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70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70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70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70D6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70D6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70D6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70D6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70D6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70D6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70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70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70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70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70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70D6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70D6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70D6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70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70D6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70D60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F70D60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70D60"/>
    <w:rPr>
      <w:color w:val="605E5C"/>
      <w:shd w:val="clear" w:color="auto" w:fill="E1DFDD"/>
    </w:rPr>
  </w:style>
  <w:style w:type="table" w:styleId="Tabela-Siatka">
    <w:name w:val="Table Grid"/>
    <w:basedOn w:val="Standardowy"/>
    <w:uiPriority w:val="39"/>
    <w:rsid w:val="0057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031A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031A15"/>
  </w:style>
  <w:style w:type="paragraph" w:styleId="Stopka">
    <w:name w:val="footer"/>
    <w:basedOn w:val="Normalny"/>
    <w:link w:val="StopkaZnak"/>
    <w:uiPriority w:val="99"/>
    <w:unhideWhenUsed/>
    <w:rsid w:val="00031A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031A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1462</Words>
  <Characters>8776</Characters>
  <Application>Microsoft Office Word</Application>
  <DocSecurity>0</DocSecurity>
  <Lines>73</Lines>
  <Paragraphs>20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Krzowski Łukasz</dc:creator>
  <cp:keywords/>
  <dc:description/>
  <cp:lastModifiedBy>Krzowski Łukasz</cp:lastModifiedBy>
  <cp:revision>3</cp:revision>
  <dcterms:created xsi:type="dcterms:W3CDTF">2026-09-20T18:54:00Z</dcterms:created>
  <dcterms:modified xsi:type="dcterms:W3CDTF">2026-09-20T19:20:00Z</dcterms:modified>
</cp:coreProperties>
</file>