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BCE BANK S.A.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4"/>
          <w:szCs w:val="34"/>
        </w:rPr>
        <w:t xml:space="preserve">Profil Organizacji | Use Cases AI (BXT Framework)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Transformacja Cyfrowa — Wdrożenie 3 Agentów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Wersja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1.0 — Final Draft</w:t>
            </w:r>
          </w:p>
        </w:tc>
        <w:tc>
          <w:tcPr>
            <w:tcW w:type="dxa" w:w="32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Marzec 2026</w:t>
            </w:r>
          </w:p>
        </w:tc>
        <w:tc>
          <w:tcPr>
            <w:tcW w:type="dxa" w:w="32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55A1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DDCC"/>
                <w:sz w:val="20"/>
                <w:szCs w:val="20"/>
              </w:rPr>
              <w:t xml:space="preserve">Klasyfikacja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POUFNE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PROFIL ORGANIZACJI — BCE Bank S.A.</w:t>
      </w:r>
    </w:p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Charakterystyka organizacji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BCE Bank S.A. (Bank Best Company Ever) jest fikcyjną, lecz modelową instytucją finansową klasy mid-market, działającą na polskim rynku bankowym. Obsługuje szerokie spektrum klientów — od osób fizycznych, przez mikroprzedsiębiorców, aż po małe i średnie przedsiębiorstwa (MŚP). Bank realizuje ambitną strategię stania się liderem cyfrowej obsługi klientów w Polsce, co wyróżnia go na tle konkurencji skupionej nadal na tradycyjnych modelach dystrybucji.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Nazwa pełna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BCE Bank S.A. (Bank Best Company Ever)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Segment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Bank detaliczny mid-market — klienci indywidualni i MŚP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Skala działania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~1,2 mln aktywnych klientów | 180 placówek | 3 200 pracowników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Kanały sprzedaży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Oddział, aplikacja mobilna, bankowość internetowa, contact center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Dojrzałość AI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Poziom 1/5 — ad hoc, brak scentralizowanej platformy AI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CRM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Salesforce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Core banking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Temenos T24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DMS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OpenText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Regulatorzy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KNF, NBP, EBA — wymogi AI Act (klasa wysokiego ryzyka dla kredytów)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Misja AI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Stać się liderem cyfrowej transformacji w segmencie mid-market w Polsce do 2028 r.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Kluczowe wyzwania — stan AS-IS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Bank zmaga się z szeregiem problemów operacyjnych i strategicznych, które hamują jego wzrost i obniżają satysfakcję klientów. Poniżej przedstawiamy mapę głównych bolączek organizacji.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Obszar problemowy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Stan obecny (AS-IS)</w:t>
            </w:r>
          </w:p>
        </w:tc>
        <w:tc>
          <w:tcPr>
            <w:tcW w:type="dxa" w:w="32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Cel (TO-BE)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Obsługa zapytań klientów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Śr. czas: 8 min/zapytanie | Duże obciążenie CC | Niska automatyzacja L1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Śr. czas: 2 min | Deflection rate &gt;35%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Analiza kredytowa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45 min/wniosek | 60–70% czasu analityka to data entry | Wysokie ryzyko błędu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5–10 min z AI | Analityk skupiony na ocenie merytorycznej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Personalizacja ofert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Kampanie masowe | Konwersja cross-sell &lt;1,2% | Zero mikrosegmentacji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Konwersja cross-sell &gt;3,5% | Hiperpersonalizacja w czasie rzeczywistym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Retencja talentów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Rotacja analityków 28% rocznie | Utrata wiedzy | Długi onboarding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Wsparcie AI → mniejsze wypalenie → lepsza retencja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Decyzja kredytowa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Czas decyzji: 3 dni | Klienci odchodzą do konkurencji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Time-to-decision: &lt;4 godziny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Platforma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Brak centralnej platformy | Eksperymenty działowe bez governance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Zjednoczona platforma Azure AI Foundry + MLOps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Dlaczego BCE Bank wdraża AI — uzasadnienie transformacji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Decyzja o podjęciu transformacji cyfrowej z wykorzystaniem sztucznej inteligencji wynika z konwergencji kilku czynników strategicznych i presji rynkowych:</w:t>
      </w:r>
    </w:p>
    <w:p>
      <w:pPr>
        <w:pStyle w:val="Heading3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Presja konkurencyjna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Neobanki i fintechи (np. Revolut, mBank, Alior) oferują klientom natychmiastową, spersonalizowaną obsługę 24/7 — BCE Bank traci klientów MŚP na ich rzecz.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Sektor bankowy w Polsce notuje wzrost penetracji AI o 340% rok do roku (dane EBA 2025) — brak transformacji oznacza wypadnięcie z rynku.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Klienci detaliczni oczekują odpowiedzi w ciągu sekund — model oparty na call center kosztuje 12× więcej niż obsługa chatbotem.</w:t>
      </w:r>
    </w:p>
    <w:p>
      <w:pPr>
        <w:pStyle w:val="Heading3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Presja kosztowa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Koszty operacyjne contact center rosną o 8% rocznie przy braku wzrostu NPS — model jest nieefektywny.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Rotacja analityków kredytowych na poziomie 28% generuje ~2,4 mln PLN rocznie kosztów rekrutacji i onboardingu.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Koszt błędnej decyzji kredytowej wynikającej z ręcznego data entry wynosi średnio 18 000 PLN na incydent (write-off + koszty windykacji).</w:t>
      </w:r>
    </w:p>
    <w:p>
      <w:pPr>
        <w:pStyle w:val="Heading3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Szansa wzrostowa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Cross-sell rate w BCE Bank wynosi 1,2% vs. 4,8% u liderów rynkowych — luka do zamknięcia dzięki hiperpersonalizacji.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Każda godzina szybszej decyzji kredytowej przekłada się na ~3% wyższy wskaźnik akceptacji wniosków przez klientów.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Syntetyczne dane klientów umożliwiają trenowanie modeli AI bez ryzyka naruszenia RODO — to kluczowy przewagowy asset w erze AI Act.</w:t>
      </w:r>
    </w:p>
    <w:p>
      <w:pPr>
        <w:pStyle w:val="Heading3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Wymogi regulacyjne jako katalizator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Act (UE 2024/1689) wchodzi w życie stopniowo do 2027 r. — BCE Bank, wdrażając AI teraz, buduje compliance jako przewagę, nie obciążenie.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EBA Guidelines on AI (EBA/GL/2025/01) wymagają formalnego systemu zarządzania modelami AI. Projekt buduje te fundamenty.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KNF oczekuje od banków transparentności algorytmów decyzyjnych (obowiązek explainability) — wbudowanie Human-in-the-Loop w Agent 2 jest bezpośrednią odpowiedzią.</w:t>
      </w:r>
    </w:p>
    <w:p>
      <w:pPr>
        <w:pStyle w:val="Heading3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Wizja strategiczna — 3 agenty AI jako rdzeń transformacji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Wybór trzech konkretnych agentów AI nie jest przypadkowy — reprezentują one trzy wymiary wartości bankowej: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 AI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Wymiar wartości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Główny beneficjent</w:t>
            </w:r>
          </w:p>
        </w:tc>
        <w:tc>
          <w:tcPr>
            <w:tcW w:type="dxa" w:w="24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Horyzont zwrotu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Agent 1: Product Catalogue Assistant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Doświadczenie klienta (CX)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Klienci zewnętrzni + CC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~6 miesięcy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Agent 2: OCR Credit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Efektywność operacyjna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Analitycy kredytowi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~9 miesięcy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Agent 3: Hyper-Personalization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Wzrost przychodów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Marketing / Klienci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~12 miesięcy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Cele strategiczne (OKR — horyzont 24 miesięcy)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038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Cel (Objective)</w:t>
            </w:r>
          </w:p>
        </w:tc>
        <w:tc>
          <w:tcPr>
            <w:tcW w:type="dxa" w:w="40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Kluczowe wyniki (Key Results)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Zwiększenie NPS o min. 15 pkt poprzez szybszą, spersonalizowaną obsługę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NPS: z 28 → &gt;43 pkt w M24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Redukcja kosztów operacyjnych contact center o 30%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Deflection rate chatbota &gt;35%; AHT &lt;2,5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Skrócenie time-to-decision kredytowego z 3 dni do &lt;4 godzin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OCR accuracy &gt;95%; weryfikacja &lt;18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Wzrost przychodów ze sprzedaży krzyżowej o 20 mln PLN rocznie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Cross-sell conversion &gt;3,5%; CTR kampanii +25%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Zbudowanie wewnętrznych kompetencji AI/MLOps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Min. 8 certyfikowanych inżynierów AI; platforma MLOps live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METODOLOGIA BXT — PRE-WORKSHOP ASSESSMENT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Każdy z trzech Use Cases BCE Bank został oceniony zgodnie z metodyką BXT (Business, eXperience, Technology) — frameworkiem stosowanym przez Microsoft do oceny potencjału konceptów AI. Framework mierzy trzy wymiary: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638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Wymiar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Pytanie kluczowe</w:t>
            </w:r>
          </w:p>
        </w:tc>
        <w:tc>
          <w:tcPr>
            <w:tcW w:type="dxa" w:w="5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 oceniamy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BUSINESS (Viability)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Czy to jest opłacalne?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Czy istnieje wyraźny strumień przychodów lub oszczędności? Czy organizacja jest gotowa płacić za rozwiązanie?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EXPERIENCE (Desirability)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Czy użytkownicy tego chcą?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Czy wartość proposycja jest wystarczająco atrakcyjna? Czy użytkownicy wybiorą to rozwiązanie nad alternatywami?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TECHNOLOGY (Feasibility)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Czy możemy to zbudować?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Czy technologia jest dostępna i dojrzała? Jakie są ryzyka implementacyjne i zabezpieczenia?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Sukces produktu AI = przecięcie wszystkich trzech wymiarów BXT. Poniżej prezentujemy pełne oceny BXT dla każdego z trzech agentów BCE Bank, wzbogacone o elementy zidentyfikowane w oryginalnych Use Cases (UC-01, UC-02, UC-03) i uzupełnione o brakujące komponenty.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USE CASE #01 — Product Catalogue Assistant (Chatbot / Voicebot)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Nazwa Use Case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 Catalogue Assistant — Agent Głosowy &amp; Chatbot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Numer UC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Departament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Contact Center / Digital Banking / Sprzedaż Detaliczna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Kierowanie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External Facing (klienci zewnętrzni) + Internal Facing (helpdesk pracowniczy via Teams)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Główny interesariusz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Dyrektor Bankowości Detalicznej / Dyrektor Contact Center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Persona użytkownika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Sławek (klient) &amp; Tomek (pracownik banku) — szukają szybkiej informacji o produktach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Opis Use Case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System konwersacyjnej nawigacji po produktach bankowych opartej na GenAI. Klient lub pracownik banku zadaje pytanie w języku naturalnym (głosowo lub tekstowo), a agent odpowiada, wyjaśnia warunki produktów oraz przekierowuje do właściwego panelu akcji (np. formularz wniosku o kredyt, kalkulator lokat). Agent obsługuje kanały: www chatbot, aplikacja mobilna, infolinia (voicebot IVR) oraz Teams (wewnętrzny helpdesk).</w:t>
      </w:r>
    </w:p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Problem do rozwiązania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Obecny czas obsługi zapytań produktowych przez contact center wynosi średnio 8 minut/zapytanie — cel to 2 minuty.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Katalog produktów bankowych jest skomplikowany — klienci nie potrafią sami znaleźć właściwego produktu, co generuje ruch do CC.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Konsultanci CC spędzają 60% czasu na odpowiadaniu na te same, powtarzające się pytania (FAQ) zamiast na obsłudze złożonych przypadków.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Brak 24/7 obsługi w kanałach cyfrowych — klienci pytają w nocy, dostają odpowiedź dopiero rano.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Wysoki koszt obsługi: 1 zapytanie przez agenta CC kosztuje ~18 PLN vs. ~0,08 PLN przez chatbota AI.</w:t>
      </w:r>
    </w:p>
    <w:p>
      <w:pPr>
        <w:spacing w:after="160" w:before="80"/>
      </w:pPr>
    </w:p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Ocena BXT — Business Viability (Żywotność Biznesowa)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biznesowe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Jak Use Case generuje wartość biznesową?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Redukcja kosztu obsługi L1 (deflection 40%) = oszczędność ~3,2 mln PLN/24M. Wzrost NPS o min. 8 pkt → poprawa retencji klientów.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Zgodność ze strategią organizacji?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Bezpośrednio realizuje OKR O1 (NPS +15 pkt) i O2 (redukcja kosztów CC o 30%). Quick win — najniższe ryzyko regulacyjne ze wszystkich 3 agentów.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Kto jest właścicielem OKR?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Dyrektor Contact Center (operacyjny) + Dyrektor Sprzedaży Detalicznej (wzrost). Sponsor: CEO/CDO.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Cele biznesowe (Business Objectives)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Zwiększenie przepustowości CC bez wzrostu zatrudnienia
2. Skrócenie AHT z 8 do 2,5 min
3. Dostępność 24/7 we wszystkich kanałach cyfrowych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Kluczowe wyniki (Key Results)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Deflection rate: &gt;35% w M8, &gt;50% w M24
- CSAT chatbota: &gt;3,8/5
- Koszt obsługi L1: redukcja o 45%
- Czas do pierwszej odpowiedzi: &lt;3 sekundy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Horyzont wdrożenia Change Mgmt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4–6 miesięcy dla MVP/Pilota. Szkolenia CC: 120 osób. Zmiana procesów: redirect flow, nowe KPI dla CC.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skali biznesowej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Wpływ biznesowy (Business Impact)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Dopasowanie wykonawcze (Executional Fit)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Pilność (Urgency)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Ocena BXT — Experience Value (Desirability — Pożądalność)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doświadczenia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Wartość proposycja dla użytkownika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Klient otrzymuje natychmiastową, precyzyjną odpowiedź w języku naturalnym — bez czekania w kolejce, bez przekopywania się przez dokumenty PDF z tabelami produktowymi.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Kim jest główny użytkownik (Primary User)?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Sławek (klient detaliczny, 32 lata, zapracowany, preferuje mobilne) + Tomek (pracownik placówki, potrzebuje szybkiej informacji o produktach na spotkaniu z klientem)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Kto jest pilotem (Who is the pilot)?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Pilotaż: wybrana grupa klientów beta (500 osób, opt-in) + 15 pracowników contact center w fazie PoC.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 sprawia, że użytkownicy to wybiorą?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Szybkość (odpowiedź w 3s vs. 8 min w CC), dostępność 24/7, personalizacja kontekstu rozmowy, brak frustracji z nieaktualnymi odpowiedziami (RAG = zawsze aktualne dane produktowe).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Ryzyko adopcji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Część klientów preferuje kontakt ludzki — chatbot musi bezproblemowo eskalować do agenta CC. Kluczowy element UX: 'one click to human'.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desirability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Pożądalność użytkownika (User Desirability)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Wartość proposycja vs. alternatywa (NBT)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Gotowość do adopcji (Adoption Readiness)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Ocena BXT — Technical Feasibility (Wykonalność Techniczna)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techniczne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Fit AI/LLM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Rozwiązanie idealne dla GPT-4o via Azure OpenAI + RAG (Azure AI Search). Model nie halucynuje, bo opiera się wyłącznie na dostarczonym katalogu produktów — nie korzysta z 'wiedzy ogólnej'.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Dostępna infrastruktura?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Wymaga: Azure OpenAI (GPT-4o), Azure AI Search (wektoryzacja katalogu), Azure Bot Service (framework), Azure Speech Services (voicebot PL). Środowisko chmurowe w UE (data residency).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Czy są wystarczające zabezpieczenia?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Model działa w zamkniętym środowisku chmurowym banku — dane nie wychodzą na zewnątrz
- Automatyczne maskowanie PII (PESEL, nr konta) przed wysłaniem do modelu
- Pełne szyfrowanie in-transit i at-rest
- Content filters: blokada wulgaryzmów, prompt injection protection
- RAG eliminuje ryzyko halucynacji finansowych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Ryzyka wdrożeniowe i operacyjne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Halucynacje: ryzyko podania błędnego oprocentowania → mitigacja: RAG + source grounding
- Bezpieczeństwo przy interakcji głosowej: PESEL/IBAN w strumieniu audio → maskowanie pre-processing
- Integracja SDK iOS/Android: wymaga zaangażowania dev mobile (nie AI team)
- Accuracy intencji na specjalistycznym słownictwie finansowym PL: wymaga starannego dataset Q&amp;A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Scope PoC vs. Pilot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PoC: 20 produktów, chatbot tekstowy, kanał www + Teams, zbiór 200 Q&amp;A.
Pilot: voicebot PL (Azure Speech), integracja app mobilna, 500 klientów beta.
Produkcja: pełny katalog 40+ produktów, integracja IVR, język 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Horyzont czasowy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4–6 miesięcy do MVP/Pilota. PoC tekstowy: 1–3 miesiące.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techniczna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Wykonalność techniczna (Technical Feasibility)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Dojrzałość technologii (Tech Maturity)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Dostępność zabezpieczeń (Safeguards Availability)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3.6 Ocena priorytetyzacji BXT (Macierz Impact × Fit)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UC-01 plasuje się w kwadrancie 'Wysoki wpływ strategiczny / Wysokie dopasowanie wykonawcze' — rekomendacja: INVEST / Quick Win. Jest to typowy projekt Test &amp; Learn: zweryfikować bariery bezpieczeństwa w PoC (1–3 mies.), a następnie szybki Pilot (kolejne 3 mies.). Niska bariera technologiczna i brak wymogów regulacyjnych klasy wysokiego ryzyka (AI Act) czyni z niego naturalny 'quick win' portfela AI.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Wymiar</w:t>
            </w:r>
          </w:p>
        </w:tc>
        <w:tc>
          <w:tcPr>
            <w:tcW w:type="dxa" w:w="72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Podsumowanie oceny BXT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BUSINESS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★★★★★  Wysoki wpływ — quick win, bezpośrednia oszczędność kosztów i wzrost NPS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EXPERIENCE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★★★★☆  Wysoka pożądalność — klienci oczekują szybkości, GenAI &gt; IVR legacy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TECHNOLOGY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★★★★☆  Dojrzała technologia — Azure RAG stack sprawdzony, ryzyko śr.-niskie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REKOMENDACJA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START PoC natychmiast → Pilot M3–M8 → Produkcja M9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USE CASE #02 — OCR + Credit Document Analysis Assistant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Nazwa Use Case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Inteligentna Analiza Dokumentów Kredytowych — GenAI Credit Analysis Assistant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Numer UC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UC-02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Departament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Departament Ryzyka Kredytowego / Obsługa Klienta Indywidualnego i MŚP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Kierowanie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Internal Facing — narzędzie dla analityków kredytowych banku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Główny interesariusz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Dyrektor Departamentu Ryzyka Kredytowego (Jolanta Kaczyńska)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Persona użytkownika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Marcin — starszy analityk kredytowy MŚP, przeciążony data entry, frustacja niskim poziomem pracy merytorycznej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Opis Use Case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System wykorzystujący multimodalne GenAI (GPT-4o + Azure Document Intelligence) do automatycznej ekstrakcji danych z dokumentów finansowych klientów (paski wynagrodzeń, PIT, wyciągi bankowe, umowy o pracę — etapowo). System generuje wstępną notatkę analityczną (Credit Memo) dla analityka ryzyka. Analityk weryfikuje manualnie każdą pozycję i podejmuje ostateczną decyzję — zasada Human-in-the-Loop jest nienaruszalna.</w:t>
      </w:r>
    </w:p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Problem do rozwiązania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Analitycy kredytowi spędzają 60–70% czasu na ręcznym przepisywaniu danych z aplikacji kredytowych do systemów — to praca 'data entry', nie analityczna.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Czas oczekiwania klienta na decyzję: 3 dni → klienci biznesowi BCE odchodzą do konkurencji, która decyduje w 24h.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Ręczne wprowadzanie danych sprzyja błędom → błędna ocena zdolności kredytowej → potencjalne straty (~18 000 PLN/incydent).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Wysoka rotacja analityków (28%/rok) — nowi pracownicy uczą się bardzo długo, co jest 'wąskim gardłem' produktywności.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Skanowane dokumenty o niskiej jakości (zdjęcia telefonem) są trudne do ręcznej weryfikacji, co spowalnia proces.</w:t>
      </w:r>
    </w:p>
    <w:p>
      <w:pPr>
        <w:spacing w:after="160" w:before="80"/>
      </w:pPr>
    </w:p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Ocena BXT — Business Viability (Żywotność Biznesowa)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biznesowe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Jak Use Case generuje wartość biznesową?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Znacznie szybsza decyzja kredytowa (z 3 dni → tego samego dnia) → wzrost konwersji wniosków o ~8% → bezpośredni wzrost przychodów. Redukcja cost-to-serve na 1 wniosek o ~60%.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Zgodność ze strategią organizacji?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Bezpośrednio realizuje OKR O3 (time-to-decision &lt;4h). Wzrost efektywności operacyjnej (Operational Excellence) — priorytet strategiczny zarządu.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Kto jest właścicielem OKR?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Dyrektor Dep. Ryzyka Kredytowego — Jolanta Kaczyńska. Sponsor: CFO + CRO (Chief Risk Officer).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Cele biznesowe (Business Objectives)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Zwiększenie efektywności analityków (więcej wniosków bez nowych etatów)
2. Redukcja cost-to-serve na 1 wniosek kredytowy
3. Skrócenie time-to-decision z 3 dni do &lt;4 godzin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Kluczowe wyniki (Key Results)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Czas weryfikacji wniosku: z 45 min → &lt;18 min w M8, &lt;8 min w M24
- OCR accuracy kluczowych pól: &gt;95%
- Wzrost liczby wniosków na analityka: +60% bez wzrostu FTE
- Zero fałszywych akceptacji kredytów (kryterium bramki Go/NoGo)
- NPS analityka: &gt;4,0/5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Horyzont wdrożenia Change Mgmt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4–6 miesięcy (MVP: jeden typ dokumentu — pasek wynagrodzeń). Szkolenia: 50 analityków kredytowych. Zmiana procesu: nowy workflow 'AI suggest → human verify → system update'.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skali biznesowej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Wpływ biznesowy (Business Impact)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Dopasowanie wykonawcze (Executional Fit)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Priorytet regulacyjny (Compliance Priority)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Ocena BXT — Experience Value (Desirability — Pożądalność)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doświadczenia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Wartość proposycja dla użytkownika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AI działa jak 'junior analyst' — przygotowuje brudnopis analizy (ekstrakcja danych, wstępna ocena, Credit Memo), a doświadczony analityk zajmuje się wyłącznie oceną merytoryczną i decyzją. Uwolnienie od 'nudnej pracy data entry'.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Kim jest główny użytkownik (Primary User)?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Marcin — Senior Credit Analyst MŚP, 8 lat doświadczenia, przeciążony pracą administracyjną. Chce skupiać się na skomplikowanych przypadkach, nie na przepisywaniu danych ze skanów.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Kto jest pilotem (Who is the pilot)?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 analityków kredytowych w środowisku staging M6–M7, obsługa 200 rzeczywistych wniosków w trybie wspomaganym (AI suggest, human decide).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Desirability — dlaczego analitycy to zaadoptują?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Analitycy są mocno przeciążeni pracą administracyjną. Narzędzie, które automatycznie 'czyta' skany i wypełnia dane w systemie, jest przez nich bardzo pożądane — pod warunkiem, że nie sprawi, że poczują się zagrożeni utratą pracy (change management kluczowy!).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Ryzyko nieadopcji / oporu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Główne ryzyko: analitycy obawiają się, że AI 'zastąpi' ich lub że błędy AI będą przypisywane im. Mitygacja: wyraźna komunikacja Human-in-the-Loop, AI jako narzędzie NIE decyduje, NPS analityków mierzony jako KPI.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desirability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Pożądalność użytkownika (User Desirability)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Wartość proposycja vs. status quo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Ryzyko change management (niższy = lepszy)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●●●○○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3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4.5 Ocena BXT — Technical Feasibility (Wykonalność Techniczna)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techniczne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Fit AI/LLM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Idealne dla Multimodal LLM (GPT-4o) — model potrafi 'widzieć' dokumenty (OCR vision) i rozumieć kontekst finansowy. Azure Document Intelligence v3.1 jako dedykowany OCR engine z pre-built modelem dla dokumentów finansowych.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Dostępna infrastruktura?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Wymaga: Azure Document Intelligence (OCR), GPT-4o (analiza i generacja Credit Memo), Palantir Foundry (pipeline danych, interfejs analityka), integracja z Temenos T24 (read-only w PoC).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Czy są wystarczające zabezpieczenia?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Human-in-the-Loop: AI NIE podejmuje decyzji kredytowej — jedynie rekomenduje
- Każda liczba wyciągnięta przez AI z dokumentu ma 'klikalne' odniesienie do oryginału (source grounding) — analityk może zweryfikować
- Przetwarzanie dokumentów wyłącznie w zamkniętym środowisku chmurowym UE
- DPIA wymagana i realizowana w M2
- Explainability: AI Act art. 13 — przejrzystość systemu wysokiego ryzyka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Ryzyka wdrożeniowe i operacyjne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Jakość skanów: ryzyko błędów OCR przy słabych dokumentach (zdjęcia telefonem) → próg odrzucenia, augmentation
- Formaty niestandardowe: różne layouty pasków od różnych pracodawców → rozszerzanie modelu
- Integracja z Core Banking (T24): krytyczna ścieżka — wymaga formalnego change request IT (bufor +3 tygodnie)
- Regulatorzy (AI Act): system wysokiego ryzyka → wymogi art. 9, 13, 14, 17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Scope PoC vs. Pilot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PoC: pasek wynagrodzeń (PDF/JPG), 3 pola (pracodawca, dochód brutto/netto, okres), pipeline end-to-end na 30 dokumentach.
Pilot: 200 wniosków, 5 analityków, pełny Credit Memo.
Produkcja: PIT, wyciąg bankowy, umowa o pracę, integracja BIK (koncepcyjnie).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Horyzont czasowy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3–6 miesięcy dla MVP wspierającego 1 typ dokumentu (pasek wynagrodzeń). Quick Win jeśli zaczniemy od prostego 'asystenta czytającego PDFy' bez pełnej integracji T24 na start.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techniczna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Wykonalność techniczna (Technical Feasibility)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Dojrzałość technologii OCR + GenAI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Kompleksowość integracji (niższy = łatwiej)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●●●○○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3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4.6 Ocena priorytetyzacji BXT (Macierz Impact × Fit)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UC-02 plasuje się jako 'Invest Long Term' lub 'Quick Win' (jeśli zaczniemy od prostego asystenta czytającego PDFy bez pełnej integracji na start). Strategiczny wpływ biznesowy: poziom 5 — kluczowe dla efektywności banku. Poziom 4 pod kątem dopasowania wykonawczego — łatwiejsze wdrożenie niż voicebot ze względu na Internal Facing (mniejsze ryzyko wizerunkowe).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Wymiar</w:t>
            </w:r>
          </w:p>
        </w:tc>
        <w:tc>
          <w:tcPr>
            <w:tcW w:type="dxa" w:w="72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Podsumowanie oceny BXT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BUSINESS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★★★★★  Najwyższy wpływ — bezpośrednie oszczędności + wzrost przychodów przez szybszą decyzję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EXPERIENCE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★★★★★  Analitycy desperacko potrzebują tego narzędzia — uwolnienie od data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TECHNOLOGY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★★★★☆  Dojrzała technologia OCR+LLM, wyzwanie to integracja T24 + wymogi AI 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REKOMENDACJA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Quick Win (prosty PDF reader) → następnie Invest Long Term (pełna integracja T24 + multi-doc)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USE CASE #03 — Hyper-Personalization Engine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Nazwa Use Case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Hiperpersonalizacja Ofert Marketingowych — Hyper-Personalization Engine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Numer UC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UC-03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Departament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Dział Marketingu / CRM / Digital Banking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Kierowanie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External Facing — kampanie do klientów; Internal Facing — narzędzie dla działu marketingu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Główny interesariusz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Dyrektor Marketingu — CMO (Krzysztof Bark)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Persona użytkownika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Magda — Specjalista działu marketingu, tworzy kampanie dla milionów klientów, nie ma czasu na ręczną segmentację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Opis Use Case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Silnik hiperpersonalizacji generujący unikalne treści komunikacyjne (e-mail, push, SMS) dla każdego klienta na podstawie analizy historii transakcyjnej i momentów życiowych. W fazie PoC — syntetyczna historia transakcyjna generowana przez LLM (dane rzeczywiste są wrażliwe RODO). Na tej podstawie silnik identyfikuje okazje cross-sell/up-sell i generuje spersonalizowaną komunikację marketingową. Opcjonalny stretch goal: multi-agent interaction z Agent 1 (Chatbot) dla głębszego kontekstu produktowego.</w:t>
      </w:r>
    </w:p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Problem do rozwiązania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Klienci otrzymują generyczne wiadomości ('Mamy dla Ciebie kredyt') — ignorują je (Open Rate &lt;8%, CTR 1,8%).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Tworzenie spersonalizowanych treści dla 1,2 mln klientów jest niemożliwe dla ludzi — brak skalowalności.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Cross-sell conversion wynosi 1,2% vs. 4,8% u liderów rynku — potencjalna utrata 20+ mln PLN przychodów rocznie.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Segmentacja jest statyczna i prosta (wiek + saldo) — brak mikrosegmentacji opartej na zachowaniach i momentach życiowych.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Wysoki koszt kampanii masowych przy niskim ROI — dyrektor marketingu nie potrafi uzasadnić budżetu akcjonariuszom.</w:t>
      </w:r>
    </w:p>
    <w:p>
      <w:pPr>
        <w:spacing w:after="160" w:before="80"/>
      </w:pPr>
    </w:p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Ocena BXT — Business Viability (Żywotność Biznesowa)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biznesowe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Jak Use Case generuje wartość biznesową?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Cross-sell uplift: +2,8% konwersja vs. 1,2% baseline × 500 000 aktywnych klientów × marża ~200 PLN = ~2,8 mln PLN/rok. Redukcja churnu o 0,5% × LTV 480 PLN = ~2,88 mln PLN/24M.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Zgodność ze strategią organizacji?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Bezpośrednio realizuje OKR O4 (wzrost przychodów ze sprzedaży krzyżowej +20 mln PLN rocznie) i O1 (NPS +15 pkt — klient czuje, że bank go rozumie).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Kto jest właścicielem OKR?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CMO (Krzysztof Bark) — właściciel przychodów z cross-sell. Sponsor: CEO/CCO (Chief Commercial Officer).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Cele biznesowe (Business Objectives)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Wzrost konwersji kampanii marketingowych (CR)
2. Redukcja kosztów kampanii przy zachowaniu ROI
3. Automatyzacja segmentacji i mikrosegmentacji (segmenty dynamiczne)
4. Redukcja churnu przez relevantną komunikację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Kluczowe wyniki (Key Results)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Lift CTR e-mail: z 1,8% → &gt;2,2% (+22%) w M8 Pilota
- Cross-sell conversion: z 1,2% → &gt;3,0% w grupie testowej
- Przychód inkrementalny mierzalny A/B testem: &gt;500 000 PLN w Pilocie
- Churn reduction: -0,5% bazy klientów w 24M
- Koszt na konwersję (CPAcq): redukcja o 30%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Horyzont wdrożenia Change Mgmt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4–6 miesięcy (pilotaż na 1000 klientów, kampania e-mail). Wymaga: akceptacja CMO, DPO (DPIA dla danych transakcyjnych), integracja Salesforce MC.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skali biznesowej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Wpływ biznesowy (Business Impact)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Dopasowanie do strategii wzrostu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Dopasowanie wykonawcze (Executional Fit)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Ocena BXT — Experience Value (Desirability — Pożądalność)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doświadczenia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Wartość proposycja dla użytkownika (klient)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Klient czuje, że bank go rozumie, a nie spamuje — 'bank wie, że mam małe dziecko i oferuje mi kartę cashback na stację paliw, nie kredyt hipoteczny'. Większe zaangażowanie w aplikacji mobilnej, lojalność.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Wartość proposycja dla Magdy (marketer)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Magda zamiast ręcznie tworzyć segmenty i treści dla 20 grup klientów, otrzymuje narzędzie generujące tysiące wariantów komunikacji automatycznie. Skupia się na strategii, nie operacjach.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Kim jest główny użytkownik (Primary User)?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Dwie persony: (1) Magda — specjalista marketingu, beneficjent produktywności. (2) Klient banku — beneficjent relevantnej oferty.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Kto jest pilotem (Who is the pilot)?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Pracownik działu marketingu (Magda) + wybrana grupa 1000 klientów beta (e-mail opt-in) w fazie Pilota M7–M8.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Ryzyko doświadczenia użytkownika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Klienci mogą postrzegać hiperpersonalizację jako 'creepy' (zbyt dokładna wiedza banku) → konieczny control nad preferencjami komunikacji
- RODO: zgoda na profilowanie — wymaga jasnego opt-in/opt-out mechanizmu
- Ryzyko dyskryminacji: segmentacja AI może nieświadomie wykluczać pewne grupy (bias) → monitoring i fairness assessment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desirability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Pożądalność przez klientów banku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Pożądalność przez dział marketingu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5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Ryzyko percepcji prywatności (niższy = lepiej)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●●●○○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3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5.5 Ocena BXT — Technical Feasibility (Wykonalność Techniczna)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Kryterium techniczne</w:t>
            </w:r>
          </w:p>
        </w:tc>
        <w:tc>
          <w:tcPr>
            <w:tcW w:type="dxa" w:w="61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i uzasadnienie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Fit AI/LLM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Rozwiązanie zakłada integrację GenAI (GPT-4o) z wewnętrznym CRM (Salesforce) oraz podejście RAG dla kontekstu produktowego. Azure ML do klasyfikacji segmentów. SDV/CTGAN do generacji syntetycznych danych transakcyjnych w PoC.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Dostępna infrastruktura?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Wymaga: GPT-4o (generacja komunikacji), Azure ML (segmentacja klientów), Salesforce Marketing Cloud (delivery kanału), SDV/CTGAN (syntetyczne dane do PoC), opcjonalnie Apache Kafka (real-time w skalowaniu).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Czy są wystarczające zabezpieczenia?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 praktyce bank MUSI dodać:
- Lokalne lub VPC-hosted modele (prywatna chmura) dla danych transakcyjnych
- Formalny proces aprobacyjny AI (review treści przed wysłaniem)
- DPIA (ocena skutków dla ochrony danych osobowych)
- AI Risk Assessment (bias, dyskryminacja)
- Monitoring generowanych treści (content moderation)
- Privacy guardrails: opt-in/opt-out dla profilowania
- Syntetyczne dane w PoC = obejście problemów RODO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Ryzyka wdrożeniowe i operacyjne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 Ryzyka danych (Data Risks): profilowanie transakcji wrażliwe RODO
- Integracja z CRM (Salesforce): wymaga konfiguracji API + testy deliverability
- Stabilność i dostępność modelu (SLA)
- Bias i dyskryminacja modeli: segmentacja może nieświadomie dyskryminować
- Halucynacje modelu: AI może generować nieprawdziwe informacje o produktach → guardrails
- Zależność od zewnętrznego dostawcy: zmiany API/cennika mogą przerwać usługę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Scope PoC vs. Pilot vs. Skalowanie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PoC: 10 000 syntetycznych profili, 3 segmenty, ocena jakości przez ekspertów marketingowych.
Pilot: 1000 klientów beta, kampania e-mail, A/B test vs. standardowy.
Skalowanie: real-time (Kafka), multi-agent (Agent 1 + Agent 3), push + SMS.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Stretch goal — Multi-Agent Orchestration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Agent 1 (Chatbot) + Agent 3 (Personalizacja) komunikują się: klient pytający o kredyt hipoteczny otrzymuje odpowiedź opartą jednocześnie na katalogu produktowym i spersonalizowanej analizie jego historii transakcyjnej. Termin: M18–M20 opcjonalnie.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Ocena techniczna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Skala (1–5)</w:t>
            </w:r>
          </w:p>
        </w:tc>
        <w:tc>
          <w:tcPr>
            <w:tcW w:type="dxa" w:w="26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Wynik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Wykonalność techniczna (Technical Feasibility)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Dojrzałość technologii GenAI +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Kompleksowość compliance RODO/AI Act (niższy = łatwiej)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●●●●○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4 / 5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5.6 Ocena priorytetyzacji BXT (Macierz Impact × Fit)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UC-03 plasuje się w kwadrancie 'Wysoki wpływ strategiczny / Średnio-wysokie dopasowanie wykonawcze'. Najwyższy potencjał przychodowy ze wszystkich trzech agentów, ale też najwyższe wymagania compliance (RODO + AI Act). Rekomendacja: start PoC na danych syntetycznych (eliminuje ryzyko RODO), fast-follow po UC-01.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Wymiar</w:t>
            </w:r>
          </w:p>
        </w:tc>
        <w:tc>
          <w:tcPr>
            <w:tcW w:type="dxa" w:w="72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Podsumowanie oceny BXT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BUSINESS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★★★★★  Najwyższy potencjał przychodowy — cross-sell uplift + redukcja churnu = &gt;5 mln PLN/24M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EXPERIENCE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★★★★☆  Klienci pożądają relevantnych ofert; marketingowcy — automatyzacji segmentacji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TECHNOLOGY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★★★★☆  Technologia dostępna; wyzwanie = RODO compliance i dane transakcyjne → syntetyczne dane as 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REKOMENDACJA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Start PoC M5 (syntetyczne dane) → Pilot M7–M8 → Produkcja M9 → Real-time M18 + Multi-Agent stretch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ZESTAWIENIE BXT — PRIORYTETYZACJA WSZYSTKICH USE CASES</w:t>
      </w:r>
    </w:p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Macierz BXT — ocena porównawcza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BUSINESS
(1–5)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EXPERIENCE
(1–5)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
(1–5)</w:t>
            </w:r>
          </w:p>
        </w:tc>
        <w:tc>
          <w:tcPr>
            <w:tcW w:type="dxa" w:w="24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Rekomendacja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UC-01: Product Catalogue Chatbot/Voicebot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Quick Win → INVEST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UC-02: OCR Credit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Quick Win + Invest 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UC-03: Hyper-Personalization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&amp; Learn → INVEST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Kolejność realizacji i uzasadnienie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00"/>
        <w:gridCol w:w="3838"/>
      </w:tblGrid>
      <w:tr>
        <w:trPr>
          <w:tblHeader/>
        </w:trP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 PoC</w:t>
            </w:r>
          </w:p>
        </w:tc>
        <w:tc>
          <w:tcPr>
            <w:tcW w:type="dxa" w:w="38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Uzasadnienie priorytetu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UC-01 — Chatbot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M3 (Sprint 1)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Quick win, najniższe ryzyko regulacyjne, najszybszy czas do wartości, external-facing = widoczny efekt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UC-02 — OCR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M4 (Sprint 3)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Wysokie oszczędności kosztowe, analitycy gotowi do UAT, wymaga DPIA — startujemy po DPIA z M2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UC-03 — Personalizacja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M5 (Sprint 5)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Najwyższy potencjał przychodowy, ale wymaga syntetycznych danych i akceptacji DPO — startuje po UC-01 i UC-02</w:t>
            </w:r>
          </w:p>
        </w:tc>
      </w:tr>
    </w:tbl>
    <w:p>
      <w:pPr>
        <w:pStyle w:val="Heading2"/>
        <w:shd w:fill="2E75B6" w:val="clear"/>
        <w:spacing w:after="14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Luki zidentyfikowane w oryginalnych Use Cases — uzupełnienia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Porównując oryginalne prezentacje UC-01, UC-02, UC-03 z wymaganiami szablonu BXT pre-workshop assessment, zidentyfikowano następujące braki, które zostały uzupełnione w niniejszym dokumencie: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838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UC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Brakujący element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 w oryginale</w:t>
            </w:r>
          </w:p>
        </w:tc>
        <w:tc>
          <w:tcPr>
            <w:tcW w:type="dxa" w:w="283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Uzupełnienie w tym dokumencie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Szczegółowe KPI Pilota z baseline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Brak numerycznych baseline'ów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Dodano: AHT 8min, deflection 0%, koszt CC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Pełny opis zmiany procesowej (Change Mgmt)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Brak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Dodano: 120 osób CC, redirect flow, nowe KPI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Persona użytkownika (Primary User)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Zbiorowa 'Zespół Analityków'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Dodano: Marcin — konkretna persona z potrzebami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Wymogi AI Act (high-risk system)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Tylko ogólna wzmianka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Dodano: art. 9, 13, 14, 17 + explainability + DPIA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Ryzyko bias i dyskryminacji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Wzmianka bez mitygacji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Dodano: fairness assessment, monitoring, guardrails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Mechanizm opt-in/opt-out RODO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Brak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Dodano: zgoda profilowanie, privacy guardrails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Wszystkie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Macierz zależności między UC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Brak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Dodano: kolejność startów, stretch goal multi-agent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Wszystkie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Profil organizacji BCE Bank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Szczątkowy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Pełny profil: historia, metryki, wyzwania, OKR</w:t>
            </w:r>
          </w:p>
        </w:tc>
      </w:tr>
    </w:tbl>
    <w:p>
      <w:r>
        <w:br w:type="page"/>
      </w:r>
    </w:p>
    <w:p>
      <w:pPr>
        <w:shd w:fill="1F3864" w:val="clear"/>
        <w:spacing w:after="20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BCE BANK S.A. — Profil Organizacji &amp; BXT Use Cases AI</w:t>
      </w:r>
    </w:p>
    <w:p>
      <w:pPr>
        <w:shd w:fill="1F3864" w:val="clear"/>
        <w:spacing w:after="200" w:before="0"/>
        <w:ind w:left="200" w:right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Dokument opracowany zgodnie z metodyką BXT (Microsoft) i standardami AI Act UE | Wersja 1.0 | Marzec 2026 | POUFNE — wyłącznie do użytku wewnętrznego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BCE Bank S.A. | Transformacja Cyfrowa AI | Marzec 2026 | Wersja 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BCE Bank S.A. — Profil Organizacji &amp; Use Cases AI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b/>
        <w:bCs/>
        <w:color w:val="C55A11"/>
        <w:sz w:val="18"/>
        <w:szCs w:val="18"/>
      </w:rPr>
      <w:t xml:space="preserve">POUFNE / WEWNĘTRZNE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2026-04-08T14:16:55.275Z</dcterms:created>
  <dcterms:modified xsi:type="dcterms:W3CDTF">2026-04-08T14:16:55.276Z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