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F05" w:rsidRPr="00410834" w:rsidRDefault="007C1F05" w:rsidP="007C1F05">
      <w:pPr>
        <w:spacing w:before="100" w:beforeAutospacing="1" w:after="100" w:afterAutospacing="1"/>
        <w:ind w:left="360"/>
        <w:rPr>
          <w:rFonts w:ascii="Candara" w:eastAsia="Times New Roman" w:hAnsi="Candara" w:cs="Times New Roman"/>
          <w:b/>
          <w:color w:val="333333"/>
          <w:sz w:val="22"/>
          <w:szCs w:val="22"/>
        </w:rPr>
      </w:pPr>
      <w:r w:rsidRPr="00410834">
        <w:rPr>
          <w:rFonts w:ascii="Candara" w:eastAsia="Times New Roman" w:hAnsi="Candara" w:cs="Times New Roman"/>
          <w:b/>
          <w:color w:val="333333"/>
          <w:sz w:val="22"/>
          <w:szCs w:val="22"/>
        </w:rPr>
        <w:t>Sex Differences in Admission Rates</w:t>
      </w:r>
      <w:r w:rsidR="00B02914" w:rsidRPr="00410834">
        <w:rPr>
          <w:rFonts w:ascii="Candara" w:eastAsia="Times New Roman" w:hAnsi="Candara" w:cs="Times New Roman"/>
          <w:b/>
          <w:color w:val="333333"/>
          <w:sz w:val="22"/>
          <w:szCs w:val="22"/>
        </w:rPr>
        <w:t>, Use of Anticoagulation</w:t>
      </w:r>
      <w:r w:rsidRPr="00410834">
        <w:rPr>
          <w:rFonts w:ascii="Candara" w:eastAsia="Times New Roman" w:hAnsi="Candara" w:cs="Times New Roman"/>
          <w:b/>
          <w:color w:val="333333"/>
          <w:sz w:val="22"/>
          <w:szCs w:val="22"/>
        </w:rPr>
        <w:t xml:space="preserve"> and Outcomes for Emergency Department Presentations of Atrial Fibrillation</w:t>
      </w:r>
      <w:r w:rsidR="00410834">
        <w:rPr>
          <w:rFonts w:ascii="Candara" w:eastAsia="Times New Roman" w:hAnsi="Candara" w:cs="Times New Roman"/>
          <w:b/>
          <w:color w:val="333333"/>
          <w:sz w:val="22"/>
          <w:szCs w:val="22"/>
        </w:rPr>
        <w:t xml:space="preserve"> </w:t>
      </w:r>
    </w:p>
    <w:p w:rsidR="007C1F05" w:rsidRPr="00410834" w:rsidRDefault="007C1F05" w:rsidP="007C1F05">
      <w:pPr>
        <w:spacing w:before="100" w:beforeAutospacing="1" w:after="100" w:afterAutospacing="1"/>
        <w:ind w:left="360"/>
        <w:rPr>
          <w:rFonts w:ascii="Candara" w:eastAsia="Times New Roman" w:hAnsi="Candara" w:cs="Times New Roman"/>
          <w:b/>
          <w:color w:val="333333"/>
          <w:sz w:val="22"/>
          <w:szCs w:val="22"/>
        </w:rPr>
      </w:pPr>
    </w:p>
    <w:p w:rsidR="006D129A" w:rsidRDefault="007C1F05" w:rsidP="002438A8">
      <w:pPr>
        <w:spacing w:before="100" w:beforeAutospacing="1" w:after="100" w:afterAutospacing="1"/>
        <w:ind w:left="360"/>
        <w:rPr>
          <w:rFonts w:ascii="Candara" w:eastAsia="Times New Roman" w:hAnsi="Candara" w:cs="Times New Roman"/>
          <w:color w:val="333333"/>
          <w:sz w:val="22"/>
          <w:szCs w:val="22"/>
        </w:rPr>
      </w:pPr>
      <w:r w:rsidRPr="00410834">
        <w:rPr>
          <w:rFonts w:ascii="Candara" w:eastAsia="Times New Roman" w:hAnsi="Candara" w:cs="Times New Roman"/>
          <w:b/>
          <w:color w:val="333333"/>
          <w:sz w:val="22"/>
          <w:szCs w:val="22"/>
        </w:rPr>
        <w:t>Background:</w:t>
      </w:r>
      <w:r w:rsidR="00D93862">
        <w:rPr>
          <w:rFonts w:ascii="Candara" w:eastAsia="Times New Roman" w:hAnsi="Candara" w:cs="Times New Roman"/>
          <w:b/>
          <w:color w:val="333333"/>
          <w:sz w:val="22"/>
          <w:szCs w:val="22"/>
        </w:rPr>
        <w:t xml:space="preserve"> </w:t>
      </w:r>
      <w:r w:rsidR="001552C1">
        <w:rPr>
          <w:rFonts w:ascii="Candara" w:eastAsia="Times New Roman" w:hAnsi="Candara" w:cs="Times New Roman"/>
          <w:color w:val="333333"/>
          <w:sz w:val="22"/>
          <w:szCs w:val="22"/>
        </w:rPr>
        <w:t xml:space="preserve">Studies </w:t>
      </w:r>
      <w:r w:rsidR="00697059">
        <w:rPr>
          <w:rFonts w:ascii="Candara" w:eastAsia="Times New Roman" w:hAnsi="Candara" w:cs="Times New Roman"/>
          <w:color w:val="333333"/>
          <w:sz w:val="22"/>
          <w:szCs w:val="22"/>
        </w:rPr>
        <w:t>in non-Emer</w:t>
      </w:r>
      <w:r w:rsidR="001552C1">
        <w:rPr>
          <w:rFonts w:ascii="Candara" w:eastAsia="Times New Roman" w:hAnsi="Candara" w:cs="Times New Roman"/>
          <w:color w:val="333333"/>
          <w:sz w:val="22"/>
          <w:szCs w:val="22"/>
        </w:rPr>
        <w:t xml:space="preserve">gency Department (ED) settings have shown </w:t>
      </w:r>
      <w:r w:rsidR="00697059">
        <w:rPr>
          <w:rFonts w:ascii="Candara" w:eastAsia="Times New Roman" w:hAnsi="Candara" w:cs="Times New Roman"/>
          <w:color w:val="333333"/>
          <w:sz w:val="22"/>
          <w:szCs w:val="22"/>
        </w:rPr>
        <w:t xml:space="preserve">women with </w:t>
      </w:r>
      <w:r w:rsidR="006D129A">
        <w:rPr>
          <w:rFonts w:ascii="Candara" w:eastAsia="Times New Roman" w:hAnsi="Candara" w:cs="Times New Roman"/>
          <w:color w:val="333333"/>
          <w:sz w:val="22"/>
          <w:szCs w:val="22"/>
        </w:rPr>
        <w:t xml:space="preserve">non-valvular </w:t>
      </w:r>
      <w:r w:rsidR="00697059">
        <w:rPr>
          <w:rFonts w:ascii="Candara" w:eastAsia="Times New Roman" w:hAnsi="Candara" w:cs="Times New Roman"/>
          <w:color w:val="333333"/>
          <w:sz w:val="22"/>
          <w:szCs w:val="22"/>
        </w:rPr>
        <w:t>atrial fibrillation (</w:t>
      </w:r>
      <w:r w:rsidR="006D129A">
        <w:rPr>
          <w:rFonts w:ascii="Candara" w:eastAsia="Times New Roman" w:hAnsi="Candara" w:cs="Times New Roman"/>
          <w:color w:val="333333"/>
          <w:sz w:val="22"/>
          <w:szCs w:val="22"/>
        </w:rPr>
        <w:t>NV</w:t>
      </w:r>
      <w:r w:rsidR="00697059">
        <w:rPr>
          <w:rFonts w:ascii="Candara" w:eastAsia="Times New Roman" w:hAnsi="Candara" w:cs="Times New Roman"/>
          <w:color w:val="333333"/>
          <w:sz w:val="22"/>
          <w:szCs w:val="22"/>
        </w:rPr>
        <w:t xml:space="preserve">AF) </w:t>
      </w:r>
      <w:r w:rsidR="00D93862">
        <w:rPr>
          <w:rFonts w:ascii="Candara" w:eastAsia="Times New Roman" w:hAnsi="Candara" w:cs="Times New Roman"/>
          <w:color w:val="333333"/>
          <w:sz w:val="22"/>
          <w:szCs w:val="22"/>
        </w:rPr>
        <w:t xml:space="preserve">differ in presentation, treatment and outcomes compared to men. </w:t>
      </w:r>
      <w:r w:rsidR="006D129A">
        <w:rPr>
          <w:rFonts w:ascii="Candara" w:eastAsia="Times New Roman" w:hAnsi="Candara" w:cs="Times New Roman"/>
          <w:color w:val="333333"/>
          <w:sz w:val="22"/>
          <w:szCs w:val="22"/>
        </w:rPr>
        <w:t>Despite AF be</w:t>
      </w:r>
      <w:r w:rsidR="002438A8">
        <w:rPr>
          <w:rFonts w:ascii="Candara" w:eastAsia="Times New Roman" w:hAnsi="Candara" w:cs="Times New Roman"/>
          <w:color w:val="333333"/>
          <w:sz w:val="22"/>
          <w:szCs w:val="22"/>
        </w:rPr>
        <w:t>ing a common reason for</w:t>
      </w:r>
      <w:r w:rsidR="006D129A">
        <w:rPr>
          <w:rFonts w:ascii="Candara" w:eastAsia="Times New Roman" w:hAnsi="Candara" w:cs="Times New Roman"/>
          <w:color w:val="333333"/>
          <w:sz w:val="22"/>
          <w:szCs w:val="22"/>
        </w:rPr>
        <w:t xml:space="preserve"> ED</w:t>
      </w:r>
      <w:r w:rsidR="002438A8">
        <w:rPr>
          <w:rFonts w:ascii="Candara" w:eastAsia="Times New Roman" w:hAnsi="Candara" w:cs="Times New Roman"/>
          <w:color w:val="333333"/>
          <w:sz w:val="22"/>
          <w:szCs w:val="22"/>
        </w:rPr>
        <w:t xml:space="preserve"> visit, little is known</w:t>
      </w:r>
      <w:r w:rsidR="006D129A">
        <w:rPr>
          <w:rFonts w:ascii="Candara" w:eastAsia="Times New Roman" w:hAnsi="Candara" w:cs="Times New Roman"/>
          <w:color w:val="333333"/>
          <w:sz w:val="22"/>
          <w:szCs w:val="22"/>
        </w:rPr>
        <w:t xml:space="preserve"> regarding sex-specific differences in </w:t>
      </w:r>
      <w:r w:rsidR="002438A8">
        <w:rPr>
          <w:rFonts w:ascii="Candara" w:eastAsia="Times New Roman" w:hAnsi="Candara" w:cs="Times New Roman"/>
          <w:color w:val="333333"/>
          <w:sz w:val="22"/>
          <w:szCs w:val="22"/>
        </w:rPr>
        <w:t xml:space="preserve">the ED </w:t>
      </w:r>
      <w:r w:rsidR="006D129A">
        <w:rPr>
          <w:rFonts w:ascii="Candara" w:eastAsia="Times New Roman" w:hAnsi="Candara" w:cs="Times New Roman"/>
          <w:color w:val="333333"/>
          <w:sz w:val="22"/>
          <w:szCs w:val="22"/>
        </w:rPr>
        <w:t xml:space="preserve">and how </w:t>
      </w:r>
      <w:r w:rsidR="002438A8">
        <w:rPr>
          <w:rFonts w:ascii="Candara" w:eastAsia="Times New Roman" w:hAnsi="Candara" w:cs="Times New Roman"/>
          <w:color w:val="333333"/>
          <w:sz w:val="22"/>
          <w:szCs w:val="22"/>
        </w:rPr>
        <w:t>it compares with admitted patients.</w:t>
      </w:r>
    </w:p>
    <w:p w:rsidR="007C1F05" w:rsidRPr="00410834" w:rsidRDefault="007C1F05" w:rsidP="00410834">
      <w:pPr>
        <w:spacing w:before="100" w:beforeAutospacing="1" w:after="100" w:afterAutospacing="1"/>
        <w:ind w:left="360"/>
        <w:rPr>
          <w:rFonts w:ascii="Candara" w:hAnsi="Candara" w:cs="Times New Roman"/>
          <w:sz w:val="22"/>
          <w:szCs w:val="22"/>
        </w:rPr>
      </w:pPr>
      <w:r w:rsidRPr="00410834">
        <w:rPr>
          <w:rFonts w:ascii="Candara" w:eastAsia="Times New Roman" w:hAnsi="Candara" w:cs="Times New Roman"/>
          <w:b/>
          <w:color w:val="333333"/>
          <w:sz w:val="22"/>
          <w:szCs w:val="22"/>
        </w:rPr>
        <w:t>Purpose:</w:t>
      </w:r>
      <w:r w:rsidR="00410834" w:rsidRPr="00410834">
        <w:rPr>
          <w:rFonts w:ascii="Candara" w:eastAsia="Times New Roman" w:hAnsi="Candara" w:cs="Times New Roman"/>
          <w:b/>
          <w:color w:val="333333"/>
          <w:sz w:val="22"/>
          <w:szCs w:val="22"/>
        </w:rPr>
        <w:t xml:space="preserve"> </w:t>
      </w:r>
      <w:r w:rsidR="00410834" w:rsidRPr="00410834">
        <w:rPr>
          <w:rFonts w:ascii="Candara" w:hAnsi="Candara" w:cs="Times New Roman"/>
          <w:sz w:val="22"/>
          <w:szCs w:val="22"/>
        </w:rPr>
        <w:t>We sought to determine whether</w:t>
      </w:r>
      <w:r w:rsidR="00410834">
        <w:rPr>
          <w:rFonts w:ascii="Candara" w:hAnsi="Candara" w:cs="Times New Roman"/>
          <w:sz w:val="22"/>
          <w:szCs w:val="22"/>
        </w:rPr>
        <w:t xml:space="preserve"> </w:t>
      </w:r>
      <w:r w:rsidR="00410834" w:rsidRPr="00410834">
        <w:rPr>
          <w:rFonts w:ascii="Candara" w:hAnsi="Candara" w:cs="Times New Roman"/>
          <w:sz w:val="22"/>
          <w:szCs w:val="22"/>
        </w:rPr>
        <w:t>sex-specific differences</w:t>
      </w:r>
      <w:r w:rsidR="001552C1">
        <w:rPr>
          <w:rFonts w:ascii="Candara" w:hAnsi="Candara" w:cs="Times New Roman"/>
          <w:sz w:val="22"/>
          <w:szCs w:val="22"/>
        </w:rPr>
        <w:t xml:space="preserve"> exist</w:t>
      </w:r>
      <w:r w:rsidR="00410834">
        <w:rPr>
          <w:rFonts w:ascii="Candara" w:hAnsi="Candara" w:cs="Times New Roman"/>
          <w:sz w:val="22"/>
          <w:szCs w:val="22"/>
        </w:rPr>
        <w:t xml:space="preserve"> in rates of admission among </w:t>
      </w:r>
      <w:r w:rsidR="001552C1">
        <w:rPr>
          <w:rFonts w:ascii="Candara" w:hAnsi="Candara" w:cs="Times New Roman"/>
          <w:sz w:val="22"/>
          <w:szCs w:val="22"/>
        </w:rPr>
        <w:t xml:space="preserve">NVAF </w:t>
      </w:r>
      <w:r w:rsidR="00410834">
        <w:rPr>
          <w:rFonts w:ascii="Candara" w:hAnsi="Candara" w:cs="Times New Roman"/>
          <w:sz w:val="22"/>
          <w:szCs w:val="22"/>
        </w:rPr>
        <w:t xml:space="preserve">patients </w:t>
      </w:r>
      <w:r w:rsidR="006D129A">
        <w:rPr>
          <w:rFonts w:ascii="Candara" w:hAnsi="Candara" w:cs="Times New Roman"/>
          <w:sz w:val="22"/>
          <w:szCs w:val="22"/>
        </w:rPr>
        <w:t xml:space="preserve">presenting to the ED </w:t>
      </w:r>
      <w:r w:rsidR="00410834">
        <w:rPr>
          <w:rFonts w:ascii="Candara" w:hAnsi="Candara" w:cs="Times New Roman"/>
          <w:sz w:val="22"/>
          <w:szCs w:val="22"/>
        </w:rPr>
        <w:t xml:space="preserve">and if use of oral anticoagulation therapy </w:t>
      </w:r>
      <w:r w:rsidR="00410834" w:rsidRPr="00410834">
        <w:rPr>
          <w:rFonts w:ascii="Candara" w:hAnsi="Candara" w:cs="Times New Roman"/>
          <w:sz w:val="22"/>
          <w:szCs w:val="22"/>
        </w:rPr>
        <w:t>and outcom</w:t>
      </w:r>
      <w:bookmarkStart w:id="0" w:name="_GoBack"/>
      <w:bookmarkEnd w:id="0"/>
      <w:r w:rsidR="00410834" w:rsidRPr="00410834">
        <w:rPr>
          <w:rFonts w:ascii="Candara" w:hAnsi="Candara" w:cs="Times New Roman"/>
          <w:sz w:val="22"/>
          <w:szCs w:val="22"/>
        </w:rPr>
        <w:t>es</w:t>
      </w:r>
      <w:r w:rsidR="00410834">
        <w:rPr>
          <w:rFonts w:ascii="Candara" w:hAnsi="Candara" w:cs="Times New Roman"/>
          <w:sz w:val="22"/>
          <w:szCs w:val="22"/>
        </w:rPr>
        <w:t xml:space="preserve"> differ according to triage decision</w:t>
      </w:r>
      <w:r w:rsidR="00410834" w:rsidRPr="00410834">
        <w:rPr>
          <w:rFonts w:ascii="Candara" w:hAnsi="Candara" w:cs="Times New Roman"/>
          <w:sz w:val="22"/>
          <w:szCs w:val="22"/>
        </w:rPr>
        <w:t>.</w:t>
      </w:r>
    </w:p>
    <w:p w:rsidR="007C1F05" w:rsidRPr="001248DB" w:rsidRDefault="007C1F05" w:rsidP="001248DB">
      <w:pPr>
        <w:spacing w:before="100" w:beforeAutospacing="1" w:after="100" w:afterAutospacing="1"/>
        <w:ind w:left="360"/>
        <w:rPr>
          <w:rFonts w:ascii="Candara" w:hAnsi="Candara" w:cs="Times New Roman"/>
          <w:sz w:val="22"/>
          <w:szCs w:val="22"/>
        </w:rPr>
      </w:pPr>
      <w:r w:rsidRPr="00410834">
        <w:rPr>
          <w:rFonts w:ascii="Candara" w:eastAsia="Times New Roman" w:hAnsi="Candara" w:cs="Times New Roman"/>
          <w:b/>
          <w:color w:val="333333"/>
          <w:sz w:val="22"/>
          <w:szCs w:val="22"/>
        </w:rPr>
        <w:t>Methods</w:t>
      </w:r>
      <w:r w:rsidR="00410834">
        <w:rPr>
          <w:rFonts w:ascii="Candara" w:eastAsia="Times New Roman" w:hAnsi="Candara" w:cs="Times New Roman"/>
          <w:b/>
          <w:color w:val="333333"/>
          <w:sz w:val="22"/>
          <w:szCs w:val="22"/>
        </w:rPr>
        <w:t xml:space="preserve">: </w:t>
      </w:r>
      <w:r w:rsidR="00410834" w:rsidRPr="009D029C">
        <w:rPr>
          <w:rFonts w:ascii="Candara" w:hAnsi="Candara" w:cs="Times New Roman"/>
          <w:sz w:val="22"/>
          <w:szCs w:val="22"/>
        </w:rPr>
        <w:t>Patients</w:t>
      </w:r>
      <w:r w:rsidR="00410834" w:rsidRPr="009D029C">
        <w:rPr>
          <w:rFonts w:ascii="Candara" w:hAnsi="Candara" w:cs="Times New Roman"/>
          <w:b/>
          <w:sz w:val="22"/>
          <w:szCs w:val="22"/>
        </w:rPr>
        <w:t xml:space="preserve"> </w:t>
      </w:r>
      <w:r w:rsidR="00410834" w:rsidRPr="009D029C">
        <w:rPr>
          <w:rFonts w:ascii="Candara" w:hAnsi="Candara" w:cs="Times New Roman"/>
          <w:sz w:val="22"/>
          <w:szCs w:val="22"/>
          <w:u w:val="single"/>
        </w:rPr>
        <w:t>&gt;</w:t>
      </w:r>
      <w:r w:rsidR="00410834" w:rsidRPr="009D029C">
        <w:rPr>
          <w:rFonts w:ascii="Candara" w:hAnsi="Candara" w:cs="Times New Roman"/>
          <w:sz w:val="22"/>
          <w:szCs w:val="22"/>
        </w:rPr>
        <w:t xml:space="preserve">18 years old, presenting to the ED with </w:t>
      </w:r>
      <w:r w:rsidR="006D129A">
        <w:rPr>
          <w:rFonts w:ascii="Candara" w:hAnsi="Candara" w:cs="Times New Roman"/>
          <w:sz w:val="22"/>
          <w:szCs w:val="22"/>
        </w:rPr>
        <w:t>incident NV</w:t>
      </w:r>
      <w:r w:rsidR="00410834" w:rsidRPr="009D029C">
        <w:rPr>
          <w:rFonts w:ascii="Candara" w:hAnsi="Candara" w:cs="Times New Roman"/>
          <w:sz w:val="22"/>
          <w:szCs w:val="22"/>
        </w:rPr>
        <w:t>AF</w:t>
      </w:r>
      <w:r w:rsidR="009D029C" w:rsidRPr="009D029C">
        <w:rPr>
          <w:rFonts w:ascii="Candara" w:hAnsi="Candara" w:cs="Times New Roman"/>
          <w:sz w:val="22"/>
          <w:szCs w:val="22"/>
        </w:rPr>
        <w:t xml:space="preserve"> (ICD-9-CM 427.3or ICD-10 code I48)</w:t>
      </w:r>
      <w:r w:rsidR="00410834" w:rsidRPr="009D029C">
        <w:rPr>
          <w:rFonts w:ascii="Candara" w:hAnsi="Candara" w:cs="Times New Roman"/>
          <w:sz w:val="22"/>
          <w:szCs w:val="22"/>
        </w:rPr>
        <w:t xml:space="preserve"> in</w:t>
      </w:r>
      <w:r w:rsidR="00410834">
        <w:rPr>
          <w:rFonts w:ascii="Candara" w:hAnsi="Candara" w:cs="Times New Roman"/>
          <w:sz w:val="22"/>
          <w:szCs w:val="22"/>
        </w:rPr>
        <w:t xml:space="preserve"> two </w:t>
      </w:r>
      <w:r w:rsidR="00410834" w:rsidRPr="00410834">
        <w:rPr>
          <w:rFonts w:ascii="Candara" w:hAnsi="Candara" w:cs="Times New Roman"/>
          <w:sz w:val="22"/>
          <w:szCs w:val="22"/>
        </w:rPr>
        <w:t>Canad</w:t>
      </w:r>
      <w:r w:rsidR="00410834">
        <w:rPr>
          <w:rFonts w:ascii="Candara" w:hAnsi="Candara" w:cs="Times New Roman"/>
          <w:sz w:val="22"/>
          <w:szCs w:val="22"/>
        </w:rPr>
        <w:t>i</w:t>
      </w:r>
      <w:r w:rsidR="00410834" w:rsidRPr="00410834">
        <w:rPr>
          <w:rFonts w:ascii="Candara" w:hAnsi="Candara" w:cs="Times New Roman"/>
          <w:sz w:val="22"/>
          <w:szCs w:val="22"/>
        </w:rPr>
        <w:t>a</w:t>
      </w:r>
      <w:r w:rsidR="00410834">
        <w:rPr>
          <w:rFonts w:ascii="Candara" w:hAnsi="Candara" w:cs="Times New Roman"/>
          <w:sz w:val="22"/>
          <w:szCs w:val="22"/>
        </w:rPr>
        <w:t>n provinces from 200</w:t>
      </w:r>
      <w:r w:rsidR="009D029C">
        <w:rPr>
          <w:rFonts w:ascii="Candara" w:hAnsi="Candara" w:cs="Times New Roman"/>
          <w:sz w:val="22"/>
          <w:szCs w:val="22"/>
        </w:rPr>
        <w:t>x</w:t>
      </w:r>
      <w:r w:rsidR="00410834">
        <w:rPr>
          <w:rFonts w:ascii="Candara" w:hAnsi="Candara" w:cs="Times New Roman"/>
          <w:sz w:val="22"/>
          <w:szCs w:val="22"/>
        </w:rPr>
        <w:t>-20</w:t>
      </w:r>
      <w:r w:rsidR="009D029C">
        <w:rPr>
          <w:rFonts w:ascii="Candara" w:hAnsi="Candara" w:cs="Times New Roman"/>
          <w:sz w:val="22"/>
          <w:szCs w:val="22"/>
        </w:rPr>
        <w:t>yy</w:t>
      </w:r>
      <w:r w:rsidR="00410834" w:rsidRPr="00410834">
        <w:rPr>
          <w:rFonts w:ascii="Candara" w:hAnsi="Candara" w:cs="Times New Roman"/>
          <w:sz w:val="22"/>
          <w:szCs w:val="22"/>
        </w:rPr>
        <w:t xml:space="preserve"> were included. ED records were linked to hospital records to identify patients admitted versus discharged from the ED. Outcomes included 30-da</w:t>
      </w:r>
      <w:r w:rsidR="00410834">
        <w:rPr>
          <w:rFonts w:ascii="Candara" w:hAnsi="Candara" w:cs="Times New Roman"/>
          <w:sz w:val="22"/>
          <w:szCs w:val="22"/>
        </w:rPr>
        <w:t>y and 1-year stroke, heart failure and all-cause mortality</w:t>
      </w:r>
      <w:r w:rsidR="00410834" w:rsidRPr="00410834">
        <w:rPr>
          <w:rFonts w:ascii="Candara" w:hAnsi="Candara" w:cs="Times New Roman"/>
          <w:sz w:val="22"/>
          <w:szCs w:val="22"/>
        </w:rPr>
        <w:t xml:space="preserve">. </w:t>
      </w:r>
      <w:r w:rsidR="009D029C">
        <w:rPr>
          <w:rFonts w:ascii="Candara" w:hAnsi="Candara" w:cs="Times New Roman"/>
          <w:sz w:val="22"/>
          <w:szCs w:val="22"/>
        </w:rPr>
        <w:t>The pharmacy information network was queried for use of warfarin and direct oral anticoagulation within 90 days of NVAF diagnosis</w:t>
      </w:r>
      <w:r w:rsidR="001248DB">
        <w:rPr>
          <w:rFonts w:ascii="Candara" w:hAnsi="Candara" w:cs="Times New Roman"/>
          <w:sz w:val="22"/>
          <w:szCs w:val="22"/>
        </w:rPr>
        <w:t>.</w:t>
      </w:r>
      <w:r w:rsidR="009D029C">
        <w:rPr>
          <w:rFonts w:ascii="Candara" w:hAnsi="Candara" w:cs="Times New Roman"/>
          <w:sz w:val="22"/>
          <w:szCs w:val="22"/>
        </w:rPr>
        <w:t xml:space="preserve"> </w:t>
      </w:r>
      <w:r w:rsidR="00410834" w:rsidRPr="00410834">
        <w:rPr>
          <w:rFonts w:ascii="Candara" w:hAnsi="Candara" w:cs="Times New Roman"/>
          <w:sz w:val="22"/>
          <w:szCs w:val="22"/>
        </w:rPr>
        <w:t>Multivariable logistic regression assessed the association between sex</w:t>
      </w:r>
      <w:r w:rsidR="00B51D60">
        <w:rPr>
          <w:rFonts w:ascii="Candara" w:hAnsi="Candara" w:cs="Times New Roman"/>
          <w:sz w:val="22"/>
          <w:szCs w:val="22"/>
        </w:rPr>
        <w:t xml:space="preserve">, </w:t>
      </w:r>
      <w:r w:rsidR="00410834" w:rsidRPr="00410834">
        <w:rPr>
          <w:rFonts w:ascii="Candara" w:hAnsi="Candara" w:cs="Times New Roman"/>
          <w:sz w:val="22"/>
          <w:szCs w:val="22"/>
        </w:rPr>
        <w:t>and outcomes.</w:t>
      </w:r>
    </w:p>
    <w:p w:rsidR="00B51D60" w:rsidRDefault="007C1F05" w:rsidP="002438A8">
      <w:pPr>
        <w:spacing w:before="100" w:beforeAutospacing="1" w:after="100" w:afterAutospacing="1"/>
        <w:ind w:left="360"/>
        <w:rPr>
          <w:rFonts w:ascii="Candara" w:hAnsi="Candara" w:cs="Times New Roman"/>
          <w:sz w:val="22"/>
          <w:szCs w:val="22"/>
        </w:rPr>
      </w:pPr>
      <w:r w:rsidRPr="00410834">
        <w:rPr>
          <w:rFonts w:ascii="Candara" w:eastAsia="Times New Roman" w:hAnsi="Candara" w:cs="Times New Roman"/>
          <w:b/>
          <w:color w:val="333333"/>
          <w:sz w:val="22"/>
          <w:szCs w:val="22"/>
        </w:rPr>
        <w:t>Results:</w:t>
      </w:r>
      <w:r w:rsidR="002438A8">
        <w:rPr>
          <w:rFonts w:ascii="Candara" w:eastAsia="Times New Roman" w:hAnsi="Candara" w:cs="Times New Roman"/>
          <w:b/>
          <w:color w:val="333333"/>
          <w:sz w:val="22"/>
          <w:szCs w:val="22"/>
        </w:rPr>
        <w:t xml:space="preserve"> </w:t>
      </w:r>
      <w:r w:rsidR="002438A8">
        <w:rPr>
          <w:rFonts w:ascii="Candara" w:hAnsi="Candara" w:cs="Times New Roman"/>
          <w:sz w:val="22"/>
          <w:szCs w:val="22"/>
        </w:rPr>
        <w:t>Of the XX</w:t>
      </w:r>
      <w:r w:rsidR="002438A8" w:rsidRPr="002438A8">
        <w:rPr>
          <w:rFonts w:ascii="Candara" w:hAnsi="Candara" w:cs="Times New Roman"/>
          <w:sz w:val="22"/>
          <w:szCs w:val="22"/>
        </w:rPr>
        <w:t xml:space="preserve"> ED </w:t>
      </w:r>
      <w:r w:rsidR="002438A8">
        <w:rPr>
          <w:rFonts w:ascii="Candara" w:hAnsi="Candara" w:cs="Times New Roman"/>
          <w:sz w:val="22"/>
          <w:szCs w:val="22"/>
        </w:rPr>
        <w:t>NVAF</w:t>
      </w:r>
      <w:r w:rsidR="002438A8" w:rsidRPr="002438A8">
        <w:rPr>
          <w:rFonts w:ascii="Candara" w:hAnsi="Candara" w:cs="Times New Roman"/>
          <w:sz w:val="22"/>
          <w:szCs w:val="22"/>
        </w:rPr>
        <w:t xml:space="preserve"> patients, </w:t>
      </w:r>
      <w:r w:rsidR="002438A8">
        <w:rPr>
          <w:rFonts w:ascii="Candara" w:hAnsi="Candara" w:cs="Times New Roman"/>
          <w:sz w:val="22"/>
          <w:szCs w:val="22"/>
        </w:rPr>
        <w:t>XX (XX%) were women and YY (YY</w:t>
      </w:r>
      <w:r w:rsidR="002438A8" w:rsidRPr="002438A8">
        <w:rPr>
          <w:rFonts w:ascii="Candara" w:hAnsi="Candara" w:cs="Times New Roman"/>
          <w:sz w:val="22"/>
          <w:szCs w:val="22"/>
        </w:rPr>
        <w:t xml:space="preserve">%) were men (p&lt;0.01). Compared to men, women were </w:t>
      </w:r>
      <w:r w:rsidR="002438A8">
        <w:rPr>
          <w:rFonts w:ascii="Candara" w:hAnsi="Candara" w:cs="Times New Roman"/>
          <w:sz w:val="22"/>
          <w:szCs w:val="22"/>
        </w:rPr>
        <w:t xml:space="preserve">age </w:t>
      </w:r>
      <w:r w:rsidR="002438A8" w:rsidRPr="002438A8">
        <w:rPr>
          <w:rFonts w:ascii="Candara" w:hAnsi="Candara" w:cs="Times New Roman"/>
          <w:sz w:val="22"/>
          <w:szCs w:val="22"/>
        </w:rPr>
        <w:t>(</w:t>
      </w:r>
      <w:r w:rsidR="002438A8">
        <w:rPr>
          <w:rFonts w:ascii="Candara" w:hAnsi="Candara" w:cs="Times New Roman"/>
          <w:sz w:val="22"/>
          <w:szCs w:val="22"/>
        </w:rPr>
        <w:t xml:space="preserve">xx vs </w:t>
      </w:r>
      <w:proofErr w:type="spellStart"/>
      <w:r w:rsidR="002438A8">
        <w:rPr>
          <w:rFonts w:ascii="Candara" w:hAnsi="Candara" w:cs="Times New Roman"/>
          <w:sz w:val="22"/>
          <w:szCs w:val="22"/>
        </w:rPr>
        <w:t>yy</w:t>
      </w:r>
      <w:proofErr w:type="spellEnd"/>
      <w:r w:rsidR="002438A8" w:rsidRPr="002438A8">
        <w:rPr>
          <w:rFonts w:ascii="Candara" w:hAnsi="Candara" w:cs="Times New Roman"/>
          <w:sz w:val="22"/>
          <w:szCs w:val="22"/>
        </w:rPr>
        <w:t xml:space="preserve"> years, p&lt;0.001),</w:t>
      </w:r>
      <w:r w:rsidR="002438A8">
        <w:rPr>
          <w:rFonts w:ascii="Candara" w:hAnsi="Candara" w:cs="Times New Roman"/>
          <w:sz w:val="22"/>
          <w:szCs w:val="22"/>
        </w:rPr>
        <w:t xml:space="preserve"> comorbidities, CHADS2 score</w:t>
      </w:r>
      <w:r w:rsidR="002438A8" w:rsidRPr="002438A8">
        <w:rPr>
          <w:rFonts w:ascii="Candara" w:hAnsi="Candara" w:cs="Times New Roman"/>
          <w:sz w:val="22"/>
          <w:szCs w:val="22"/>
        </w:rPr>
        <w:t xml:space="preserve">. Overall, </w:t>
      </w:r>
      <w:r w:rsidR="002438A8">
        <w:rPr>
          <w:rFonts w:ascii="Candara" w:hAnsi="Candara" w:cs="Times New Roman"/>
          <w:sz w:val="22"/>
          <w:szCs w:val="22"/>
        </w:rPr>
        <w:t xml:space="preserve">xx% women and </w:t>
      </w:r>
      <w:proofErr w:type="spellStart"/>
      <w:r w:rsidR="002438A8">
        <w:rPr>
          <w:rFonts w:ascii="Candara" w:hAnsi="Candara" w:cs="Times New Roman"/>
          <w:sz w:val="22"/>
          <w:szCs w:val="22"/>
        </w:rPr>
        <w:t>yy</w:t>
      </w:r>
      <w:proofErr w:type="spellEnd"/>
      <w:r w:rsidR="002438A8" w:rsidRPr="002438A8">
        <w:rPr>
          <w:rFonts w:ascii="Candara" w:hAnsi="Candara" w:cs="Times New Roman"/>
          <w:sz w:val="22"/>
          <w:szCs w:val="22"/>
        </w:rPr>
        <w:t>% men were admitted to hospital (p&lt;0.001).</w:t>
      </w:r>
      <w:r w:rsidR="00B51D60">
        <w:rPr>
          <w:rFonts w:ascii="Candara" w:hAnsi="Candara" w:cs="Times New Roman"/>
          <w:sz w:val="22"/>
          <w:szCs w:val="22"/>
        </w:rPr>
        <w:t xml:space="preserve"> OAC therapy was initiated among XX% women discharged and XX% hospitalized and YY% men discharged and YY% hospitalized.</w:t>
      </w:r>
    </w:p>
    <w:p w:rsidR="00B51D60" w:rsidRDefault="002438A8" w:rsidP="002438A8">
      <w:pPr>
        <w:spacing w:before="100" w:beforeAutospacing="1" w:after="100" w:afterAutospacing="1"/>
        <w:ind w:left="360"/>
        <w:rPr>
          <w:rFonts w:ascii="Candara" w:hAnsi="Candara" w:cs="Times New Roman"/>
          <w:sz w:val="22"/>
          <w:szCs w:val="22"/>
        </w:rPr>
      </w:pPr>
      <w:r>
        <w:rPr>
          <w:rFonts w:ascii="Candara" w:hAnsi="Candara" w:cs="Times New Roman"/>
          <w:sz w:val="22"/>
          <w:szCs w:val="22"/>
        </w:rPr>
        <w:t>Women had higher</w:t>
      </w:r>
      <w:r w:rsidR="00B51D60">
        <w:rPr>
          <w:rFonts w:ascii="Candara" w:hAnsi="Candara" w:cs="Times New Roman"/>
          <w:sz w:val="22"/>
          <w:szCs w:val="22"/>
        </w:rPr>
        <w:t>/lower</w:t>
      </w:r>
      <w:r w:rsidRPr="002438A8">
        <w:rPr>
          <w:rFonts w:ascii="Candara" w:hAnsi="Candara" w:cs="Times New Roman"/>
          <w:sz w:val="22"/>
          <w:szCs w:val="22"/>
        </w:rPr>
        <w:t xml:space="preserve"> </w:t>
      </w:r>
      <w:r>
        <w:rPr>
          <w:rFonts w:ascii="Candara" w:hAnsi="Candara" w:cs="Times New Roman"/>
          <w:sz w:val="22"/>
          <w:szCs w:val="22"/>
        </w:rPr>
        <w:t>mortality</w:t>
      </w:r>
      <w:r w:rsidRPr="002438A8">
        <w:rPr>
          <w:rFonts w:ascii="Candara" w:hAnsi="Candara" w:cs="Times New Roman"/>
          <w:sz w:val="22"/>
          <w:szCs w:val="22"/>
        </w:rPr>
        <w:t xml:space="preserve"> rates (</w:t>
      </w:r>
      <w:r>
        <w:rPr>
          <w:rFonts w:ascii="Candara" w:hAnsi="Candara" w:cs="Times New Roman"/>
          <w:sz w:val="22"/>
          <w:szCs w:val="22"/>
        </w:rPr>
        <w:t xml:space="preserve">30-day admitted: xx% women and </w:t>
      </w:r>
      <w:proofErr w:type="spellStart"/>
      <w:r>
        <w:rPr>
          <w:rFonts w:ascii="Candara" w:hAnsi="Candara" w:cs="Times New Roman"/>
          <w:sz w:val="22"/>
          <w:szCs w:val="22"/>
        </w:rPr>
        <w:t>yy</w:t>
      </w:r>
      <w:proofErr w:type="spellEnd"/>
      <w:r w:rsidR="00B51D60">
        <w:rPr>
          <w:rFonts w:ascii="Candara" w:hAnsi="Candara" w:cs="Times New Roman"/>
          <w:sz w:val="22"/>
          <w:szCs w:val="22"/>
        </w:rPr>
        <w:t xml:space="preserve">% men, p&lt;0.001; discharged: xx% women and </w:t>
      </w:r>
      <w:proofErr w:type="spellStart"/>
      <w:r w:rsidR="00B51D60">
        <w:rPr>
          <w:rFonts w:ascii="Candara" w:hAnsi="Candara" w:cs="Times New Roman"/>
          <w:sz w:val="22"/>
          <w:szCs w:val="22"/>
        </w:rPr>
        <w:t>yy</w:t>
      </w:r>
      <w:proofErr w:type="spellEnd"/>
      <w:r w:rsidRPr="002438A8">
        <w:rPr>
          <w:rFonts w:ascii="Candara" w:hAnsi="Candara" w:cs="Times New Roman"/>
          <w:sz w:val="22"/>
          <w:szCs w:val="22"/>
        </w:rPr>
        <w:t>% men, p</w:t>
      </w:r>
      <w:r w:rsidR="00B51D60">
        <w:rPr>
          <w:rFonts w:ascii="Candara" w:hAnsi="Candara" w:cs="Times New Roman"/>
          <w:sz w:val="22"/>
          <w:szCs w:val="22"/>
        </w:rPr>
        <w:t xml:space="preserve">&lt;0.001 and 1-year admitted: xx% women and </w:t>
      </w:r>
      <w:proofErr w:type="spellStart"/>
      <w:r w:rsidR="00B51D60">
        <w:rPr>
          <w:rFonts w:ascii="Candara" w:hAnsi="Candara" w:cs="Times New Roman"/>
          <w:sz w:val="22"/>
          <w:szCs w:val="22"/>
        </w:rPr>
        <w:t>yy</w:t>
      </w:r>
      <w:proofErr w:type="spellEnd"/>
      <w:r w:rsidR="00B51D60">
        <w:rPr>
          <w:rFonts w:ascii="Candara" w:hAnsi="Candara" w:cs="Times New Roman"/>
          <w:sz w:val="22"/>
          <w:szCs w:val="22"/>
        </w:rPr>
        <w:t xml:space="preserve">% men, p&lt;0.001; discharged: xx% women and </w:t>
      </w:r>
      <w:proofErr w:type="spellStart"/>
      <w:r w:rsidR="00B51D60">
        <w:rPr>
          <w:rFonts w:ascii="Candara" w:hAnsi="Candara" w:cs="Times New Roman"/>
          <w:sz w:val="22"/>
          <w:szCs w:val="22"/>
        </w:rPr>
        <w:t>yy</w:t>
      </w:r>
      <w:proofErr w:type="spellEnd"/>
      <w:r w:rsidRPr="002438A8">
        <w:rPr>
          <w:rFonts w:ascii="Candara" w:hAnsi="Candara" w:cs="Times New Roman"/>
          <w:sz w:val="22"/>
          <w:szCs w:val="22"/>
        </w:rPr>
        <w:t>% men, p&lt;0.001)</w:t>
      </w:r>
      <w:r w:rsidR="00B51D60">
        <w:rPr>
          <w:rFonts w:ascii="Candara" w:hAnsi="Candara" w:cs="Times New Roman"/>
          <w:sz w:val="22"/>
          <w:szCs w:val="22"/>
        </w:rPr>
        <w:t>; stroke and HF; whether differs by OAC therapy.</w:t>
      </w:r>
    </w:p>
    <w:p w:rsidR="002438A8" w:rsidRPr="002438A8" w:rsidRDefault="004727A0" w:rsidP="002438A8">
      <w:pPr>
        <w:spacing w:before="100" w:beforeAutospacing="1" w:after="100" w:afterAutospacing="1"/>
        <w:ind w:left="360"/>
        <w:rPr>
          <w:rFonts w:ascii="Candara" w:eastAsia="Times New Roman" w:hAnsi="Candara" w:cs="Times New Roman"/>
          <w:b/>
          <w:color w:val="333333"/>
          <w:sz w:val="22"/>
          <w:szCs w:val="22"/>
        </w:rPr>
      </w:pPr>
      <w:r>
        <w:rPr>
          <w:rFonts w:ascii="Candara" w:hAnsi="Candara" w:cs="Times New Roman"/>
          <w:sz w:val="22"/>
          <w:szCs w:val="22"/>
        </w:rPr>
        <w:t>Would include outcomes</w:t>
      </w:r>
      <w:r w:rsidR="00B51D60">
        <w:rPr>
          <w:rFonts w:ascii="Candara" w:hAnsi="Candara" w:cs="Times New Roman"/>
          <w:sz w:val="22"/>
          <w:szCs w:val="22"/>
        </w:rPr>
        <w:t xml:space="preserve"> data in a table</w:t>
      </w:r>
      <w:r>
        <w:rPr>
          <w:rFonts w:ascii="Candara" w:hAnsi="Candara" w:cs="Times New Roman"/>
          <w:sz w:val="22"/>
          <w:szCs w:val="22"/>
        </w:rPr>
        <w:t>.</w:t>
      </w:r>
    </w:p>
    <w:p w:rsidR="00CA08BC" w:rsidRDefault="007C1F05" w:rsidP="007C1F05">
      <w:pPr>
        <w:spacing w:before="100" w:beforeAutospacing="1" w:after="100" w:afterAutospacing="1"/>
        <w:ind w:left="360"/>
        <w:rPr>
          <w:rFonts w:ascii="Candara" w:eastAsia="Times New Roman" w:hAnsi="Candara" w:cs="Times New Roman"/>
          <w:b/>
          <w:color w:val="333333"/>
          <w:sz w:val="22"/>
          <w:szCs w:val="22"/>
        </w:rPr>
      </w:pPr>
      <w:r w:rsidRPr="00410834">
        <w:rPr>
          <w:rFonts w:ascii="Candara" w:eastAsia="Times New Roman" w:hAnsi="Candara" w:cs="Times New Roman"/>
          <w:b/>
          <w:color w:val="333333"/>
          <w:sz w:val="22"/>
          <w:szCs w:val="22"/>
        </w:rPr>
        <w:t>Conclusions:</w:t>
      </w:r>
    </w:p>
    <w:p w:rsidR="00CA08BC" w:rsidRDefault="00CA08BC">
      <w:pPr>
        <w:rPr>
          <w:rFonts w:ascii="Candara" w:eastAsia="Times New Roman" w:hAnsi="Candara" w:cs="Times New Roman"/>
          <w:b/>
          <w:color w:val="333333"/>
          <w:sz w:val="22"/>
          <w:szCs w:val="22"/>
        </w:rPr>
      </w:pPr>
      <w:r>
        <w:rPr>
          <w:rFonts w:ascii="Candara" w:eastAsia="Times New Roman" w:hAnsi="Candara" w:cs="Times New Roman"/>
          <w:b/>
          <w:color w:val="333333"/>
          <w:sz w:val="22"/>
          <w:szCs w:val="22"/>
        </w:rPr>
        <w:br w:type="page"/>
      </w:r>
    </w:p>
    <w:p w:rsidR="00D4446A" w:rsidRPr="00D4446A" w:rsidRDefault="00D4446A" w:rsidP="00B266A3">
      <w:pPr>
        <w:spacing w:before="100" w:beforeAutospacing="1" w:after="100" w:afterAutospacing="1"/>
        <w:rPr>
          <w:rFonts w:asciiTheme="majorHAnsi" w:eastAsia="Times New Roman" w:hAnsiTheme="majorHAnsi" w:cs="Times New Roman"/>
          <w:b/>
          <w:color w:val="333333"/>
          <w:sz w:val="28"/>
          <w:szCs w:val="22"/>
        </w:rPr>
      </w:pPr>
      <w:r w:rsidRPr="00D4446A">
        <w:rPr>
          <w:rFonts w:asciiTheme="majorHAnsi" w:eastAsia="Times New Roman" w:hAnsiTheme="majorHAnsi" w:cs="Times New Roman"/>
          <w:b/>
          <w:color w:val="333333"/>
          <w:sz w:val="28"/>
          <w:szCs w:val="22"/>
        </w:rPr>
        <w:lastRenderedPageBreak/>
        <w:t>BC Data Analysis</w:t>
      </w:r>
    </w:p>
    <w:p w:rsidR="00CA08BC" w:rsidRDefault="00BF25CC" w:rsidP="00B266A3">
      <w:pPr>
        <w:spacing w:before="100" w:beforeAutospacing="1" w:after="100" w:afterAutospacing="1"/>
        <w:rPr>
          <w:rFonts w:asciiTheme="majorHAnsi" w:eastAsia="Times New Roman" w:hAnsiTheme="majorHAnsi" w:cs="Times New Roman"/>
          <w:b/>
          <w:color w:val="333333"/>
          <w:sz w:val="22"/>
          <w:szCs w:val="22"/>
        </w:rPr>
      </w:pPr>
      <w:r>
        <w:rPr>
          <w:rFonts w:asciiTheme="majorHAnsi" w:eastAsia="Times New Roman" w:hAnsiTheme="majorHAnsi" w:cs="Times New Roman"/>
          <w:b/>
          <w:color w:val="333333"/>
          <w:sz w:val="22"/>
          <w:szCs w:val="22"/>
        </w:rPr>
        <w:t>M</w:t>
      </w:r>
      <w:r w:rsidR="00CA08BC">
        <w:rPr>
          <w:rFonts w:asciiTheme="majorHAnsi" w:eastAsia="Times New Roman" w:hAnsiTheme="majorHAnsi" w:cs="Times New Roman"/>
          <w:b/>
          <w:color w:val="333333"/>
          <w:sz w:val="22"/>
          <w:szCs w:val="22"/>
        </w:rPr>
        <w:t>ethodology:</w:t>
      </w:r>
    </w:p>
    <w:p w:rsidR="002A31DC" w:rsidRDefault="002A31DC" w:rsidP="002A31DC">
      <w:pPr>
        <w:spacing w:before="100" w:beforeAutospacing="1" w:after="100" w:afterAutospacing="1"/>
        <w:rPr>
          <w:rFonts w:ascii="Calibri" w:hAnsi="Calibri"/>
          <w:b/>
          <w:bCs/>
          <w:color w:val="333333"/>
          <w:sz w:val="22"/>
          <w:szCs w:val="22"/>
        </w:rPr>
      </w:pPr>
      <w:r>
        <w:rPr>
          <w:rFonts w:ascii="Calibri" w:hAnsi="Calibri"/>
          <w:b/>
          <w:bCs/>
          <w:color w:val="333333"/>
          <w:sz w:val="22"/>
          <w:szCs w:val="22"/>
        </w:rPr>
        <w:t>Cohort:</w:t>
      </w:r>
    </w:p>
    <w:p w:rsidR="002A31DC" w:rsidRDefault="002A31DC" w:rsidP="006C0968">
      <w:pPr>
        <w:spacing w:before="100" w:beforeAutospacing="1" w:after="100" w:afterAutospacing="1"/>
        <w:ind w:left="360"/>
        <w:rPr>
          <w:rFonts w:ascii="Calibri" w:hAnsi="Calibri"/>
          <w:color w:val="333333"/>
          <w:sz w:val="22"/>
          <w:szCs w:val="22"/>
        </w:rPr>
      </w:pPr>
      <w:r>
        <w:rPr>
          <w:rFonts w:ascii="Calibri" w:hAnsi="Calibri"/>
          <w:b/>
          <w:bCs/>
          <w:color w:val="333333"/>
          <w:sz w:val="22"/>
          <w:szCs w:val="22"/>
        </w:rPr>
        <w:t>Timeframe:</w:t>
      </w:r>
      <w:r>
        <w:rPr>
          <w:rFonts w:ascii="Calibri" w:hAnsi="Calibri"/>
          <w:color w:val="333333"/>
          <w:sz w:val="22"/>
          <w:szCs w:val="22"/>
        </w:rPr>
        <w:t xml:space="preserve"> April 2012-</w:t>
      </w:r>
      <w:r w:rsidR="006C0968">
        <w:rPr>
          <w:rFonts w:ascii="Calibri" w:hAnsi="Calibri"/>
          <w:color w:val="333333"/>
          <w:sz w:val="22"/>
          <w:szCs w:val="22"/>
        </w:rPr>
        <w:t>March 2015</w:t>
      </w:r>
    </w:p>
    <w:p w:rsidR="002A31DC" w:rsidRDefault="002A31DC" w:rsidP="002A31DC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Calibri" w:hAnsi="Calibri"/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Identify all ED visits with discharge diagnosis of AF (ICD10=I48) in any position</w:t>
      </w:r>
    </w:p>
    <w:p w:rsidR="002A31DC" w:rsidRDefault="002A31DC" w:rsidP="002A31DC">
      <w:pPr>
        <w:pStyle w:val="ListParagraph"/>
        <w:numPr>
          <w:ilvl w:val="1"/>
          <w:numId w:val="10"/>
        </w:numPr>
        <w:spacing w:before="100" w:beforeAutospacing="1" w:after="100" w:afterAutospacing="1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Hospital Province = BC</w:t>
      </w:r>
    </w:p>
    <w:p w:rsidR="002A31DC" w:rsidRDefault="002A31DC" w:rsidP="002A31DC">
      <w:pPr>
        <w:pStyle w:val="ListParagraph"/>
        <w:numPr>
          <w:ilvl w:val="1"/>
          <w:numId w:val="10"/>
        </w:numPr>
        <w:spacing w:before="100" w:beforeAutospacing="1" w:after="100" w:afterAutospacing="1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ED Visit indicator = 1 (True ED Visit)</w:t>
      </w:r>
    </w:p>
    <w:p w:rsidR="002A31DC" w:rsidRPr="00D4446A" w:rsidRDefault="002A31DC" w:rsidP="002A31DC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Find first hospitalization admission within 24 hours after ED </w:t>
      </w:r>
      <w:r w:rsidRPr="00D4446A">
        <w:rPr>
          <w:bCs/>
          <w:color w:val="333333"/>
          <w:sz w:val="22"/>
          <w:szCs w:val="22"/>
        </w:rPr>
        <w:t>registration date/time</w:t>
      </w:r>
    </w:p>
    <w:p w:rsidR="002A31DC" w:rsidRDefault="002A31DC" w:rsidP="002A31DC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Identify comorbidities</w:t>
      </w:r>
    </w:p>
    <w:p w:rsidR="002A31DC" w:rsidRDefault="002A31DC" w:rsidP="002A31DC">
      <w:pPr>
        <w:pStyle w:val="ListParagraph"/>
        <w:numPr>
          <w:ilvl w:val="1"/>
          <w:numId w:val="10"/>
        </w:numPr>
        <w:spacing w:before="100" w:beforeAutospacing="1" w:after="100" w:afterAutospacing="1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Pre-admit diagnosis in current hospitalization; or</w:t>
      </w:r>
    </w:p>
    <w:p w:rsidR="002A31DC" w:rsidRDefault="002A31DC" w:rsidP="002A31DC">
      <w:pPr>
        <w:pStyle w:val="ListParagraph"/>
        <w:numPr>
          <w:ilvl w:val="1"/>
          <w:numId w:val="10"/>
        </w:numPr>
        <w:spacing w:before="100" w:beforeAutospacing="1" w:after="100" w:afterAutospacing="1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3 year lookback of 1 DAD, 1 ED, or 2 Claims within a 2 year period </w:t>
      </w:r>
    </w:p>
    <w:p w:rsidR="002A31DC" w:rsidRDefault="002A31DC" w:rsidP="002A31DC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Define initial OAC prescription within 90 days of ED registration date </w:t>
      </w:r>
    </w:p>
    <w:p w:rsidR="002A31DC" w:rsidRDefault="002A31DC" w:rsidP="002A31DC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Define 30 Day and 1 Year Outcomes</w:t>
      </w:r>
    </w:p>
    <w:p w:rsidR="002A31DC" w:rsidRDefault="002A31DC" w:rsidP="002A31DC">
      <w:pPr>
        <w:pStyle w:val="ListParagraph"/>
        <w:numPr>
          <w:ilvl w:val="1"/>
          <w:numId w:val="10"/>
        </w:numPr>
        <w:spacing w:before="100" w:beforeAutospacing="1" w:after="100" w:afterAutospacing="1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Death from BC vital statistics </w:t>
      </w:r>
    </w:p>
    <w:p w:rsidR="002A31DC" w:rsidRDefault="002A31DC" w:rsidP="002A31DC">
      <w:pPr>
        <w:pStyle w:val="ListParagraph"/>
        <w:numPr>
          <w:ilvl w:val="1"/>
          <w:numId w:val="10"/>
        </w:numPr>
        <w:spacing w:before="100" w:beforeAutospacing="1" w:after="100" w:afterAutospacing="1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Stroke/HF from DAD</w:t>
      </w:r>
      <w:r w:rsidR="003C4827">
        <w:rPr>
          <w:color w:val="333333"/>
          <w:sz w:val="22"/>
          <w:szCs w:val="22"/>
        </w:rPr>
        <w:t xml:space="preserve"> (MRD Diagnosis)</w:t>
      </w:r>
    </w:p>
    <w:p w:rsidR="002A31DC" w:rsidRDefault="002A31DC" w:rsidP="002A31DC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Exclusions:</w:t>
      </w:r>
    </w:p>
    <w:p w:rsidR="002A31DC" w:rsidRDefault="002A31DC" w:rsidP="002A31DC">
      <w:pPr>
        <w:pStyle w:val="ListParagraph"/>
        <w:numPr>
          <w:ilvl w:val="1"/>
          <w:numId w:val="10"/>
        </w:numPr>
        <w:spacing w:before="100" w:beforeAutospacing="1" w:after="100" w:afterAutospacing="1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Age &lt; 18 at time of ED Visit</w:t>
      </w:r>
    </w:p>
    <w:p w:rsidR="00BF7CF8" w:rsidRDefault="00BF7CF8" w:rsidP="002A31DC">
      <w:pPr>
        <w:pStyle w:val="ListParagraph"/>
        <w:numPr>
          <w:ilvl w:val="1"/>
          <w:numId w:val="10"/>
        </w:numPr>
        <w:spacing w:before="100" w:beforeAutospacing="1" w:after="100" w:afterAutospacing="1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Unknown Sex</w:t>
      </w:r>
    </w:p>
    <w:p w:rsidR="002A31DC" w:rsidRDefault="002A31DC" w:rsidP="00DB35B8">
      <w:pPr>
        <w:pStyle w:val="ListParagraph"/>
        <w:numPr>
          <w:ilvl w:val="1"/>
          <w:numId w:val="10"/>
        </w:numPr>
        <w:spacing w:before="100" w:beforeAutospacing="1" w:after="100" w:afterAutospacing="1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Non-Valvular AF, defined by: </w:t>
      </w:r>
      <w:r w:rsidR="00DB35B8">
        <w:rPr>
          <w:color w:val="333333"/>
          <w:sz w:val="22"/>
          <w:szCs w:val="22"/>
        </w:rPr>
        <w:t>MV/AV Disease or Valve Repair/Replacement within 3 years prior.</w:t>
      </w:r>
    </w:p>
    <w:p w:rsidR="002A31DC" w:rsidRDefault="002A31DC" w:rsidP="002A31DC">
      <w:pPr>
        <w:pStyle w:val="ListParagraph"/>
        <w:numPr>
          <w:ilvl w:val="1"/>
          <w:numId w:val="10"/>
        </w:numPr>
        <w:spacing w:before="100" w:beforeAutospacing="1" w:after="100" w:afterAutospacing="1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Prior AF defined as 1 DAD, 1 ED, or 1 Claim within 3 years prior.</w:t>
      </w:r>
    </w:p>
    <w:p w:rsidR="002A31DC" w:rsidRDefault="002A31DC" w:rsidP="002A31DC">
      <w:pPr>
        <w:pStyle w:val="ListParagraph"/>
        <w:numPr>
          <w:ilvl w:val="1"/>
          <w:numId w:val="10"/>
        </w:numPr>
        <w:spacing w:before="100" w:beforeAutospacing="1" w:after="100" w:afterAutospacing="1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OAC </w:t>
      </w:r>
      <w:r w:rsidR="000C5CA6">
        <w:rPr>
          <w:color w:val="333333"/>
          <w:sz w:val="22"/>
          <w:szCs w:val="22"/>
        </w:rPr>
        <w:t>I</w:t>
      </w:r>
      <w:r>
        <w:rPr>
          <w:color w:val="333333"/>
          <w:sz w:val="22"/>
          <w:szCs w:val="22"/>
        </w:rPr>
        <w:t>nitiation: Exclude pat</w:t>
      </w:r>
      <w:r w:rsidR="006C0968">
        <w:rPr>
          <w:color w:val="333333"/>
          <w:sz w:val="22"/>
          <w:szCs w:val="22"/>
        </w:rPr>
        <w:t>ients who died prior to 90 days</w:t>
      </w:r>
    </w:p>
    <w:p w:rsidR="002A31DC" w:rsidRDefault="002A31DC" w:rsidP="002A31DC">
      <w:pPr>
        <w:spacing w:before="100" w:beforeAutospacing="1" w:after="100" w:afterAutospacing="1"/>
        <w:rPr>
          <w:rFonts w:ascii="Calibri" w:hAnsi="Calibri"/>
          <w:b/>
          <w:bCs/>
          <w:color w:val="333333"/>
          <w:sz w:val="22"/>
          <w:szCs w:val="22"/>
        </w:rPr>
      </w:pPr>
      <w:r>
        <w:rPr>
          <w:rFonts w:ascii="Calibri" w:hAnsi="Calibri"/>
          <w:b/>
          <w:bCs/>
          <w:color w:val="333333"/>
          <w:sz w:val="22"/>
          <w:szCs w:val="22"/>
        </w:rPr>
        <w:t>Analyses</w:t>
      </w:r>
    </w:p>
    <w:p w:rsidR="002A31DC" w:rsidRDefault="002A31DC" w:rsidP="002A31DC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Calibri" w:hAnsi="Calibri"/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Summarize baseline characteristics by sex, compare with t-test, Wilcoxon rank-sum, or chi-square test where appropriate.</w:t>
      </w:r>
    </w:p>
    <w:p w:rsidR="002A31DC" w:rsidRDefault="002A31DC" w:rsidP="002A31DC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Summarize rates of admission by sex, chi-square test. </w:t>
      </w:r>
    </w:p>
    <w:p w:rsidR="00BF25CC" w:rsidRPr="00BF25CC" w:rsidRDefault="002A31DC" w:rsidP="00A315C8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asciiTheme="majorHAnsi" w:eastAsia="Times New Roman" w:hAnsiTheme="majorHAnsi" w:cs="Times New Roman"/>
          <w:bCs/>
          <w:color w:val="333333"/>
          <w:sz w:val="22"/>
          <w:szCs w:val="22"/>
        </w:rPr>
      </w:pPr>
      <w:r w:rsidRPr="00BF25CC">
        <w:rPr>
          <w:color w:val="333333"/>
          <w:sz w:val="22"/>
          <w:szCs w:val="22"/>
        </w:rPr>
        <w:t xml:space="preserve">Summarize rates of 90 day OAC initiation and 30 day/1 year outcomes (Mortality/Stroke/HF) by sex and admission status, chi-square </w:t>
      </w:r>
    </w:p>
    <w:p w:rsidR="0056646D" w:rsidRPr="008554D3" w:rsidRDefault="00BF25CC" w:rsidP="008554D3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asciiTheme="majorHAnsi" w:eastAsia="Times New Roman" w:hAnsiTheme="majorHAnsi" w:cs="Times New Roman"/>
          <w:bCs/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Model 1 year mortality using logistic regression</w:t>
      </w:r>
      <w:r w:rsidR="00D4446A">
        <w:rPr>
          <w:color w:val="333333"/>
          <w:sz w:val="22"/>
          <w:szCs w:val="22"/>
        </w:rPr>
        <w:t xml:space="preserve"> among those surviving to 90 days</w:t>
      </w:r>
    </w:p>
    <w:sectPr w:rsidR="0056646D" w:rsidRPr="008554D3" w:rsidSect="00C9189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57C65"/>
    <w:multiLevelType w:val="hybridMultilevel"/>
    <w:tmpl w:val="EF10CEE4"/>
    <w:lvl w:ilvl="0" w:tplc="1009000F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410D0"/>
    <w:multiLevelType w:val="hybridMultilevel"/>
    <w:tmpl w:val="E60048F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C26AA"/>
    <w:multiLevelType w:val="multilevel"/>
    <w:tmpl w:val="25D6F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170865"/>
    <w:multiLevelType w:val="hybridMultilevel"/>
    <w:tmpl w:val="7BCA6524"/>
    <w:lvl w:ilvl="0" w:tplc="FE8031C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2103E9"/>
    <w:multiLevelType w:val="hybridMultilevel"/>
    <w:tmpl w:val="FB6ABCC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902D25"/>
    <w:multiLevelType w:val="hybridMultilevel"/>
    <w:tmpl w:val="FF7E2BB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7D4C76"/>
    <w:multiLevelType w:val="hybridMultilevel"/>
    <w:tmpl w:val="09FA3CFA"/>
    <w:lvl w:ilvl="0" w:tplc="C3DA2E74">
      <w:start w:val="1"/>
      <w:numFmt w:val="decimal"/>
      <w:lvlText w:val="%1."/>
      <w:lvlJc w:val="left"/>
      <w:pPr>
        <w:ind w:left="720" w:hanging="360"/>
      </w:pPr>
      <w:rPr>
        <w:rFonts w:asciiTheme="majorHAnsi" w:eastAsia="Times New Roman" w:hAnsiTheme="majorHAnsi" w:cs="Times New Roman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1E1514"/>
    <w:multiLevelType w:val="hybridMultilevel"/>
    <w:tmpl w:val="F3CEEFD8"/>
    <w:lvl w:ilvl="0" w:tplc="CF1E43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DE31AAB"/>
    <w:multiLevelType w:val="hybridMultilevel"/>
    <w:tmpl w:val="18CC8B74"/>
    <w:lvl w:ilvl="0" w:tplc="041C0BE2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5"/>
  </w:num>
  <w:num w:numId="5">
    <w:abstractNumId w:val="3"/>
  </w:num>
  <w:num w:numId="6">
    <w:abstractNumId w:val="6"/>
  </w:num>
  <w:num w:numId="7">
    <w:abstractNumId w:val="0"/>
  </w:num>
  <w:num w:numId="8">
    <w:abstractNumId w:val="7"/>
  </w:num>
  <w:num w:numId="9">
    <w:abstractNumId w:val="1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C1F05"/>
    <w:rsid w:val="000C5CA6"/>
    <w:rsid w:val="000D2E2C"/>
    <w:rsid w:val="001248DB"/>
    <w:rsid w:val="001552C1"/>
    <w:rsid w:val="002438A8"/>
    <w:rsid w:val="002857F7"/>
    <w:rsid w:val="002A31DC"/>
    <w:rsid w:val="002F6AAB"/>
    <w:rsid w:val="00306219"/>
    <w:rsid w:val="00391CEC"/>
    <w:rsid w:val="003C4827"/>
    <w:rsid w:val="003E4D17"/>
    <w:rsid w:val="00402819"/>
    <w:rsid w:val="00410834"/>
    <w:rsid w:val="004727A0"/>
    <w:rsid w:val="00564863"/>
    <w:rsid w:val="0056646D"/>
    <w:rsid w:val="005C703F"/>
    <w:rsid w:val="005F2F18"/>
    <w:rsid w:val="00697059"/>
    <w:rsid w:val="006A296D"/>
    <w:rsid w:val="006C0968"/>
    <w:rsid w:val="006D129A"/>
    <w:rsid w:val="007B4C8C"/>
    <w:rsid w:val="007C1F05"/>
    <w:rsid w:val="007E25F7"/>
    <w:rsid w:val="00825B27"/>
    <w:rsid w:val="008554D3"/>
    <w:rsid w:val="008620D9"/>
    <w:rsid w:val="00937FDC"/>
    <w:rsid w:val="00942E8A"/>
    <w:rsid w:val="009D029C"/>
    <w:rsid w:val="009D560E"/>
    <w:rsid w:val="00A228BC"/>
    <w:rsid w:val="00A77F6F"/>
    <w:rsid w:val="00B02914"/>
    <w:rsid w:val="00B266A3"/>
    <w:rsid w:val="00B51D60"/>
    <w:rsid w:val="00B778DA"/>
    <w:rsid w:val="00BB589B"/>
    <w:rsid w:val="00BB5F71"/>
    <w:rsid w:val="00BC3072"/>
    <w:rsid w:val="00BF25CC"/>
    <w:rsid w:val="00BF7CF8"/>
    <w:rsid w:val="00C54DEA"/>
    <w:rsid w:val="00C91899"/>
    <w:rsid w:val="00CA08BC"/>
    <w:rsid w:val="00CF0F60"/>
    <w:rsid w:val="00D4446A"/>
    <w:rsid w:val="00D93862"/>
    <w:rsid w:val="00DB35B8"/>
    <w:rsid w:val="00DC475C"/>
    <w:rsid w:val="00E7350A"/>
    <w:rsid w:val="00E8006F"/>
    <w:rsid w:val="00EA089C"/>
    <w:rsid w:val="00F13354"/>
    <w:rsid w:val="00FA274F"/>
    <w:rsid w:val="00FA4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65CBC9B9-1C04-4375-AB83-4B6FC387F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F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8BC"/>
    <w:pPr>
      <w:ind w:left="720"/>
      <w:contextualSpacing/>
    </w:pPr>
  </w:style>
  <w:style w:type="table" w:styleId="TableGrid">
    <w:name w:val="Table Grid"/>
    <w:basedOn w:val="TableNormal"/>
    <w:uiPriority w:val="59"/>
    <w:rsid w:val="00EA08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A089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89C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EA089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11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Roopinder Sandhu</dc:creator>
  <cp:keywords/>
  <dc:description/>
  <cp:lastModifiedBy>Patrick Daniele</cp:lastModifiedBy>
  <cp:revision>29</cp:revision>
  <cp:lastPrinted>2019-02-12T00:00:00Z</cp:lastPrinted>
  <dcterms:created xsi:type="dcterms:W3CDTF">2019-02-11T18:45:00Z</dcterms:created>
  <dcterms:modified xsi:type="dcterms:W3CDTF">2019-02-13T21:22:00Z</dcterms:modified>
</cp:coreProperties>
</file>