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E03F82" w14:textId="77777777" w:rsidR="007C1F05" w:rsidRPr="00410834" w:rsidRDefault="007C1F05" w:rsidP="007C1F05">
      <w:pPr>
        <w:spacing w:before="100" w:beforeAutospacing="1" w:after="100" w:afterAutospacing="1"/>
        <w:ind w:left="360"/>
        <w:rPr>
          <w:rFonts w:ascii="Candara" w:eastAsia="Times New Roman" w:hAnsi="Candara" w:cs="Times New Roman"/>
          <w:b/>
          <w:color w:val="333333"/>
          <w:sz w:val="22"/>
          <w:szCs w:val="22"/>
        </w:rPr>
      </w:pPr>
      <w:r w:rsidRPr="00410834">
        <w:rPr>
          <w:rFonts w:ascii="Candara" w:eastAsia="Times New Roman" w:hAnsi="Candara" w:cs="Times New Roman"/>
          <w:b/>
          <w:color w:val="333333"/>
          <w:sz w:val="22"/>
          <w:szCs w:val="22"/>
        </w:rPr>
        <w:t>Sex Differences in Admission Rates</w:t>
      </w:r>
      <w:r w:rsidR="00B02914" w:rsidRPr="00410834">
        <w:rPr>
          <w:rFonts w:ascii="Candara" w:eastAsia="Times New Roman" w:hAnsi="Candara" w:cs="Times New Roman"/>
          <w:b/>
          <w:color w:val="333333"/>
          <w:sz w:val="22"/>
          <w:szCs w:val="22"/>
        </w:rPr>
        <w:t>, Use of Anticoagulation</w:t>
      </w:r>
      <w:r w:rsidRPr="00410834">
        <w:rPr>
          <w:rFonts w:ascii="Candara" w:eastAsia="Times New Roman" w:hAnsi="Candara" w:cs="Times New Roman"/>
          <w:b/>
          <w:color w:val="333333"/>
          <w:sz w:val="22"/>
          <w:szCs w:val="22"/>
        </w:rPr>
        <w:t xml:space="preserve"> and Outcomes for Emergency Department Presentations of Atrial Fibrillation</w:t>
      </w:r>
      <w:r w:rsidR="00410834">
        <w:rPr>
          <w:rFonts w:ascii="Candara" w:eastAsia="Times New Roman" w:hAnsi="Candara" w:cs="Times New Roman"/>
          <w:b/>
          <w:color w:val="333333"/>
          <w:sz w:val="22"/>
          <w:szCs w:val="22"/>
        </w:rPr>
        <w:t xml:space="preserve"> </w:t>
      </w:r>
    </w:p>
    <w:p w14:paraId="4A423E04" w14:textId="1AC10916" w:rsidR="00A10085" w:rsidRDefault="00A10085" w:rsidP="00682660">
      <w:pPr>
        <w:spacing w:before="100" w:beforeAutospacing="1" w:after="100" w:afterAutospacing="1"/>
        <w:ind w:left="360"/>
        <w:rPr>
          <w:rFonts w:ascii="interstateregular" w:hAnsi="interstateregular" w:hint="eastAsia"/>
          <w:color w:val="000000"/>
          <w:sz w:val="18"/>
          <w:szCs w:val="18"/>
          <w:shd w:val="clear" w:color="auto" w:fill="FFFFFF"/>
        </w:rPr>
      </w:pPr>
      <w:r>
        <w:rPr>
          <w:rFonts w:ascii="interstateregular" w:hAnsi="interstateregular"/>
          <w:color w:val="000000"/>
          <w:sz w:val="18"/>
          <w:szCs w:val="18"/>
          <w:shd w:val="clear" w:color="auto" w:fill="FFFFFF"/>
        </w:rPr>
        <w:t>P. Daniele</w:t>
      </w:r>
      <w:r>
        <w:rPr>
          <w:rFonts w:ascii="interstateregular" w:hAnsi="interstateregular"/>
          <w:color w:val="000000"/>
          <w:sz w:val="14"/>
          <w:szCs w:val="14"/>
          <w:shd w:val="clear" w:color="auto" w:fill="FFFFFF"/>
          <w:vertAlign w:val="superscript"/>
        </w:rPr>
        <w:t>1</w:t>
      </w:r>
      <w:r>
        <w:rPr>
          <w:rFonts w:ascii="interstateregular" w:hAnsi="interstateregular"/>
          <w:color w:val="000000"/>
          <w:sz w:val="18"/>
          <w:szCs w:val="18"/>
          <w:shd w:val="clear" w:color="auto" w:fill="FFFFFF"/>
        </w:rPr>
        <w:t>, DC. Dover</w:t>
      </w:r>
      <w:r>
        <w:rPr>
          <w:rFonts w:ascii="interstateregular" w:hAnsi="interstateregular"/>
          <w:color w:val="000000"/>
          <w:sz w:val="14"/>
          <w:szCs w:val="14"/>
          <w:shd w:val="clear" w:color="auto" w:fill="FFFFFF"/>
          <w:vertAlign w:val="superscript"/>
        </w:rPr>
        <w:t>2</w:t>
      </w:r>
      <w:r>
        <w:rPr>
          <w:rFonts w:ascii="interstateregular" w:hAnsi="interstateregular"/>
          <w:color w:val="000000"/>
          <w:sz w:val="18"/>
          <w:szCs w:val="18"/>
          <w:shd w:val="clear" w:color="auto" w:fill="FFFFFF"/>
        </w:rPr>
        <w:t xml:space="preserve">, </w:t>
      </w:r>
      <w:r w:rsidR="002F6E3D">
        <w:rPr>
          <w:rFonts w:ascii="interstateregular" w:hAnsi="interstateregular"/>
          <w:color w:val="000000"/>
          <w:sz w:val="18"/>
          <w:szCs w:val="18"/>
          <w:shd w:val="clear" w:color="auto" w:fill="FFFFFF"/>
        </w:rPr>
        <w:t>S. Islam</w:t>
      </w:r>
      <w:r w:rsidR="002F6E3D">
        <w:rPr>
          <w:rFonts w:ascii="interstateregular" w:hAnsi="interstateregular"/>
          <w:color w:val="000000"/>
          <w:sz w:val="14"/>
          <w:szCs w:val="14"/>
          <w:shd w:val="clear" w:color="auto" w:fill="FFFFFF"/>
          <w:vertAlign w:val="superscript"/>
        </w:rPr>
        <w:t>2</w:t>
      </w:r>
      <w:r w:rsidR="002F6E3D">
        <w:rPr>
          <w:rFonts w:ascii="interstateregular" w:hAnsi="interstateregular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interstateregular" w:hAnsi="interstateregular"/>
          <w:color w:val="000000"/>
          <w:sz w:val="18"/>
          <w:szCs w:val="18"/>
          <w:shd w:val="clear" w:color="auto" w:fill="FFFFFF"/>
        </w:rPr>
        <w:t>N. Hawkins</w:t>
      </w:r>
      <w:r>
        <w:rPr>
          <w:rFonts w:ascii="interstateregular" w:hAnsi="interstateregular"/>
          <w:color w:val="000000"/>
          <w:sz w:val="14"/>
          <w:szCs w:val="14"/>
          <w:shd w:val="clear" w:color="auto" w:fill="FFFFFF"/>
          <w:vertAlign w:val="superscript"/>
        </w:rPr>
        <w:t>1</w:t>
      </w:r>
      <w:r>
        <w:rPr>
          <w:rFonts w:ascii="interstateregular" w:hAnsi="interstateregular"/>
          <w:color w:val="000000"/>
          <w:sz w:val="18"/>
          <w:szCs w:val="18"/>
          <w:shd w:val="clear" w:color="auto" w:fill="FFFFFF"/>
        </w:rPr>
        <w:t>, P. Kaul</w:t>
      </w:r>
      <w:r>
        <w:rPr>
          <w:rFonts w:ascii="interstateregular" w:hAnsi="interstateregular"/>
          <w:color w:val="000000"/>
          <w:sz w:val="14"/>
          <w:szCs w:val="14"/>
          <w:shd w:val="clear" w:color="auto" w:fill="FFFFFF"/>
          <w:vertAlign w:val="superscript"/>
        </w:rPr>
        <w:t>2</w:t>
      </w:r>
      <w:r>
        <w:rPr>
          <w:rFonts w:ascii="interstateregular" w:hAnsi="interstateregular"/>
          <w:color w:val="000000"/>
          <w:sz w:val="18"/>
          <w:szCs w:val="18"/>
          <w:shd w:val="clear" w:color="auto" w:fill="FFFFFF"/>
        </w:rPr>
        <w:t>,</w:t>
      </w:r>
      <w:r w:rsidR="00EA7D90" w:rsidRPr="00EA7D90">
        <w:rPr>
          <w:rFonts w:ascii="interstateregular" w:hAnsi="interstateregular"/>
          <w:color w:val="000000"/>
          <w:sz w:val="14"/>
          <w:szCs w:val="14"/>
          <w:shd w:val="clear" w:color="auto" w:fill="FFFFFF"/>
          <w:vertAlign w:val="superscript"/>
        </w:rPr>
        <w:t xml:space="preserve"> </w:t>
      </w:r>
      <w:r w:rsidR="00EA7D90">
        <w:rPr>
          <w:rFonts w:ascii="interstateregular" w:hAnsi="interstateregular"/>
          <w:color w:val="000000"/>
          <w:sz w:val="14"/>
          <w:szCs w:val="14"/>
          <w:shd w:val="clear" w:color="auto" w:fill="FFFFFF"/>
          <w:vertAlign w:val="superscript"/>
        </w:rPr>
        <w:t>3</w:t>
      </w:r>
      <w:r>
        <w:rPr>
          <w:rFonts w:ascii="interstateregular" w:hAnsi="interstateregular"/>
          <w:color w:val="000000"/>
          <w:sz w:val="18"/>
          <w:szCs w:val="18"/>
          <w:shd w:val="clear" w:color="auto" w:fill="FFFFFF"/>
        </w:rPr>
        <w:t xml:space="preserve"> RK. Sandhu</w:t>
      </w:r>
      <w:r>
        <w:rPr>
          <w:rFonts w:ascii="interstateregular" w:hAnsi="interstateregular"/>
          <w:color w:val="000000"/>
          <w:sz w:val="14"/>
          <w:szCs w:val="14"/>
          <w:shd w:val="clear" w:color="auto" w:fill="FFFFFF"/>
          <w:vertAlign w:val="superscript"/>
        </w:rPr>
        <w:t>2</w:t>
      </w:r>
      <w:r w:rsidR="00EA7D90">
        <w:rPr>
          <w:rFonts w:ascii="interstateregular" w:hAnsi="interstateregular"/>
          <w:color w:val="000000"/>
          <w:sz w:val="14"/>
          <w:szCs w:val="14"/>
          <w:shd w:val="clear" w:color="auto" w:fill="FFFFFF"/>
          <w:vertAlign w:val="superscript"/>
        </w:rPr>
        <w:t>,3</w:t>
      </w:r>
      <w:r>
        <w:rPr>
          <w:rFonts w:ascii="interstateregular" w:hAnsi="interstateregular"/>
          <w:color w:val="000000"/>
          <w:sz w:val="18"/>
          <w:szCs w:val="18"/>
          <w:shd w:val="clear" w:color="auto" w:fill="FFFFFF"/>
        </w:rPr>
        <w:t xml:space="preserve"> - (1) BC Centre for Improved Cardiovascular Health, Vancouver, Canada (2) Canadian Vigour Center, </w:t>
      </w:r>
      <w:r w:rsidR="00EA7D90">
        <w:rPr>
          <w:rFonts w:ascii="interstateregular" w:hAnsi="interstateregular"/>
          <w:color w:val="000000"/>
          <w:sz w:val="18"/>
          <w:szCs w:val="18"/>
          <w:shd w:val="clear" w:color="auto" w:fill="FFFFFF"/>
        </w:rPr>
        <w:t xml:space="preserve">University of Alberta, </w:t>
      </w:r>
      <w:r>
        <w:rPr>
          <w:rFonts w:ascii="interstateregular" w:hAnsi="interstateregular"/>
          <w:color w:val="000000"/>
          <w:sz w:val="18"/>
          <w:szCs w:val="18"/>
          <w:shd w:val="clear" w:color="auto" w:fill="FFFFFF"/>
        </w:rPr>
        <w:t>Edmonton, Canada</w:t>
      </w:r>
      <w:r w:rsidR="00EA7D90">
        <w:rPr>
          <w:rFonts w:ascii="interstateregular" w:hAnsi="interstateregular"/>
          <w:color w:val="000000"/>
          <w:sz w:val="18"/>
          <w:szCs w:val="18"/>
          <w:shd w:val="clear" w:color="auto" w:fill="FFFFFF"/>
        </w:rPr>
        <w:t>, (3) Department of Medicine, University of Alberta, Edmonton, Canada</w:t>
      </w:r>
    </w:p>
    <w:p w14:paraId="3E4C0EC4" w14:textId="1FC6C57F" w:rsidR="00CF5C37" w:rsidRDefault="00F900BE" w:rsidP="004D276E">
      <w:pPr>
        <w:spacing w:before="100" w:beforeAutospacing="1" w:after="100" w:afterAutospacing="1"/>
        <w:ind w:left="360"/>
        <w:rPr>
          <w:rFonts w:ascii="Candara" w:eastAsia="Times New Roman" w:hAnsi="Candara" w:cs="Times New Roman"/>
          <w:color w:val="333333"/>
          <w:sz w:val="22"/>
          <w:szCs w:val="22"/>
        </w:rPr>
      </w:pPr>
      <w:r w:rsidRPr="00A10085">
        <w:rPr>
          <w:rFonts w:ascii="Candara" w:eastAsia="Times New Roman" w:hAnsi="Candara" w:cs="Times New Roman"/>
          <w:b/>
          <w:color w:val="333333"/>
          <w:sz w:val="22"/>
          <w:szCs w:val="22"/>
        </w:rPr>
        <w:t xml:space="preserve">Background: </w:t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t>Studies in non-Emergency Department (ED) settings have shown women with non-valvular atrial fibrillation (NVAF) differ in presentation, treatment, and outcomes compared to men. Despite AF being a common reason for ED visit, little is known regarding sex differences in patients presenting to ED.</w:t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br/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br/>
      </w:r>
      <w:r w:rsidRPr="00A10085">
        <w:rPr>
          <w:rFonts w:ascii="Candara" w:eastAsia="Times New Roman" w:hAnsi="Candara" w:cs="Times New Roman"/>
          <w:b/>
          <w:color w:val="333333"/>
          <w:sz w:val="22"/>
          <w:szCs w:val="22"/>
        </w:rPr>
        <w:t>Purpose:</w:t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t xml:space="preserve"> We sought to determine whether sex differences exist in rates of admission among NVAF patients presenting to the ED and if oral </w:t>
      </w:r>
      <w:r w:rsidR="001C3A8F" w:rsidRPr="00A10085">
        <w:rPr>
          <w:rFonts w:ascii="Candara" w:eastAsia="Times New Roman" w:hAnsi="Candara" w:cs="Times New Roman"/>
          <w:color w:val="333333"/>
          <w:sz w:val="22"/>
          <w:szCs w:val="22"/>
        </w:rPr>
        <w:t>anticoagu</w:t>
      </w:r>
      <w:r w:rsidR="001C3A8F">
        <w:rPr>
          <w:rFonts w:ascii="Candara" w:eastAsia="Times New Roman" w:hAnsi="Candara" w:cs="Times New Roman"/>
          <w:color w:val="333333"/>
          <w:sz w:val="22"/>
          <w:szCs w:val="22"/>
        </w:rPr>
        <w:t>lant (OAC)</w:t>
      </w:r>
      <w:r w:rsidR="001C3A8F" w:rsidRPr="00A10085">
        <w:rPr>
          <w:rFonts w:ascii="Candara" w:eastAsia="Times New Roman" w:hAnsi="Candara" w:cs="Times New Roman"/>
          <w:color w:val="333333"/>
          <w:sz w:val="22"/>
          <w:szCs w:val="22"/>
        </w:rPr>
        <w:t xml:space="preserve"> </w:t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t>use and outcomes differ by ED discharge status.</w:t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br/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br/>
      </w:r>
      <w:r w:rsidRPr="00A10085">
        <w:rPr>
          <w:rFonts w:ascii="Candara" w:eastAsia="Times New Roman" w:hAnsi="Candara" w:cs="Times New Roman"/>
          <w:b/>
          <w:color w:val="333333"/>
          <w:sz w:val="22"/>
          <w:szCs w:val="22"/>
        </w:rPr>
        <w:t>Methods:</w:t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t xml:space="preserve"> Patients </w:t>
      </w:r>
      <w:r w:rsidR="004D276E">
        <w:rPr>
          <w:rFonts w:ascii="Candara" w:eastAsia="Times New Roman" w:hAnsi="Candara" w:cs="Times New Roman"/>
          <w:color w:val="333333"/>
          <w:sz w:val="22"/>
          <w:szCs w:val="22"/>
        </w:rPr>
        <w:t>≥</w:t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t xml:space="preserve">18 years old, presenting to the ED with incident NVAF in two </w:t>
      </w:r>
      <w:r w:rsidR="002F6E3D">
        <w:rPr>
          <w:rFonts w:ascii="Candara" w:eastAsia="Times New Roman" w:hAnsi="Candara" w:cs="Times New Roman"/>
          <w:color w:val="333333"/>
          <w:sz w:val="22"/>
          <w:szCs w:val="22"/>
        </w:rPr>
        <w:t xml:space="preserve">western </w:t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t xml:space="preserve">Canadian provinces </w:t>
      </w:r>
      <w:r w:rsidR="002F6E3D">
        <w:rPr>
          <w:rFonts w:ascii="Candara" w:eastAsia="Times New Roman" w:hAnsi="Candara" w:cs="Times New Roman"/>
          <w:color w:val="333333"/>
          <w:sz w:val="22"/>
          <w:szCs w:val="22"/>
        </w:rPr>
        <w:t xml:space="preserve">(Alberta and British Columbia) </w:t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t>from April 2012 to March 2015 were included. ED records were linked to hospital records to identify patients admitted</w:t>
      </w:r>
      <w:r w:rsidR="00E4570E">
        <w:rPr>
          <w:rFonts w:ascii="Candara" w:eastAsia="Times New Roman" w:hAnsi="Candara" w:cs="Times New Roman"/>
          <w:color w:val="333333"/>
          <w:sz w:val="22"/>
          <w:szCs w:val="22"/>
        </w:rPr>
        <w:t xml:space="preserve"> to hospital</w:t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t xml:space="preserve"> versus discharged from the ED. Outcomes </w:t>
      </w:r>
      <w:r w:rsidR="002F6E3D">
        <w:rPr>
          <w:rFonts w:ascii="Candara" w:eastAsia="Times New Roman" w:hAnsi="Candara" w:cs="Times New Roman"/>
          <w:color w:val="333333"/>
          <w:sz w:val="22"/>
          <w:szCs w:val="22"/>
        </w:rPr>
        <w:t>of interest were</w:t>
      </w:r>
      <w:r w:rsidR="002F6E3D" w:rsidRPr="00A10085">
        <w:rPr>
          <w:rFonts w:ascii="Candara" w:eastAsia="Times New Roman" w:hAnsi="Candara" w:cs="Times New Roman"/>
          <w:color w:val="333333"/>
          <w:sz w:val="22"/>
          <w:szCs w:val="22"/>
        </w:rPr>
        <w:t xml:space="preserve"> 30-day mortality </w:t>
      </w:r>
      <w:r w:rsidR="002F6E3D">
        <w:rPr>
          <w:rFonts w:ascii="Candara" w:eastAsia="Times New Roman" w:hAnsi="Candara" w:cs="Times New Roman"/>
          <w:color w:val="333333"/>
          <w:sz w:val="22"/>
          <w:szCs w:val="22"/>
        </w:rPr>
        <w:t xml:space="preserve">and </w:t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t>1-year stroke</w:t>
      </w:r>
      <w:r w:rsidR="002F6E3D">
        <w:rPr>
          <w:rFonts w:ascii="Candara" w:eastAsia="Times New Roman" w:hAnsi="Candara" w:cs="Times New Roman"/>
          <w:color w:val="333333"/>
          <w:sz w:val="22"/>
          <w:szCs w:val="22"/>
        </w:rPr>
        <w:t xml:space="preserve">, </w:t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t>heart failure (HF) and mortality. Pharmac</w:t>
      </w:r>
      <w:r w:rsidR="002F6E3D">
        <w:rPr>
          <w:rFonts w:ascii="Candara" w:eastAsia="Times New Roman" w:hAnsi="Candara" w:cs="Times New Roman"/>
          <w:color w:val="333333"/>
          <w:sz w:val="22"/>
          <w:szCs w:val="22"/>
        </w:rPr>
        <w:t xml:space="preserve">eutical claims </w:t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t xml:space="preserve">were queried for </w:t>
      </w:r>
      <w:r w:rsidR="000158DE">
        <w:rPr>
          <w:rFonts w:ascii="Candara" w:eastAsia="Times New Roman" w:hAnsi="Candara" w:cs="Times New Roman"/>
          <w:color w:val="333333"/>
          <w:sz w:val="22"/>
          <w:szCs w:val="22"/>
        </w:rPr>
        <w:t>OAC</w:t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t xml:space="preserve"> use within 90 days </w:t>
      </w:r>
      <w:r w:rsidR="002F6E3D">
        <w:rPr>
          <w:rFonts w:ascii="Candara" w:eastAsia="Times New Roman" w:hAnsi="Candara" w:cs="Times New Roman"/>
          <w:color w:val="333333"/>
          <w:sz w:val="22"/>
          <w:szCs w:val="22"/>
        </w:rPr>
        <w:t xml:space="preserve">following </w:t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t xml:space="preserve">NVAF </w:t>
      </w:r>
      <w:r w:rsidR="002F6E3D">
        <w:rPr>
          <w:rFonts w:ascii="Candara" w:eastAsia="Times New Roman" w:hAnsi="Candara" w:cs="Times New Roman"/>
          <w:color w:val="333333"/>
          <w:sz w:val="22"/>
          <w:szCs w:val="22"/>
        </w:rPr>
        <w:t>ED event</w:t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t>.</w:t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br/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br/>
      </w:r>
      <w:r w:rsidRPr="00A10085">
        <w:rPr>
          <w:rFonts w:ascii="Candara" w:eastAsia="Times New Roman" w:hAnsi="Candara" w:cs="Times New Roman"/>
          <w:b/>
          <w:color w:val="333333"/>
          <w:sz w:val="22"/>
          <w:szCs w:val="22"/>
        </w:rPr>
        <w:t>Results:</w:t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t xml:space="preserve"> Of 16,991 ED NVAF patients, 7,770 (46%) were women and 9,221 (54%) were men (p&lt;0.001). Compared to men, women were older (73.9 vs 65.6 years, p&lt;0.001) and presented with higher CHA2DS2-VASc scores (4.0 vs 2.0, p&lt;</w:t>
      </w:r>
      <w:r w:rsidR="00814ACF">
        <w:rPr>
          <w:rFonts w:ascii="Candara" w:eastAsia="Times New Roman" w:hAnsi="Candara" w:cs="Times New Roman"/>
          <w:color w:val="333333"/>
          <w:sz w:val="22"/>
          <w:szCs w:val="22"/>
        </w:rPr>
        <w:t>0</w:t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t>.001). Overall, 41%</w:t>
      </w:r>
      <w:r w:rsidR="00B17FA6">
        <w:rPr>
          <w:rFonts w:ascii="Candara" w:eastAsia="Times New Roman" w:hAnsi="Candara" w:cs="Times New Roman"/>
          <w:color w:val="333333"/>
          <w:sz w:val="22"/>
          <w:szCs w:val="22"/>
        </w:rPr>
        <w:t xml:space="preserve"> of</w:t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t xml:space="preserve"> women and 37%</w:t>
      </w:r>
      <w:r w:rsidR="00B17FA6">
        <w:rPr>
          <w:rFonts w:ascii="Candara" w:eastAsia="Times New Roman" w:hAnsi="Candara" w:cs="Times New Roman"/>
          <w:color w:val="333333"/>
          <w:sz w:val="22"/>
          <w:szCs w:val="22"/>
        </w:rPr>
        <w:t xml:space="preserve"> of</w:t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t xml:space="preserve"> men were admitted to hospital (p&lt;0.001). OAC </w:t>
      </w:r>
      <w:r w:rsidR="00EA7D90">
        <w:rPr>
          <w:rFonts w:ascii="Candara" w:eastAsia="Times New Roman" w:hAnsi="Candara" w:cs="Times New Roman"/>
          <w:color w:val="333333"/>
          <w:sz w:val="22"/>
          <w:szCs w:val="22"/>
        </w:rPr>
        <w:t>rate was</w:t>
      </w:r>
      <w:r w:rsidR="00EA7D90" w:rsidRPr="00A10085">
        <w:rPr>
          <w:rFonts w:ascii="Candara" w:eastAsia="Times New Roman" w:hAnsi="Candara" w:cs="Times New Roman"/>
          <w:color w:val="333333"/>
          <w:sz w:val="22"/>
          <w:szCs w:val="22"/>
        </w:rPr>
        <w:t xml:space="preserve"> </w:t>
      </w:r>
      <w:r w:rsidR="00D04113">
        <w:rPr>
          <w:rFonts w:ascii="Candara" w:eastAsia="Times New Roman" w:hAnsi="Candara" w:cs="Times New Roman"/>
          <w:color w:val="333333"/>
          <w:sz w:val="22"/>
          <w:szCs w:val="22"/>
        </w:rPr>
        <w:t>50</w:t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t xml:space="preserve">% </w:t>
      </w:r>
      <w:r w:rsidR="00EA7D90">
        <w:rPr>
          <w:rFonts w:ascii="Candara" w:eastAsia="Times New Roman" w:hAnsi="Candara" w:cs="Times New Roman"/>
          <w:color w:val="333333"/>
          <w:sz w:val="22"/>
          <w:szCs w:val="22"/>
        </w:rPr>
        <w:t>among</w:t>
      </w:r>
      <w:r w:rsidR="00EA7D90" w:rsidRPr="00A10085">
        <w:rPr>
          <w:rFonts w:ascii="Candara" w:eastAsia="Times New Roman" w:hAnsi="Candara" w:cs="Times New Roman"/>
          <w:color w:val="333333"/>
          <w:sz w:val="22"/>
          <w:szCs w:val="22"/>
        </w:rPr>
        <w:t xml:space="preserve"> admitted </w:t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t xml:space="preserve">and </w:t>
      </w:r>
      <w:r w:rsidR="00D04113">
        <w:rPr>
          <w:rFonts w:ascii="Candara" w:eastAsia="Times New Roman" w:hAnsi="Candara" w:cs="Times New Roman"/>
          <w:color w:val="333333"/>
          <w:sz w:val="22"/>
          <w:szCs w:val="22"/>
        </w:rPr>
        <w:t>37</w:t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t>%</w:t>
      </w:r>
      <w:r w:rsidR="00A22738">
        <w:rPr>
          <w:rFonts w:ascii="Candara" w:eastAsia="Times New Roman" w:hAnsi="Candara" w:cs="Times New Roman"/>
          <w:color w:val="333333"/>
          <w:sz w:val="22"/>
          <w:szCs w:val="22"/>
        </w:rPr>
        <w:t xml:space="preserve"> </w:t>
      </w:r>
      <w:r w:rsidR="00EA7D90">
        <w:rPr>
          <w:rFonts w:ascii="Candara" w:eastAsia="Times New Roman" w:hAnsi="Candara" w:cs="Times New Roman"/>
          <w:color w:val="333333"/>
          <w:sz w:val="22"/>
          <w:szCs w:val="22"/>
        </w:rPr>
        <w:t>among</w:t>
      </w:r>
      <w:r w:rsidR="00EA7D90" w:rsidRPr="00A10085">
        <w:rPr>
          <w:rFonts w:ascii="Candara" w:eastAsia="Times New Roman" w:hAnsi="Candara" w:cs="Times New Roman"/>
          <w:color w:val="333333"/>
          <w:sz w:val="22"/>
          <w:szCs w:val="22"/>
        </w:rPr>
        <w:t xml:space="preserve"> discharged </w:t>
      </w:r>
      <w:r w:rsidR="005E2104">
        <w:rPr>
          <w:rFonts w:ascii="Candara" w:eastAsia="Times New Roman" w:hAnsi="Candara" w:cs="Times New Roman"/>
          <w:color w:val="333333"/>
          <w:sz w:val="22"/>
          <w:szCs w:val="22"/>
        </w:rPr>
        <w:t>(p&lt;0.001)</w:t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t>. OAC</w:t>
      </w:r>
      <w:r w:rsidR="00D04113">
        <w:rPr>
          <w:rFonts w:ascii="Candara" w:eastAsia="Times New Roman" w:hAnsi="Candara" w:cs="Times New Roman"/>
          <w:color w:val="333333"/>
          <w:sz w:val="22"/>
          <w:szCs w:val="22"/>
        </w:rPr>
        <w:t xml:space="preserve"> rates</w:t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t xml:space="preserve"> </w:t>
      </w:r>
      <w:r w:rsidR="002F6E3D">
        <w:rPr>
          <w:rFonts w:ascii="Candara" w:eastAsia="Times New Roman" w:hAnsi="Candara" w:cs="Times New Roman"/>
          <w:color w:val="333333"/>
          <w:sz w:val="22"/>
          <w:szCs w:val="22"/>
        </w:rPr>
        <w:t xml:space="preserve">were </w:t>
      </w:r>
      <w:r w:rsidR="002F6E3D" w:rsidRPr="00A10085">
        <w:rPr>
          <w:rFonts w:ascii="Candara" w:eastAsia="Times New Roman" w:hAnsi="Candara" w:cs="Times New Roman"/>
          <w:color w:val="333333"/>
          <w:sz w:val="22"/>
          <w:szCs w:val="22"/>
        </w:rPr>
        <w:t xml:space="preserve">53% </w:t>
      </w:r>
      <w:r w:rsidR="002F6E3D">
        <w:rPr>
          <w:rFonts w:ascii="Candara" w:eastAsia="Times New Roman" w:hAnsi="Candara" w:cs="Times New Roman"/>
          <w:color w:val="333333"/>
          <w:sz w:val="22"/>
          <w:szCs w:val="22"/>
        </w:rPr>
        <w:t xml:space="preserve">in </w:t>
      </w:r>
      <w:r w:rsidR="002F6E3D" w:rsidRPr="00A10085">
        <w:rPr>
          <w:rFonts w:ascii="Candara" w:eastAsia="Times New Roman" w:hAnsi="Candara" w:cs="Times New Roman"/>
          <w:color w:val="333333"/>
          <w:sz w:val="22"/>
          <w:szCs w:val="22"/>
        </w:rPr>
        <w:t xml:space="preserve">women </w:t>
      </w:r>
      <w:r w:rsidR="002F6E3D">
        <w:rPr>
          <w:rFonts w:ascii="Candara" w:eastAsia="Times New Roman" w:hAnsi="Candara" w:cs="Times New Roman"/>
          <w:color w:val="333333"/>
          <w:sz w:val="22"/>
          <w:szCs w:val="22"/>
        </w:rPr>
        <w:t>and</w:t>
      </w:r>
      <w:r w:rsidR="002F6E3D" w:rsidRPr="00A10085">
        <w:rPr>
          <w:rFonts w:ascii="Candara" w:eastAsia="Times New Roman" w:hAnsi="Candara" w:cs="Times New Roman"/>
          <w:color w:val="333333"/>
          <w:sz w:val="22"/>
          <w:szCs w:val="22"/>
        </w:rPr>
        <w:t xml:space="preserve"> 48% </w:t>
      </w:r>
      <w:r w:rsidR="002F6E3D">
        <w:rPr>
          <w:rFonts w:ascii="Candara" w:eastAsia="Times New Roman" w:hAnsi="Candara" w:cs="Times New Roman"/>
          <w:color w:val="333333"/>
          <w:sz w:val="22"/>
          <w:szCs w:val="22"/>
        </w:rPr>
        <w:t>in men</w:t>
      </w:r>
      <w:r w:rsidR="00420ACB">
        <w:rPr>
          <w:rFonts w:ascii="Candara" w:eastAsia="Times New Roman" w:hAnsi="Candara" w:cs="Times New Roman"/>
          <w:color w:val="333333"/>
          <w:sz w:val="22"/>
          <w:szCs w:val="22"/>
        </w:rPr>
        <w:t xml:space="preserve"> among admitted </w:t>
      </w:r>
      <w:r w:rsidR="002F6E3D">
        <w:rPr>
          <w:rFonts w:ascii="Candara" w:eastAsia="Times New Roman" w:hAnsi="Candara" w:cs="Times New Roman"/>
          <w:color w:val="333333"/>
          <w:sz w:val="22"/>
          <w:szCs w:val="22"/>
        </w:rPr>
        <w:t>(p&lt;0.001)</w:t>
      </w:r>
      <w:r w:rsidR="00743BB8">
        <w:rPr>
          <w:rFonts w:ascii="Candara" w:eastAsia="Times New Roman" w:hAnsi="Candara" w:cs="Times New Roman"/>
          <w:color w:val="333333"/>
          <w:sz w:val="22"/>
          <w:szCs w:val="22"/>
        </w:rPr>
        <w:t>,</w:t>
      </w:r>
      <w:r w:rsidR="002F6E3D">
        <w:rPr>
          <w:rFonts w:ascii="Candara" w:eastAsia="Times New Roman" w:hAnsi="Candara" w:cs="Times New Roman"/>
          <w:color w:val="333333"/>
          <w:sz w:val="22"/>
          <w:szCs w:val="22"/>
        </w:rPr>
        <w:t xml:space="preserve"> </w:t>
      </w:r>
      <w:r w:rsidR="00631231">
        <w:rPr>
          <w:rFonts w:ascii="Candara" w:eastAsia="Times New Roman" w:hAnsi="Candara" w:cs="Times New Roman"/>
          <w:color w:val="333333"/>
          <w:sz w:val="22"/>
          <w:szCs w:val="22"/>
        </w:rPr>
        <w:t>and</w:t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t xml:space="preserve"> 39% </w:t>
      </w:r>
      <w:r w:rsidR="002F6E3D">
        <w:rPr>
          <w:rFonts w:ascii="Candara" w:eastAsia="Times New Roman" w:hAnsi="Candara" w:cs="Times New Roman"/>
          <w:color w:val="333333"/>
          <w:sz w:val="22"/>
          <w:szCs w:val="22"/>
        </w:rPr>
        <w:t xml:space="preserve">in </w:t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t xml:space="preserve">women </w:t>
      </w:r>
      <w:r w:rsidR="002F6E3D">
        <w:rPr>
          <w:rFonts w:ascii="Candara" w:eastAsia="Times New Roman" w:hAnsi="Candara" w:cs="Times New Roman"/>
          <w:color w:val="333333"/>
          <w:sz w:val="22"/>
          <w:szCs w:val="22"/>
        </w:rPr>
        <w:t>and</w:t>
      </w:r>
      <w:r w:rsidR="002F6E3D" w:rsidRPr="00A10085">
        <w:rPr>
          <w:rFonts w:ascii="Candara" w:eastAsia="Times New Roman" w:hAnsi="Candara" w:cs="Times New Roman"/>
          <w:color w:val="333333"/>
          <w:sz w:val="22"/>
          <w:szCs w:val="22"/>
        </w:rPr>
        <w:t xml:space="preserve"> </w:t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t xml:space="preserve">35% </w:t>
      </w:r>
      <w:r w:rsidR="002F6E3D">
        <w:rPr>
          <w:rFonts w:ascii="Candara" w:eastAsia="Times New Roman" w:hAnsi="Candara" w:cs="Times New Roman"/>
          <w:color w:val="333333"/>
          <w:sz w:val="22"/>
          <w:szCs w:val="22"/>
        </w:rPr>
        <w:t xml:space="preserve">in </w:t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t>men</w:t>
      </w:r>
      <w:r w:rsidR="00420ACB">
        <w:rPr>
          <w:rFonts w:ascii="Candara" w:eastAsia="Times New Roman" w:hAnsi="Candara" w:cs="Times New Roman"/>
          <w:color w:val="333333"/>
          <w:sz w:val="22"/>
          <w:szCs w:val="22"/>
        </w:rPr>
        <w:t xml:space="preserve"> among discharged </w:t>
      </w:r>
      <w:r w:rsidR="002F6E3D">
        <w:rPr>
          <w:rFonts w:ascii="Candara" w:eastAsia="Times New Roman" w:hAnsi="Candara" w:cs="Times New Roman"/>
          <w:color w:val="333333"/>
          <w:sz w:val="22"/>
          <w:szCs w:val="22"/>
        </w:rPr>
        <w:t>(</w:t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t>p&lt;</w:t>
      </w:r>
      <w:r w:rsidR="00814ACF">
        <w:rPr>
          <w:rFonts w:ascii="Candara" w:eastAsia="Times New Roman" w:hAnsi="Candara" w:cs="Times New Roman"/>
          <w:color w:val="333333"/>
          <w:sz w:val="22"/>
          <w:szCs w:val="22"/>
        </w:rPr>
        <w:t>0</w:t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t>.001</w:t>
      </w:r>
      <w:r w:rsidR="002F6E3D">
        <w:rPr>
          <w:rFonts w:ascii="Candara" w:eastAsia="Times New Roman" w:hAnsi="Candara" w:cs="Times New Roman"/>
          <w:color w:val="333333"/>
          <w:sz w:val="22"/>
          <w:szCs w:val="22"/>
        </w:rPr>
        <w:t>)</w:t>
      </w:r>
      <w:r w:rsidR="00D94353">
        <w:rPr>
          <w:rFonts w:ascii="Candara" w:eastAsia="Times New Roman" w:hAnsi="Candara" w:cs="Times New Roman"/>
          <w:color w:val="333333"/>
          <w:sz w:val="22"/>
          <w:szCs w:val="22"/>
        </w:rPr>
        <w:t>.</w:t>
      </w:r>
      <w:r w:rsidR="00420ACB">
        <w:rPr>
          <w:rFonts w:ascii="Candara" w:eastAsia="Times New Roman" w:hAnsi="Candara" w:cs="Times New Roman"/>
          <w:color w:val="333333"/>
          <w:sz w:val="22"/>
          <w:szCs w:val="22"/>
        </w:rPr>
        <w:t xml:space="preserve"> </w:t>
      </w:r>
      <w:r w:rsidR="003216B2">
        <w:rPr>
          <w:rFonts w:ascii="Candara" w:eastAsia="Times New Roman" w:hAnsi="Candara" w:cs="Times New Roman"/>
          <w:color w:val="333333"/>
          <w:sz w:val="22"/>
          <w:szCs w:val="22"/>
        </w:rPr>
        <w:t xml:space="preserve">OAC rates were higher in </w:t>
      </w:r>
      <w:r w:rsidR="00B07200">
        <w:rPr>
          <w:rFonts w:ascii="Candara" w:eastAsia="Times New Roman" w:hAnsi="Candara" w:cs="Times New Roman"/>
          <w:color w:val="333333"/>
          <w:sz w:val="22"/>
          <w:szCs w:val="22"/>
        </w:rPr>
        <w:t xml:space="preserve">patients </w:t>
      </w:r>
      <w:r w:rsidR="00B07200" w:rsidRPr="001126F0">
        <w:rPr>
          <w:rFonts w:ascii="Candara" w:eastAsia="Times New Roman" w:hAnsi="Candara" w:cs="Times New Roman"/>
          <w:color w:val="333333"/>
          <w:sz w:val="22"/>
          <w:szCs w:val="22"/>
        </w:rPr>
        <w:t>with CHA2DS2-VASc</w:t>
      </w:r>
      <w:r w:rsidR="00B07200">
        <w:rPr>
          <w:rFonts w:ascii="Candara" w:eastAsia="Times New Roman" w:hAnsi="Candara" w:cs="Times New Roman"/>
          <w:color w:val="333333"/>
          <w:sz w:val="22"/>
          <w:szCs w:val="22"/>
        </w:rPr>
        <w:t xml:space="preserve"> </w:t>
      </w:r>
      <w:r w:rsidR="00930DD8">
        <w:rPr>
          <w:rFonts w:ascii="Candara" w:eastAsia="Times New Roman" w:hAnsi="Candara" w:cs="Times New Roman"/>
          <w:color w:val="333333"/>
          <w:sz w:val="22"/>
          <w:szCs w:val="22"/>
        </w:rPr>
        <w:t>≥</w:t>
      </w:r>
      <w:r w:rsidR="00B07200" w:rsidRPr="001126F0">
        <w:rPr>
          <w:rFonts w:ascii="Candara" w:eastAsia="Times New Roman" w:hAnsi="Candara" w:cs="Times New Roman"/>
          <w:color w:val="333333"/>
          <w:sz w:val="22"/>
          <w:szCs w:val="22"/>
        </w:rPr>
        <w:t>1</w:t>
      </w:r>
      <w:r w:rsidR="003216B2">
        <w:rPr>
          <w:rFonts w:ascii="Candara" w:eastAsia="Times New Roman" w:hAnsi="Candara" w:cs="Times New Roman"/>
          <w:color w:val="333333"/>
          <w:sz w:val="22"/>
          <w:szCs w:val="22"/>
        </w:rPr>
        <w:t xml:space="preserve"> who were admitted (</w:t>
      </w:r>
      <w:r w:rsidR="001126F0">
        <w:rPr>
          <w:rFonts w:ascii="Candara" w:eastAsia="Times New Roman" w:hAnsi="Candara" w:cs="Times New Roman"/>
          <w:color w:val="333333"/>
          <w:sz w:val="22"/>
          <w:szCs w:val="22"/>
        </w:rPr>
        <w:t>5</w:t>
      </w:r>
      <w:r w:rsidR="00787F35">
        <w:rPr>
          <w:rFonts w:ascii="Candara" w:eastAsia="Times New Roman" w:hAnsi="Candara" w:cs="Times New Roman"/>
          <w:color w:val="333333"/>
          <w:sz w:val="22"/>
          <w:szCs w:val="22"/>
        </w:rPr>
        <w:t>3</w:t>
      </w:r>
      <w:r w:rsidRPr="001126F0">
        <w:rPr>
          <w:rFonts w:ascii="Candara" w:eastAsia="Times New Roman" w:hAnsi="Candara" w:cs="Times New Roman"/>
          <w:color w:val="333333"/>
          <w:sz w:val="22"/>
          <w:szCs w:val="22"/>
        </w:rPr>
        <w:t xml:space="preserve">% </w:t>
      </w:r>
      <w:r w:rsidR="003216B2">
        <w:rPr>
          <w:rFonts w:ascii="Candara" w:eastAsia="Times New Roman" w:hAnsi="Candara" w:cs="Times New Roman"/>
          <w:color w:val="333333"/>
          <w:sz w:val="22"/>
          <w:szCs w:val="22"/>
        </w:rPr>
        <w:t xml:space="preserve">in women (n=2,781) </w:t>
      </w:r>
      <w:r w:rsidRPr="001126F0">
        <w:rPr>
          <w:rFonts w:ascii="Candara" w:eastAsia="Times New Roman" w:hAnsi="Candara" w:cs="Times New Roman"/>
          <w:color w:val="333333"/>
          <w:sz w:val="22"/>
          <w:szCs w:val="22"/>
        </w:rPr>
        <w:t xml:space="preserve">and </w:t>
      </w:r>
      <w:r w:rsidR="001126F0">
        <w:rPr>
          <w:rFonts w:ascii="Candara" w:eastAsia="Times New Roman" w:hAnsi="Candara" w:cs="Times New Roman"/>
          <w:color w:val="333333"/>
          <w:sz w:val="22"/>
          <w:szCs w:val="22"/>
        </w:rPr>
        <w:t>52</w:t>
      </w:r>
      <w:r w:rsidRPr="001126F0">
        <w:rPr>
          <w:rFonts w:ascii="Candara" w:eastAsia="Times New Roman" w:hAnsi="Candara" w:cs="Times New Roman"/>
          <w:color w:val="333333"/>
          <w:sz w:val="22"/>
          <w:szCs w:val="22"/>
        </w:rPr>
        <w:t>%</w:t>
      </w:r>
      <w:r w:rsidR="001126F0" w:rsidRPr="001126F0">
        <w:rPr>
          <w:rFonts w:ascii="Candara" w:eastAsia="Times New Roman" w:hAnsi="Candara" w:cs="Times New Roman"/>
          <w:color w:val="333333"/>
          <w:sz w:val="22"/>
          <w:szCs w:val="22"/>
        </w:rPr>
        <w:t xml:space="preserve"> </w:t>
      </w:r>
      <w:r w:rsidR="003216B2">
        <w:rPr>
          <w:rFonts w:ascii="Candara" w:eastAsia="Times New Roman" w:hAnsi="Candara" w:cs="Times New Roman"/>
          <w:color w:val="333333"/>
          <w:sz w:val="22"/>
          <w:szCs w:val="22"/>
        </w:rPr>
        <w:t>in men (n=2,683</w:t>
      </w:r>
      <w:r w:rsidR="003C3180">
        <w:rPr>
          <w:rFonts w:ascii="Candara" w:eastAsia="Times New Roman" w:hAnsi="Candara" w:cs="Times New Roman"/>
          <w:color w:val="333333"/>
          <w:sz w:val="22"/>
          <w:szCs w:val="22"/>
        </w:rPr>
        <w:t>)</w:t>
      </w:r>
      <w:r w:rsidR="003216B2">
        <w:rPr>
          <w:rFonts w:ascii="Candara" w:eastAsia="Times New Roman" w:hAnsi="Candara" w:cs="Times New Roman"/>
          <w:color w:val="333333"/>
          <w:sz w:val="22"/>
          <w:szCs w:val="22"/>
        </w:rPr>
        <w:t xml:space="preserve">, </w:t>
      </w:r>
      <w:r w:rsidR="001126F0" w:rsidRPr="001126F0">
        <w:rPr>
          <w:rFonts w:ascii="Candara" w:eastAsia="Times New Roman" w:hAnsi="Candara" w:cs="Times New Roman"/>
          <w:color w:val="333333"/>
          <w:sz w:val="22"/>
          <w:szCs w:val="22"/>
        </w:rPr>
        <w:t>p</w:t>
      </w:r>
      <w:r w:rsidR="001126F0">
        <w:rPr>
          <w:rFonts w:ascii="Candara" w:eastAsia="Times New Roman" w:hAnsi="Candara" w:cs="Times New Roman"/>
          <w:color w:val="333333"/>
          <w:sz w:val="22"/>
          <w:szCs w:val="22"/>
        </w:rPr>
        <w:t>=0.63</w:t>
      </w:r>
      <w:r w:rsidR="003216B2">
        <w:rPr>
          <w:rFonts w:ascii="Candara" w:eastAsia="Times New Roman" w:hAnsi="Candara" w:cs="Times New Roman"/>
          <w:color w:val="333333"/>
          <w:sz w:val="22"/>
          <w:szCs w:val="22"/>
        </w:rPr>
        <w:t>) than in those who were discharged (39</w:t>
      </w:r>
      <w:r w:rsidR="003216B2" w:rsidRPr="001126F0">
        <w:rPr>
          <w:rFonts w:ascii="Candara" w:eastAsia="Times New Roman" w:hAnsi="Candara" w:cs="Times New Roman"/>
          <w:color w:val="333333"/>
          <w:sz w:val="22"/>
          <w:szCs w:val="22"/>
        </w:rPr>
        <w:t>%</w:t>
      </w:r>
      <w:r w:rsidR="003216B2">
        <w:rPr>
          <w:rFonts w:ascii="Candara" w:eastAsia="Times New Roman" w:hAnsi="Candara" w:cs="Times New Roman"/>
          <w:color w:val="333333"/>
          <w:sz w:val="22"/>
          <w:szCs w:val="22"/>
        </w:rPr>
        <w:t xml:space="preserve"> in women (n=</w:t>
      </w:r>
      <w:r w:rsidR="001126F0">
        <w:rPr>
          <w:rFonts w:ascii="Candara" w:eastAsia="Times New Roman" w:hAnsi="Candara" w:cs="Times New Roman"/>
          <w:color w:val="333333"/>
          <w:sz w:val="22"/>
          <w:szCs w:val="22"/>
        </w:rPr>
        <w:t>4</w:t>
      </w:r>
      <w:r w:rsidR="00B309E7">
        <w:rPr>
          <w:rFonts w:ascii="Candara" w:eastAsia="Times New Roman" w:hAnsi="Candara" w:cs="Times New Roman"/>
          <w:color w:val="333333"/>
          <w:sz w:val="22"/>
          <w:szCs w:val="22"/>
        </w:rPr>
        <w:t>,</w:t>
      </w:r>
      <w:r w:rsidR="001126F0">
        <w:rPr>
          <w:rFonts w:ascii="Candara" w:eastAsia="Times New Roman" w:hAnsi="Candara" w:cs="Times New Roman"/>
          <w:color w:val="333333"/>
          <w:sz w:val="22"/>
          <w:szCs w:val="22"/>
        </w:rPr>
        <w:t>435</w:t>
      </w:r>
      <w:r w:rsidR="003216B2">
        <w:rPr>
          <w:rFonts w:ascii="Candara" w:eastAsia="Times New Roman" w:hAnsi="Candara" w:cs="Times New Roman"/>
          <w:color w:val="333333"/>
          <w:sz w:val="22"/>
          <w:szCs w:val="22"/>
        </w:rPr>
        <w:t>)</w:t>
      </w:r>
      <w:r w:rsidR="001126F0" w:rsidRPr="001126F0">
        <w:rPr>
          <w:rFonts w:ascii="Candara" w:eastAsia="Times New Roman" w:hAnsi="Candara" w:cs="Times New Roman"/>
          <w:color w:val="333333"/>
          <w:sz w:val="22"/>
          <w:szCs w:val="22"/>
        </w:rPr>
        <w:t xml:space="preserve"> and </w:t>
      </w:r>
      <w:r w:rsidR="003216B2">
        <w:rPr>
          <w:rFonts w:ascii="Candara" w:eastAsia="Times New Roman" w:hAnsi="Candara" w:cs="Times New Roman"/>
          <w:color w:val="333333"/>
          <w:sz w:val="22"/>
          <w:szCs w:val="22"/>
        </w:rPr>
        <w:t>45% in men (n=</w:t>
      </w:r>
      <w:r w:rsidR="001126F0">
        <w:rPr>
          <w:rFonts w:ascii="Candara" w:eastAsia="Times New Roman" w:hAnsi="Candara" w:cs="Times New Roman"/>
          <w:color w:val="333333"/>
          <w:sz w:val="22"/>
          <w:szCs w:val="22"/>
        </w:rPr>
        <w:t>3</w:t>
      </w:r>
      <w:r w:rsidR="00B309E7">
        <w:rPr>
          <w:rFonts w:ascii="Candara" w:eastAsia="Times New Roman" w:hAnsi="Candara" w:cs="Times New Roman"/>
          <w:color w:val="333333"/>
          <w:sz w:val="22"/>
          <w:szCs w:val="22"/>
        </w:rPr>
        <w:t>,</w:t>
      </w:r>
      <w:r w:rsidR="001126F0">
        <w:rPr>
          <w:rFonts w:ascii="Candara" w:eastAsia="Times New Roman" w:hAnsi="Candara" w:cs="Times New Roman"/>
          <w:color w:val="333333"/>
          <w:sz w:val="22"/>
          <w:szCs w:val="22"/>
        </w:rPr>
        <w:t>866</w:t>
      </w:r>
      <w:r w:rsidR="003C3180">
        <w:rPr>
          <w:rFonts w:ascii="Candara" w:eastAsia="Times New Roman" w:hAnsi="Candara" w:cs="Times New Roman"/>
          <w:color w:val="333333"/>
          <w:sz w:val="22"/>
          <w:szCs w:val="22"/>
        </w:rPr>
        <w:t>)</w:t>
      </w:r>
      <w:r w:rsidR="00FF1FD3">
        <w:rPr>
          <w:rFonts w:ascii="Candara" w:eastAsia="Times New Roman" w:hAnsi="Candara" w:cs="Times New Roman"/>
          <w:color w:val="333333"/>
          <w:sz w:val="22"/>
          <w:szCs w:val="22"/>
        </w:rPr>
        <w:t>,</w:t>
      </w:r>
      <w:bookmarkStart w:id="0" w:name="_GoBack"/>
      <w:bookmarkEnd w:id="0"/>
      <w:r w:rsidR="003C3180">
        <w:rPr>
          <w:rFonts w:ascii="Candara" w:eastAsia="Times New Roman" w:hAnsi="Candara" w:cs="Times New Roman"/>
          <w:color w:val="333333"/>
          <w:sz w:val="22"/>
          <w:szCs w:val="22"/>
        </w:rPr>
        <w:t xml:space="preserve"> p&lt;0.01</w:t>
      </w:r>
      <w:r w:rsidR="003216B2">
        <w:rPr>
          <w:rFonts w:ascii="Candara" w:eastAsia="Times New Roman" w:hAnsi="Candara" w:cs="Times New Roman"/>
          <w:color w:val="333333"/>
          <w:sz w:val="22"/>
          <w:szCs w:val="22"/>
        </w:rPr>
        <w:t>)</w:t>
      </w:r>
      <w:r w:rsidRPr="001126F0">
        <w:rPr>
          <w:rFonts w:ascii="Candara" w:eastAsia="Times New Roman" w:hAnsi="Candara" w:cs="Times New Roman"/>
          <w:color w:val="333333"/>
          <w:sz w:val="22"/>
          <w:szCs w:val="22"/>
        </w:rPr>
        <w:t>.</w:t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t> Women had higher rates of mortality at 30-days and 1-year</w:t>
      </w:r>
      <w:r>
        <w:rPr>
          <w:rFonts w:ascii="Candara" w:eastAsia="Times New Roman" w:hAnsi="Candara" w:cs="Times New Roman"/>
          <w:color w:val="333333"/>
          <w:sz w:val="22"/>
          <w:szCs w:val="22"/>
        </w:rPr>
        <w:t xml:space="preserve">, </w:t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t>and stroke at 1-year compared to men</w:t>
      </w:r>
      <w:r>
        <w:rPr>
          <w:rFonts w:ascii="Candara" w:eastAsia="Times New Roman" w:hAnsi="Candara" w:cs="Times New Roman"/>
          <w:color w:val="333333"/>
          <w:sz w:val="22"/>
          <w:szCs w:val="22"/>
        </w:rPr>
        <w:t>,</w:t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t xml:space="preserve"> irrespective of ED discharge status (all p&lt;0.02). Women admitted had higher HF</w:t>
      </w:r>
      <w:r w:rsidR="00B17FA6">
        <w:rPr>
          <w:rFonts w:ascii="Candara" w:eastAsia="Times New Roman" w:hAnsi="Candara" w:cs="Times New Roman"/>
          <w:color w:val="333333"/>
          <w:sz w:val="22"/>
          <w:szCs w:val="22"/>
        </w:rPr>
        <w:t xml:space="preserve"> rates</w:t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t xml:space="preserve"> at 1</w:t>
      </w:r>
      <w:r>
        <w:rPr>
          <w:rFonts w:ascii="Candara" w:eastAsia="Times New Roman" w:hAnsi="Candara" w:cs="Times New Roman"/>
          <w:color w:val="333333"/>
          <w:sz w:val="22"/>
          <w:szCs w:val="22"/>
        </w:rPr>
        <w:t>-</w:t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t>year compared to men (p=0.002). (Table)</w:t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br/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br/>
      </w:r>
      <w:r w:rsidRPr="00A10085">
        <w:rPr>
          <w:rFonts w:ascii="Candara" w:eastAsia="Times New Roman" w:hAnsi="Candara" w:cs="Times New Roman"/>
          <w:b/>
          <w:color w:val="333333"/>
          <w:sz w:val="22"/>
          <w:szCs w:val="22"/>
        </w:rPr>
        <w:t>Conclusions:</w:t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t xml:space="preserve"> In this population-based study</w:t>
      </w:r>
      <w:r w:rsidR="00D0665A">
        <w:rPr>
          <w:rFonts w:ascii="Candara" w:eastAsia="Times New Roman" w:hAnsi="Candara" w:cs="Times New Roman"/>
          <w:color w:val="333333"/>
          <w:sz w:val="22"/>
          <w:szCs w:val="22"/>
        </w:rPr>
        <w:t xml:space="preserve"> of patients presenting to ED with NVAF</w:t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t xml:space="preserve">, we found </w:t>
      </w:r>
      <w:r w:rsidR="00D0665A">
        <w:rPr>
          <w:rFonts w:ascii="Candara" w:eastAsia="Times New Roman" w:hAnsi="Candara" w:cs="Times New Roman"/>
          <w:color w:val="333333"/>
          <w:sz w:val="22"/>
          <w:szCs w:val="22"/>
        </w:rPr>
        <w:t>w</w:t>
      </w:r>
      <w:r w:rsidR="00D0665A" w:rsidRPr="00A10085">
        <w:rPr>
          <w:rFonts w:ascii="Candara" w:eastAsia="Times New Roman" w:hAnsi="Candara" w:cs="Times New Roman"/>
          <w:color w:val="333333"/>
          <w:sz w:val="22"/>
          <w:szCs w:val="22"/>
        </w:rPr>
        <w:t xml:space="preserve">omen were more likely to be admitted to hospital </w:t>
      </w:r>
      <w:r w:rsidR="00D0665A">
        <w:rPr>
          <w:rFonts w:ascii="Candara" w:eastAsia="Times New Roman" w:hAnsi="Candara" w:cs="Times New Roman"/>
          <w:color w:val="333333"/>
          <w:sz w:val="22"/>
          <w:szCs w:val="22"/>
        </w:rPr>
        <w:t>than men.  W</w:t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t>omen had a worse prognosis than men, irrespective of ED discharge status. Use of OAC</w:t>
      </w:r>
      <w:r w:rsidR="00BA5AD0">
        <w:rPr>
          <w:rFonts w:ascii="Candara" w:eastAsia="Times New Roman" w:hAnsi="Candara" w:cs="Times New Roman"/>
          <w:color w:val="333333"/>
          <w:sz w:val="22"/>
          <w:szCs w:val="22"/>
        </w:rPr>
        <w:t xml:space="preserve"> was</w:t>
      </w:r>
      <w:r w:rsidRPr="00A10085">
        <w:rPr>
          <w:rFonts w:ascii="Candara" w:eastAsia="Times New Roman" w:hAnsi="Candara" w:cs="Times New Roman"/>
          <w:color w:val="333333"/>
          <w:sz w:val="22"/>
          <w:szCs w:val="22"/>
        </w:rPr>
        <w:t xml:space="preserve"> </w:t>
      </w:r>
      <w:r w:rsidR="003216B2">
        <w:rPr>
          <w:rFonts w:ascii="Candara" w:eastAsia="Times New Roman" w:hAnsi="Candara" w:cs="Times New Roman"/>
          <w:color w:val="333333"/>
          <w:sz w:val="22"/>
          <w:szCs w:val="22"/>
        </w:rPr>
        <w:t>suboptimal, regardless of patient sex</w:t>
      </w:r>
      <w:r w:rsidR="00682660">
        <w:rPr>
          <w:rFonts w:ascii="Candara" w:eastAsia="Times New Roman" w:hAnsi="Candara" w:cs="Times New Roman"/>
          <w:color w:val="333333"/>
          <w:sz w:val="22"/>
          <w:szCs w:val="22"/>
        </w:rPr>
        <w:t>.</w:t>
      </w:r>
      <w:r w:rsidR="00CF5C37">
        <w:rPr>
          <w:rFonts w:ascii="Candara" w:eastAsia="Times New Roman" w:hAnsi="Candara" w:cs="Times New Roman"/>
          <w:color w:val="333333"/>
          <w:sz w:val="22"/>
          <w:szCs w:val="22"/>
        </w:rPr>
        <w:br w:type="page"/>
      </w:r>
    </w:p>
    <w:p w14:paraId="375E8183" w14:textId="1F133103" w:rsidR="00E737EA" w:rsidRPr="002D6C8B" w:rsidDel="00586381" w:rsidRDefault="00CC604D" w:rsidP="00CF5C37">
      <w:pPr>
        <w:spacing w:before="100" w:beforeAutospacing="1" w:after="100" w:afterAutospacing="1"/>
        <w:ind w:left="360"/>
        <w:rPr>
          <w:rFonts w:ascii="Candara" w:eastAsia="Times New Roman" w:hAnsi="Candara" w:cs="Times New Roman"/>
          <w:b/>
          <w:bCs/>
          <w:color w:val="333333"/>
          <w:sz w:val="22"/>
          <w:szCs w:val="22"/>
        </w:rPr>
      </w:pPr>
      <w:r w:rsidRPr="002D6C8B">
        <w:rPr>
          <w:rFonts w:ascii="Candara" w:eastAsia="Times New Roman" w:hAnsi="Candara" w:cs="Times New Roman"/>
          <w:b/>
          <w:bCs/>
          <w:color w:val="333333"/>
          <w:sz w:val="22"/>
          <w:szCs w:val="22"/>
        </w:rPr>
        <w:lastRenderedPageBreak/>
        <w:t xml:space="preserve">Outcomes by </w:t>
      </w:r>
      <w:r w:rsidR="00B0392E">
        <w:rPr>
          <w:rFonts w:ascii="Candara" w:eastAsia="Times New Roman" w:hAnsi="Candara" w:cs="Times New Roman"/>
          <w:b/>
          <w:bCs/>
          <w:color w:val="333333"/>
          <w:sz w:val="22"/>
          <w:szCs w:val="22"/>
        </w:rPr>
        <w:t xml:space="preserve">Sex and </w:t>
      </w:r>
      <w:r w:rsidR="00C649BE">
        <w:rPr>
          <w:rFonts w:ascii="Candara" w:eastAsia="Times New Roman" w:hAnsi="Candara" w:cs="Times New Roman"/>
          <w:b/>
          <w:bCs/>
          <w:color w:val="333333"/>
          <w:sz w:val="22"/>
          <w:szCs w:val="22"/>
        </w:rPr>
        <w:t xml:space="preserve">ED </w:t>
      </w:r>
      <w:r w:rsidR="004036F8">
        <w:rPr>
          <w:rFonts w:ascii="Candara" w:eastAsia="Times New Roman" w:hAnsi="Candara" w:cs="Times New Roman"/>
          <w:b/>
          <w:bCs/>
          <w:color w:val="333333"/>
          <w:sz w:val="22"/>
          <w:szCs w:val="22"/>
        </w:rPr>
        <w:t xml:space="preserve">Discharge </w:t>
      </w:r>
      <w:r w:rsidR="00C649BE">
        <w:rPr>
          <w:rFonts w:ascii="Candara" w:eastAsia="Times New Roman" w:hAnsi="Candara" w:cs="Times New Roman"/>
          <w:b/>
          <w:bCs/>
          <w:color w:val="333333"/>
          <w:sz w:val="22"/>
          <w:szCs w:val="22"/>
        </w:rPr>
        <w:t>Status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418"/>
        <w:gridCol w:w="850"/>
        <w:gridCol w:w="1418"/>
        <w:gridCol w:w="1417"/>
        <w:gridCol w:w="992"/>
      </w:tblGrid>
      <w:tr w:rsidR="00CC604D" w14:paraId="79A03EC7" w14:textId="77777777" w:rsidTr="002D6C8B">
        <w:tc>
          <w:tcPr>
            <w:tcW w:w="2376" w:type="dxa"/>
            <w:vMerge w:val="restart"/>
            <w:vAlign w:val="center"/>
          </w:tcPr>
          <w:p w14:paraId="3F9B3E34" w14:textId="77777777" w:rsidR="00CC604D" w:rsidRDefault="00CC604D" w:rsidP="00B43641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b/>
                <w:color w:val="333333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b/>
                <w:color w:val="333333"/>
                <w:sz w:val="22"/>
                <w:szCs w:val="22"/>
              </w:rPr>
              <w:t>Outcome</w:t>
            </w:r>
          </w:p>
        </w:tc>
        <w:tc>
          <w:tcPr>
            <w:tcW w:w="3544" w:type="dxa"/>
            <w:gridSpan w:val="3"/>
          </w:tcPr>
          <w:p w14:paraId="41AE32E6" w14:textId="77777777" w:rsidR="00CC604D" w:rsidRDefault="00CC604D" w:rsidP="00B43641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="Times New Roman"/>
                <w:b/>
                <w:color w:val="333333"/>
              </w:rPr>
            </w:pPr>
            <w:r>
              <w:rPr>
                <w:rFonts w:asciiTheme="majorHAnsi" w:eastAsia="Times New Roman" w:hAnsiTheme="majorHAnsi" w:cs="Times New Roman"/>
                <w:b/>
                <w:color w:val="333333"/>
                <w:sz w:val="22"/>
                <w:szCs w:val="22"/>
              </w:rPr>
              <w:t>Discharged</w:t>
            </w:r>
          </w:p>
        </w:tc>
        <w:tc>
          <w:tcPr>
            <w:tcW w:w="3827" w:type="dxa"/>
            <w:gridSpan w:val="3"/>
          </w:tcPr>
          <w:p w14:paraId="52E36B82" w14:textId="77777777" w:rsidR="00CC604D" w:rsidRDefault="00CC604D" w:rsidP="00B43641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="Times New Roman"/>
                <w:b/>
                <w:color w:val="333333"/>
              </w:rPr>
            </w:pPr>
            <w:r>
              <w:rPr>
                <w:rFonts w:asciiTheme="majorHAnsi" w:eastAsia="Times New Roman" w:hAnsiTheme="majorHAnsi" w:cs="Times New Roman"/>
                <w:b/>
                <w:color w:val="333333"/>
                <w:sz w:val="22"/>
                <w:szCs w:val="22"/>
              </w:rPr>
              <w:t>Admitted</w:t>
            </w:r>
          </w:p>
        </w:tc>
      </w:tr>
      <w:tr w:rsidR="00CC604D" w14:paraId="5AE84890" w14:textId="77777777" w:rsidTr="002D6C8B">
        <w:tc>
          <w:tcPr>
            <w:tcW w:w="2376" w:type="dxa"/>
            <w:vMerge/>
            <w:vAlign w:val="center"/>
          </w:tcPr>
          <w:p w14:paraId="13954F5B" w14:textId="77777777" w:rsidR="00CC604D" w:rsidRDefault="00CC604D" w:rsidP="00CC604D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b/>
                <w:color w:val="333333"/>
                <w:sz w:val="22"/>
                <w:szCs w:val="22"/>
              </w:rPr>
            </w:pPr>
          </w:p>
        </w:tc>
        <w:tc>
          <w:tcPr>
            <w:tcW w:w="1276" w:type="dxa"/>
          </w:tcPr>
          <w:p w14:paraId="621221A9" w14:textId="77777777" w:rsidR="00CC604D" w:rsidRPr="00A86BE6" w:rsidRDefault="00CC604D" w:rsidP="00CC604D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="Times New Roman"/>
                <w:b/>
                <w:color w:val="333333"/>
                <w:sz w:val="22"/>
                <w:szCs w:val="22"/>
              </w:rPr>
            </w:pPr>
            <w:r w:rsidRPr="00A86BE6">
              <w:rPr>
                <w:rFonts w:asciiTheme="majorHAnsi" w:eastAsia="Times New Roman" w:hAnsiTheme="majorHAnsi" w:cs="Times New Roman"/>
                <w:b/>
                <w:color w:val="333333"/>
                <w:sz w:val="22"/>
                <w:szCs w:val="22"/>
              </w:rPr>
              <w:t>Female</w:t>
            </w:r>
            <w:r w:rsidRPr="00A86BE6">
              <w:rPr>
                <w:rFonts w:asciiTheme="majorHAnsi" w:eastAsia="Times New Roman" w:hAnsiTheme="majorHAnsi" w:cs="Times New Roman"/>
                <w:b/>
                <w:color w:val="333333"/>
                <w:sz w:val="22"/>
                <w:szCs w:val="22"/>
              </w:rPr>
              <w:br/>
            </w:r>
            <w:r w:rsidRPr="00A86BE6"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(N=4,560)</w:t>
            </w:r>
          </w:p>
        </w:tc>
        <w:tc>
          <w:tcPr>
            <w:tcW w:w="1418" w:type="dxa"/>
          </w:tcPr>
          <w:p w14:paraId="6CA234CC" w14:textId="77777777" w:rsidR="00CC604D" w:rsidRPr="005851EF" w:rsidRDefault="00CC604D" w:rsidP="00CC604D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="Times New Roman"/>
                <w:b/>
                <w:color w:val="333333"/>
                <w:sz w:val="22"/>
                <w:szCs w:val="22"/>
              </w:rPr>
            </w:pPr>
            <w:r w:rsidRPr="005851EF">
              <w:rPr>
                <w:rFonts w:asciiTheme="majorHAnsi" w:eastAsia="Times New Roman" w:hAnsiTheme="majorHAnsi" w:cs="Times New Roman"/>
                <w:b/>
                <w:color w:val="333333"/>
                <w:sz w:val="22"/>
                <w:szCs w:val="22"/>
              </w:rPr>
              <w:t>Male</w:t>
            </w:r>
            <w:r w:rsidRPr="005851EF">
              <w:rPr>
                <w:rFonts w:asciiTheme="majorHAnsi" w:eastAsia="Times New Roman" w:hAnsiTheme="majorHAnsi" w:cs="Times New Roman"/>
                <w:b/>
                <w:color w:val="333333"/>
                <w:sz w:val="22"/>
                <w:szCs w:val="22"/>
              </w:rPr>
              <w:br/>
            </w:r>
            <w:r w:rsidRPr="005851EF"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(N=5,</w:t>
            </w:r>
            <w:r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780</w:t>
            </w:r>
            <w:r w:rsidRPr="005851EF"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)</w:t>
            </w:r>
          </w:p>
        </w:tc>
        <w:tc>
          <w:tcPr>
            <w:tcW w:w="850" w:type="dxa"/>
          </w:tcPr>
          <w:p w14:paraId="25D05F3C" w14:textId="77777777" w:rsidR="00CC604D" w:rsidRPr="00F534A0" w:rsidRDefault="00CC604D" w:rsidP="00CC604D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="Times New Roman"/>
                <w:b/>
                <w:color w:val="333333"/>
                <w:sz w:val="20"/>
                <w:szCs w:val="20"/>
              </w:rPr>
            </w:pPr>
            <w:r w:rsidRPr="00F534A0">
              <w:rPr>
                <w:rFonts w:asciiTheme="majorHAnsi" w:eastAsia="Times New Roman" w:hAnsiTheme="majorHAnsi" w:cs="Times New Roman"/>
                <w:b/>
                <w:color w:val="333333"/>
                <w:sz w:val="20"/>
                <w:szCs w:val="20"/>
              </w:rPr>
              <w:t>p-value</w:t>
            </w:r>
          </w:p>
        </w:tc>
        <w:tc>
          <w:tcPr>
            <w:tcW w:w="1418" w:type="dxa"/>
          </w:tcPr>
          <w:p w14:paraId="45E254A4" w14:textId="77777777" w:rsidR="00CC604D" w:rsidRPr="00117DF6" w:rsidRDefault="00CC604D" w:rsidP="00CC604D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="Times New Roman"/>
                <w:b/>
                <w:color w:val="333333"/>
                <w:sz w:val="22"/>
                <w:szCs w:val="22"/>
              </w:rPr>
            </w:pPr>
            <w:r w:rsidRPr="005851EF">
              <w:rPr>
                <w:rFonts w:asciiTheme="majorHAnsi" w:eastAsia="Times New Roman" w:hAnsiTheme="majorHAnsi" w:cs="Times New Roman"/>
                <w:b/>
                <w:color w:val="333333"/>
                <w:sz w:val="22"/>
                <w:szCs w:val="22"/>
              </w:rPr>
              <w:t>Female</w:t>
            </w:r>
            <w:r w:rsidRPr="005851EF">
              <w:rPr>
                <w:rFonts w:asciiTheme="majorHAnsi" w:eastAsia="Times New Roman" w:hAnsiTheme="majorHAnsi" w:cs="Times New Roman"/>
                <w:b/>
                <w:color w:val="333333"/>
                <w:sz w:val="22"/>
                <w:szCs w:val="22"/>
              </w:rPr>
              <w:br/>
            </w:r>
            <w:r w:rsidRPr="005851EF"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(N=3,210)</w:t>
            </w:r>
          </w:p>
        </w:tc>
        <w:tc>
          <w:tcPr>
            <w:tcW w:w="1417" w:type="dxa"/>
          </w:tcPr>
          <w:p w14:paraId="16D5FB3C" w14:textId="77777777" w:rsidR="00CC604D" w:rsidRPr="005851EF" w:rsidRDefault="00CC604D" w:rsidP="00CC604D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="Times New Roman"/>
                <w:b/>
                <w:color w:val="333333"/>
                <w:sz w:val="22"/>
                <w:szCs w:val="22"/>
              </w:rPr>
            </w:pPr>
            <w:r w:rsidRPr="005851EF">
              <w:rPr>
                <w:rFonts w:asciiTheme="majorHAnsi" w:eastAsia="Times New Roman" w:hAnsiTheme="majorHAnsi" w:cs="Times New Roman"/>
                <w:b/>
                <w:color w:val="333333"/>
                <w:sz w:val="22"/>
                <w:szCs w:val="22"/>
              </w:rPr>
              <w:t>Male</w:t>
            </w:r>
            <w:r w:rsidRPr="005851EF">
              <w:rPr>
                <w:rFonts w:asciiTheme="majorHAnsi" w:eastAsia="Times New Roman" w:hAnsiTheme="majorHAnsi" w:cs="Times New Roman"/>
                <w:b/>
                <w:color w:val="333333"/>
                <w:sz w:val="22"/>
                <w:szCs w:val="22"/>
              </w:rPr>
              <w:br/>
            </w:r>
            <w:r w:rsidRPr="005851EF"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(N=3,441)</w:t>
            </w:r>
          </w:p>
        </w:tc>
        <w:tc>
          <w:tcPr>
            <w:tcW w:w="992" w:type="dxa"/>
          </w:tcPr>
          <w:p w14:paraId="2A13F69A" w14:textId="77777777" w:rsidR="00CC604D" w:rsidRPr="00597236" w:rsidRDefault="00CC604D" w:rsidP="00CC604D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="Times New Roman"/>
                <w:b/>
                <w:color w:val="333333"/>
                <w:sz w:val="20"/>
                <w:szCs w:val="20"/>
              </w:rPr>
            </w:pPr>
            <w:r w:rsidRPr="00597236">
              <w:rPr>
                <w:rFonts w:asciiTheme="majorHAnsi" w:eastAsia="Times New Roman" w:hAnsiTheme="majorHAnsi" w:cs="Times New Roman"/>
                <w:b/>
                <w:color w:val="333333"/>
                <w:sz w:val="20"/>
                <w:szCs w:val="20"/>
              </w:rPr>
              <w:t>p-value</w:t>
            </w:r>
          </w:p>
        </w:tc>
      </w:tr>
      <w:tr w:rsidR="00CC604D" w14:paraId="325A7808" w14:textId="77777777" w:rsidTr="002D6C8B">
        <w:tc>
          <w:tcPr>
            <w:tcW w:w="2376" w:type="dxa"/>
          </w:tcPr>
          <w:p w14:paraId="1C349541" w14:textId="77777777" w:rsidR="00CC604D" w:rsidRPr="00EA089C" w:rsidRDefault="00CC604D" w:rsidP="00B43641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30 Day Mortality, n (%)</w:t>
            </w:r>
          </w:p>
        </w:tc>
        <w:tc>
          <w:tcPr>
            <w:tcW w:w="1276" w:type="dxa"/>
          </w:tcPr>
          <w:p w14:paraId="284EA965" w14:textId="77777777" w:rsidR="00CC604D" w:rsidRPr="00A86BE6" w:rsidRDefault="00CC604D" w:rsidP="00B43641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</w:pPr>
            <w:r w:rsidRPr="00A86BE6"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63 (1.</w:t>
            </w:r>
            <w:r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4</w:t>
            </w:r>
            <w:r w:rsidRPr="00A86BE6"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)</w:t>
            </w:r>
          </w:p>
        </w:tc>
        <w:tc>
          <w:tcPr>
            <w:tcW w:w="1418" w:type="dxa"/>
          </w:tcPr>
          <w:p w14:paraId="6CC545CE" w14:textId="77777777" w:rsidR="00CC604D" w:rsidRPr="005851EF" w:rsidRDefault="00CC604D" w:rsidP="00B43641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</w:pPr>
            <w:r w:rsidRPr="005851EF"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50 (0.9)</w:t>
            </w:r>
          </w:p>
        </w:tc>
        <w:tc>
          <w:tcPr>
            <w:tcW w:w="850" w:type="dxa"/>
          </w:tcPr>
          <w:p w14:paraId="6713DFED" w14:textId="77777777" w:rsidR="00CC604D" w:rsidRPr="00F534A0" w:rsidRDefault="00CC604D" w:rsidP="00B43641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="Times New Roman"/>
                <w:bCs/>
                <w:color w:val="333333"/>
                <w:sz w:val="20"/>
                <w:szCs w:val="20"/>
              </w:rPr>
            </w:pPr>
            <w:r w:rsidRPr="00F534A0">
              <w:rPr>
                <w:rFonts w:asciiTheme="majorHAnsi" w:eastAsia="Times New Roman" w:hAnsiTheme="majorHAnsi" w:cs="Times New Roman"/>
                <w:bCs/>
                <w:color w:val="333333"/>
                <w:sz w:val="20"/>
                <w:szCs w:val="20"/>
              </w:rPr>
              <w:t>.0</w:t>
            </w:r>
            <w:r w:rsidR="00B0392E">
              <w:rPr>
                <w:rFonts w:asciiTheme="majorHAnsi" w:eastAsia="Times New Roman" w:hAnsiTheme="majorHAnsi" w:cs="Times New Roman"/>
                <w:bCs/>
                <w:color w:val="333333"/>
                <w:sz w:val="20"/>
                <w:szCs w:val="20"/>
              </w:rPr>
              <w:t>12</w:t>
            </w:r>
          </w:p>
        </w:tc>
        <w:tc>
          <w:tcPr>
            <w:tcW w:w="1418" w:type="dxa"/>
          </w:tcPr>
          <w:p w14:paraId="00827D1D" w14:textId="77777777" w:rsidR="00CC604D" w:rsidRPr="005851EF" w:rsidRDefault="00CC604D" w:rsidP="00B43641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</w:pPr>
            <w:r w:rsidRPr="005851EF"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2</w:t>
            </w:r>
            <w:r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61</w:t>
            </w:r>
            <w:r w:rsidRPr="005851EF"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 xml:space="preserve"> (</w:t>
            </w:r>
            <w:r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8.1</w:t>
            </w:r>
            <w:r w:rsidRPr="005851EF"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)</w:t>
            </w:r>
          </w:p>
        </w:tc>
        <w:tc>
          <w:tcPr>
            <w:tcW w:w="1417" w:type="dxa"/>
          </w:tcPr>
          <w:p w14:paraId="2906783C" w14:textId="77777777" w:rsidR="00CC604D" w:rsidRPr="005851EF" w:rsidRDefault="00CC604D" w:rsidP="00B43641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</w:pPr>
            <w:r w:rsidRPr="005851EF"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2</w:t>
            </w:r>
            <w:r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28</w:t>
            </w:r>
            <w:r w:rsidRPr="005851EF"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 xml:space="preserve"> (6.</w:t>
            </w:r>
            <w:r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6</w:t>
            </w:r>
            <w:r w:rsidRPr="005851EF"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)</w:t>
            </w:r>
          </w:p>
        </w:tc>
        <w:tc>
          <w:tcPr>
            <w:tcW w:w="992" w:type="dxa"/>
          </w:tcPr>
          <w:p w14:paraId="783F6033" w14:textId="77777777" w:rsidR="00CC604D" w:rsidRPr="00597236" w:rsidRDefault="00CC604D" w:rsidP="00B43641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="Times New Roman"/>
                <w:bCs/>
                <w:color w:val="333333"/>
                <w:sz w:val="20"/>
                <w:szCs w:val="20"/>
              </w:rPr>
            </w:pPr>
            <w:r w:rsidRPr="002D6C8B">
              <w:rPr>
                <w:rFonts w:asciiTheme="majorHAnsi" w:eastAsia="Times New Roman" w:hAnsiTheme="majorHAnsi" w:cs="Times New Roman"/>
                <w:bCs/>
                <w:color w:val="333333"/>
                <w:sz w:val="20"/>
                <w:szCs w:val="20"/>
              </w:rPr>
              <w:t>.01</w:t>
            </w:r>
            <w:r w:rsidR="00AB0570">
              <w:rPr>
                <w:rFonts w:asciiTheme="majorHAnsi" w:eastAsia="Times New Roman" w:hAnsiTheme="majorHAnsi" w:cs="Times New Roman"/>
                <w:bCs/>
                <w:color w:val="333333"/>
                <w:sz w:val="20"/>
                <w:szCs w:val="20"/>
              </w:rPr>
              <w:t>9</w:t>
            </w:r>
          </w:p>
        </w:tc>
      </w:tr>
      <w:tr w:rsidR="00CC604D" w14:paraId="0A712E0F" w14:textId="77777777" w:rsidTr="002D6C8B">
        <w:tc>
          <w:tcPr>
            <w:tcW w:w="2376" w:type="dxa"/>
          </w:tcPr>
          <w:p w14:paraId="53BB9190" w14:textId="77777777" w:rsidR="00CC604D" w:rsidRPr="00EA089C" w:rsidRDefault="00CC604D" w:rsidP="00B43641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1 Year Mortality, n (%)</w:t>
            </w:r>
          </w:p>
        </w:tc>
        <w:tc>
          <w:tcPr>
            <w:tcW w:w="1276" w:type="dxa"/>
          </w:tcPr>
          <w:p w14:paraId="5DCC262A" w14:textId="77777777" w:rsidR="00CC604D" w:rsidRPr="00A86BE6" w:rsidRDefault="00CC604D" w:rsidP="00B43641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</w:pPr>
            <w:r w:rsidRPr="00A86BE6"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270 (5.9)</w:t>
            </w:r>
          </w:p>
        </w:tc>
        <w:tc>
          <w:tcPr>
            <w:tcW w:w="1418" w:type="dxa"/>
          </w:tcPr>
          <w:p w14:paraId="7BE105D3" w14:textId="77777777" w:rsidR="00CC604D" w:rsidRPr="005851EF" w:rsidRDefault="00CC604D" w:rsidP="00B43641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</w:pPr>
            <w:r w:rsidRPr="005851EF"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248 (4.</w:t>
            </w:r>
            <w:r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3</w:t>
            </w:r>
            <w:r w:rsidRPr="005851EF"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)</w:t>
            </w:r>
          </w:p>
        </w:tc>
        <w:tc>
          <w:tcPr>
            <w:tcW w:w="850" w:type="dxa"/>
          </w:tcPr>
          <w:p w14:paraId="02A9776D" w14:textId="77777777" w:rsidR="00CC604D" w:rsidRPr="00F534A0" w:rsidRDefault="00AB0570" w:rsidP="00B43641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="Times New Roman"/>
                <w:bCs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bCs/>
                <w:color w:val="333333"/>
                <w:sz w:val="20"/>
                <w:szCs w:val="20"/>
              </w:rPr>
              <w:t>&lt;.001</w:t>
            </w:r>
          </w:p>
        </w:tc>
        <w:tc>
          <w:tcPr>
            <w:tcW w:w="1418" w:type="dxa"/>
          </w:tcPr>
          <w:p w14:paraId="3A57492B" w14:textId="77777777" w:rsidR="00CC604D" w:rsidRPr="005851EF" w:rsidRDefault="00CC604D" w:rsidP="00B43641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717</w:t>
            </w:r>
            <w:r w:rsidRPr="005851EF"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 xml:space="preserve"> (</w:t>
            </w:r>
            <w:r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22.3</w:t>
            </w:r>
            <w:r w:rsidRPr="005851EF"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)</w:t>
            </w:r>
          </w:p>
        </w:tc>
        <w:tc>
          <w:tcPr>
            <w:tcW w:w="1417" w:type="dxa"/>
          </w:tcPr>
          <w:p w14:paraId="419ED5C8" w14:textId="77777777" w:rsidR="00CC604D" w:rsidRPr="005851EF" w:rsidRDefault="00CC604D" w:rsidP="00B43641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</w:pPr>
            <w:r w:rsidRPr="005851EF"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6</w:t>
            </w:r>
            <w:r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04</w:t>
            </w:r>
            <w:r w:rsidRPr="005851EF"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 xml:space="preserve"> (</w:t>
            </w:r>
            <w:r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17.6</w:t>
            </w:r>
            <w:r w:rsidRPr="005851EF"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)</w:t>
            </w:r>
          </w:p>
        </w:tc>
        <w:tc>
          <w:tcPr>
            <w:tcW w:w="992" w:type="dxa"/>
          </w:tcPr>
          <w:p w14:paraId="057C3E5D" w14:textId="77777777" w:rsidR="00CC604D" w:rsidRPr="00597236" w:rsidRDefault="00AB0570" w:rsidP="00B43641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="Times New Roman"/>
                <w:bCs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bCs/>
                <w:color w:val="333333"/>
                <w:sz w:val="20"/>
                <w:szCs w:val="20"/>
              </w:rPr>
              <w:t>&lt;.00</w:t>
            </w:r>
            <w:r w:rsidR="00CC604D" w:rsidRPr="002D6C8B">
              <w:rPr>
                <w:rFonts w:asciiTheme="majorHAnsi" w:eastAsia="Times New Roman" w:hAnsiTheme="majorHAnsi" w:cs="Times New Roman"/>
                <w:bCs/>
                <w:color w:val="333333"/>
                <w:sz w:val="20"/>
                <w:szCs w:val="20"/>
              </w:rPr>
              <w:t>1</w:t>
            </w:r>
          </w:p>
        </w:tc>
      </w:tr>
      <w:tr w:rsidR="00CC604D" w14:paraId="09D702D4" w14:textId="77777777" w:rsidTr="002D6C8B">
        <w:tc>
          <w:tcPr>
            <w:tcW w:w="2376" w:type="dxa"/>
          </w:tcPr>
          <w:p w14:paraId="3300B8BC" w14:textId="0BE56CF8" w:rsidR="00CC604D" w:rsidRPr="00EA089C" w:rsidRDefault="00CC604D" w:rsidP="00B43641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Stroke</w:t>
            </w:r>
            <w:r w:rsidR="00564E42"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*</w:t>
            </w:r>
            <w:r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, rate (SE)</w:t>
            </w:r>
          </w:p>
        </w:tc>
        <w:tc>
          <w:tcPr>
            <w:tcW w:w="1276" w:type="dxa"/>
          </w:tcPr>
          <w:p w14:paraId="3DBBE27B" w14:textId="77777777" w:rsidR="00CC604D" w:rsidRPr="00A86BE6" w:rsidRDefault="00CC604D" w:rsidP="00B43641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</w:pPr>
            <w:r w:rsidRPr="00A86BE6"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1.7 (0.</w:t>
            </w:r>
            <w:r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19</w:t>
            </w:r>
            <w:r w:rsidRPr="00A86BE6"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)</w:t>
            </w:r>
          </w:p>
        </w:tc>
        <w:tc>
          <w:tcPr>
            <w:tcW w:w="1418" w:type="dxa"/>
          </w:tcPr>
          <w:p w14:paraId="6BEC6EE2" w14:textId="77777777" w:rsidR="00CC604D" w:rsidRPr="005851EF" w:rsidRDefault="00CC604D" w:rsidP="00B43641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</w:pPr>
            <w:r w:rsidRPr="005851EF"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0.9 (0.</w:t>
            </w:r>
            <w:r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13</w:t>
            </w:r>
            <w:r w:rsidRPr="005851EF"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)</w:t>
            </w:r>
          </w:p>
        </w:tc>
        <w:tc>
          <w:tcPr>
            <w:tcW w:w="850" w:type="dxa"/>
          </w:tcPr>
          <w:p w14:paraId="6866CB03" w14:textId="77777777" w:rsidR="00CC604D" w:rsidRPr="00F534A0" w:rsidRDefault="00AB0570" w:rsidP="00B43641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="Times New Roman"/>
                <w:bCs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bCs/>
                <w:color w:val="333333"/>
                <w:sz w:val="20"/>
                <w:szCs w:val="20"/>
              </w:rPr>
              <w:t>&lt;.001</w:t>
            </w:r>
          </w:p>
        </w:tc>
        <w:tc>
          <w:tcPr>
            <w:tcW w:w="1418" w:type="dxa"/>
          </w:tcPr>
          <w:p w14:paraId="4A87161E" w14:textId="77777777" w:rsidR="00CC604D" w:rsidRPr="005851EF" w:rsidRDefault="00CC604D" w:rsidP="00B43641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4.0</w:t>
            </w:r>
            <w:r w:rsidRPr="005851EF"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 xml:space="preserve"> (0.</w:t>
            </w:r>
            <w:r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37</w:t>
            </w:r>
            <w:r w:rsidRPr="005851EF"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)</w:t>
            </w:r>
          </w:p>
        </w:tc>
        <w:tc>
          <w:tcPr>
            <w:tcW w:w="1417" w:type="dxa"/>
          </w:tcPr>
          <w:p w14:paraId="3B68698C" w14:textId="77777777" w:rsidR="00CC604D" w:rsidRPr="005851EF" w:rsidRDefault="00CC604D" w:rsidP="00B43641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</w:pPr>
            <w:r w:rsidRPr="005851EF"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2.6 (0.</w:t>
            </w:r>
            <w:r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28</w:t>
            </w:r>
            <w:r w:rsidRPr="005851EF"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)</w:t>
            </w:r>
          </w:p>
        </w:tc>
        <w:tc>
          <w:tcPr>
            <w:tcW w:w="992" w:type="dxa"/>
          </w:tcPr>
          <w:p w14:paraId="2FA5E1DF" w14:textId="77777777" w:rsidR="00CC604D" w:rsidRPr="00597236" w:rsidRDefault="00CC604D" w:rsidP="00B43641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="Times New Roman"/>
                <w:bCs/>
                <w:color w:val="333333"/>
                <w:sz w:val="20"/>
                <w:szCs w:val="20"/>
              </w:rPr>
            </w:pPr>
            <w:r w:rsidRPr="002D6C8B">
              <w:rPr>
                <w:rFonts w:asciiTheme="majorHAnsi" w:eastAsia="Times New Roman" w:hAnsiTheme="majorHAnsi" w:cs="Times New Roman"/>
                <w:bCs/>
                <w:color w:val="333333"/>
                <w:sz w:val="20"/>
                <w:szCs w:val="20"/>
              </w:rPr>
              <w:t>.001</w:t>
            </w:r>
          </w:p>
        </w:tc>
      </w:tr>
      <w:tr w:rsidR="00CC604D" w14:paraId="4F5489E6" w14:textId="77777777" w:rsidTr="002D6C8B">
        <w:trPr>
          <w:trHeight w:val="284"/>
        </w:trPr>
        <w:tc>
          <w:tcPr>
            <w:tcW w:w="2376" w:type="dxa"/>
          </w:tcPr>
          <w:p w14:paraId="18943830" w14:textId="7B920C4E" w:rsidR="00CC604D" w:rsidRPr="00EA089C" w:rsidRDefault="00CC604D" w:rsidP="00B43641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Heart Failure</w:t>
            </w:r>
            <w:r w:rsidR="00564E42"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*</w:t>
            </w:r>
            <w:r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, rate (SE)</w:t>
            </w:r>
          </w:p>
        </w:tc>
        <w:tc>
          <w:tcPr>
            <w:tcW w:w="1276" w:type="dxa"/>
          </w:tcPr>
          <w:p w14:paraId="093C539F" w14:textId="77777777" w:rsidR="00CC604D" w:rsidRPr="00A86BE6" w:rsidRDefault="00CC604D" w:rsidP="00B43641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</w:pPr>
            <w:r w:rsidRPr="00A86BE6"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3.6 (0.</w:t>
            </w:r>
            <w:r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28</w:t>
            </w:r>
            <w:r w:rsidRPr="00A86BE6"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)</w:t>
            </w:r>
          </w:p>
        </w:tc>
        <w:tc>
          <w:tcPr>
            <w:tcW w:w="1418" w:type="dxa"/>
          </w:tcPr>
          <w:p w14:paraId="6A60A77E" w14:textId="77777777" w:rsidR="00CC604D" w:rsidRPr="005851EF" w:rsidRDefault="00CC604D" w:rsidP="00B43641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</w:pPr>
            <w:r w:rsidRPr="005851EF"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3.1 (0.</w:t>
            </w:r>
            <w:r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23</w:t>
            </w:r>
            <w:r w:rsidRPr="005851EF"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)</w:t>
            </w:r>
          </w:p>
        </w:tc>
        <w:tc>
          <w:tcPr>
            <w:tcW w:w="850" w:type="dxa"/>
          </w:tcPr>
          <w:p w14:paraId="19067779" w14:textId="77777777" w:rsidR="00CC604D" w:rsidRPr="00F534A0" w:rsidRDefault="00AB0570" w:rsidP="00B43641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="Times New Roman"/>
                <w:bCs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bCs/>
                <w:color w:val="333333"/>
                <w:sz w:val="20"/>
                <w:szCs w:val="20"/>
              </w:rPr>
              <w:t>.16</w:t>
            </w:r>
          </w:p>
        </w:tc>
        <w:tc>
          <w:tcPr>
            <w:tcW w:w="1418" w:type="dxa"/>
          </w:tcPr>
          <w:p w14:paraId="2822299C" w14:textId="77777777" w:rsidR="00CC604D" w:rsidRPr="005851EF" w:rsidRDefault="00CC604D" w:rsidP="00B43641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12.9</w:t>
            </w:r>
            <w:r w:rsidRPr="005851EF"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 xml:space="preserve"> (0.</w:t>
            </w:r>
            <w:r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62</w:t>
            </w:r>
            <w:r w:rsidRPr="005851EF"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)</w:t>
            </w:r>
          </w:p>
        </w:tc>
        <w:tc>
          <w:tcPr>
            <w:tcW w:w="1417" w:type="dxa"/>
          </w:tcPr>
          <w:p w14:paraId="41A3188B" w14:textId="77777777" w:rsidR="00CC604D" w:rsidRPr="005851EF" w:rsidRDefault="00CC604D" w:rsidP="00B43641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</w:pPr>
            <w:r w:rsidRPr="005851EF"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1</w:t>
            </w:r>
            <w:r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0.4</w:t>
            </w:r>
            <w:r w:rsidRPr="005851EF"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 xml:space="preserve"> (0.</w:t>
            </w:r>
            <w:r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54</w:t>
            </w:r>
            <w:r w:rsidRPr="005851EF">
              <w:rPr>
                <w:rFonts w:asciiTheme="majorHAnsi" w:eastAsia="Times New Roman" w:hAnsiTheme="majorHAnsi" w:cs="Times New Roman"/>
                <w:bCs/>
                <w:color w:val="333333"/>
                <w:sz w:val="22"/>
                <w:szCs w:val="22"/>
              </w:rPr>
              <w:t>)</w:t>
            </w:r>
          </w:p>
        </w:tc>
        <w:tc>
          <w:tcPr>
            <w:tcW w:w="992" w:type="dxa"/>
          </w:tcPr>
          <w:p w14:paraId="28F1624A" w14:textId="77777777" w:rsidR="00CC604D" w:rsidRPr="00597236" w:rsidRDefault="00AB0570" w:rsidP="00B43641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="Times New Roman"/>
                <w:bCs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bCs/>
                <w:color w:val="333333"/>
                <w:sz w:val="20"/>
                <w:szCs w:val="20"/>
              </w:rPr>
              <w:t>.002</w:t>
            </w:r>
          </w:p>
        </w:tc>
      </w:tr>
    </w:tbl>
    <w:p w14:paraId="793B0E4C" w14:textId="7638E6EE" w:rsidR="00C91899" w:rsidRPr="00C649BE" w:rsidRDefault="00564E42" w:rsidP="00C649BE">
      <w:pPr>
        <w:spacing w:after="100" w:afterAutospacing="1"/>
        <w:rPr>
          <w:rFonts w:asciiTheme="majorHAnsi" w:eastAsia="Times New Roman" w:hAnsiTheme="majorHAnsi" w:cs="Times New Roman"/>
          <w:bCs/>
          <w:color w:val="333333"/>
          <w:sz w:val="20"/>
          <w:szCs w:val="20"/>
        </w:rPr>
      </w:pPr>
      <w:r w:rsidRPr="00C649BE">
        <w:rPr>
          <w:rFonts w:asciiTheme="majorHAnsi" w:eastAsia="Times New Roman" w:hAnsiTheme="majorHAnsi" w:cs="Times New Roman"/>
          <w:bCs/>
          <w:color w:val="333333"/>
          <w:sz w:val="20"/>
          <w:szCs w:val="20"/>
        </w:rPr>
        <w:t>*Censored on death</w:t>
      </w:r>
    </w:p>
    <w:sectPr w:rsidR="00C91899" w:rsidRPr="00C649BE" w:rsidSect="00C918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interstate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C26AA"/>
    <w:multiLevelType w:val="multilevel"/>
    <w:tmpl w:val="25D6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F05"/>
    <w:rsid w:val="000158DE"/>
    <w:rsid w:val="00037859"/>
    <w:rsid w:val="0005150F"/>
    <w:rsid w:val="00094399"/>
    <w:rsid w:val="00106BA0"/>
    <w:rsid w:val="00107F59"/>
    <w:rsid w:val="001126F0"/>
    <w:rsid w:val="001248DB"/>
    <w:rsid w:val="001552C1"/>
    <w:rsid w:val="001A4F4F"/>
    <w:rsid w:val="001B04A7"/>
    <w:rsid w:val="001C3A8F"/>
    <w:rsid w:val="002438A8"/>
    <w:rsid w:val="00265AD1"/>
    <w:rsid w:val="0027486A"/>
    <w:rsid w:val="002D6C8B"/>
    <w:rsid w:val="002F6AAB"/>
    <w:rsid w:val="002F6E3D"/>
    <w:rsid w:val="003216B2"/>
    <w:rsid w:val="00341E29"/>
    <w:rsid w:val="00350D93"/>
    <w:rsid w:val="003A04C9"/>
    <w:rsid w:val="003C3180"/>
    <w:rsid w:val="004036F8"/>
    <w:rsid w:val="00410834"/>
    <w:rsid w:val="00420ACB"/>
    <w:rsid w:val="0043620B"/>
    <w:rsid w:val="00456E8E"/>
    <w:rsid w:val="004727A0"/>
    <w:rsid w:val="004D276E"/>
    <w:rsid w:val="0051339D"/>
    <w:rsid w:val="00564E42"/>
    <w:rsid w:val="00584449"/>
    <w:rsid w:val="00586381"/>
    <w:rsid w:val="005E2104"/>
    <w:rsid w:val="005F39AB"/>
    <w:rsid w:val="00610C38"/>
    <w:rsid w:val="00631231"/>
    <w:rsid w:val="006324CB"/>
    <w:rsid w:val="00682660"/>
    <w:rsid w:val="00697059"/>
    <w:rsid w:val="006D129A"/>
    <w:rsid w:val="007114BD"/>
    <w:rsid w:val="00720657"/>
    <w:rsid w:val="00743BB8"/>
    <w:rsid w:val="00787F35"/>
    <w:rsid w:val="007B2409"/>
    <w:rsid w:val="007C1F05"/>
    <w:rsid w:val="007E25F7"/>
    <w:rsid w:val="00801D05"/>
    <w:rsid w:val="00814ACF"/>
    <w:rsid w:val="00816D9E"/>
    <w:rsid w:val="00864570"/>
    <w:rsid w:val="008B5167"/>
    <w:rsid w:val="008B7FF2"/>
    <w:rsid w:val="008C7E42"/>
    <w:rsid w:val="008E0D0E"/>
    <w:rsid w:val="009246CE"/>
    <w:rsid w:val="00930DD8"/>
    <w:rsid w:val="00957488"/>
    <w:rsid w:val="00993E65"/>
    <w:rsid w:val="009B6D69"/>
    <w:rsid w:val="009D029C"/>
    <w:rsid w:val="009D3BB1"/>
    <w:rsid w:val="00A10085"/>
    <w:rsid w:val="00A22738"/>
    <w:rsid w:val="00A718A4"/>
    <w:rsid w:val="00A847A5"/>
    <w:rsid w:val="00AB0570"/>
    <w:rsid w:val="00AB1921"/>
    <w:rsid w:val="00AB4C48"/>
    <w:rsid w:val="00AC34B0"/>
    <w:rsid w:val="00AD269E"/>
    <w:rsid w:val="00B019AB"/>
    <w:rsid w:val="00B02914"/>
    <w:rsid w:val="00B0392E"/>
    <w:rsid w:val="00B04C9A"/>
    <w:rsid w:val="00B07200"/>
    <w:rsid w:val="00B17FA6"/>
    <w:rsid w:val="00B309E7"/>
    <w:rsid w:val="00B51D60"/>
    <w:rsid w:val="00BA5AD0"/>
    <w:rsid w:val="00BB53E0"/>
    <w:rsid w:val="00BB5F71"/>
    <w:rsid w:val="00BB64EC"/>
    <w:rsid w:val="00C079FD"/>
    <w:rsid w:val="00C26E47"/>
    <w:rsid w:val="00C649BE"/>
    <w:rsid w:val="00C91899"/>
    <w:rsid w:val="00C96F45"/>
    <w:rsid w:val="00CC604D"/>
    <w:rsid w:val="00CF5C37"/>
    <w:rsid w:val="00D01EC8"/>
    <w:rsid w:val="00D04113"/>
    <w:rsid w:val="00D0665A"/>
    <w:rsid w:val="00D144A1"/>
    <w:rsid w:val="00D93862"/>
    <w:rsid w:val="00D94353"/>
    <w:rsid w:val="00DC360D"/>
    <w:rsid w:val="00E4570E"/>
    <w:rsid w:val="00E726EE"/>
    <w:rsid w:val="00E737EA"/>
    <w:rsid w:val="00EA7D90"/>
    <w:rsid w:val="00EB7904"/>
    <w:rsid w:val="00F84EE1"/>
    <w:rsid w:val="00F900BE"/>
    <w:rsid w:val="00FE109B"/>
    <w:rsid w:val="00FE34E4"/>
    <w:rsid w:val="00FF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2E2387"/>
  <w14:defaultImageDpi w14:val="300"/>
  <w15:docId w15:val="{105CD1C6-BBD9-4B06-B7A4-B56101BC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B7F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7F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7F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7F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7F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F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737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737EA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4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Roopinder Sandhu</dc:creator>
  <cp:lastModifiedBy>Patrick Daniele</cp:lastModifiedBy>
  <cp:revision>5</cp:revision>
  <cp:lastPrinted>2019-02-14T21:42:00Z</cp:lastPrinted>
  <dcterms:created xsi:type="dcterms:W3CDTF">2019-02-15T22:51:00Z</dcterms:created>
  <dcterms:modified xsi:type="dcterms:W3CDTF">2019-02-15T22:56:00Z</dcterms:modified>
</cp:coreProperties>
</file>