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6.png" ContentType="image/png"/>
  <Override PartName="/word/media/image10.png" ContentType="image/png"/>
  <Override PartName="/word/media/image1.jpeg" ContentType="image/jpe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Heading1"/>
        <w:numPr>
          <w:ilvl w:val="0"/>
          <w:numId w:val="6"/>
        </w:numPr>
        <w:rPr/>
      </w:pPr>
      <w:r>
        <w:rPr/>
        <w:t>Introduction</w:t>
      </w:r>
    </w:p>
    <w:p>
      <w:pPr>
        <w:pStyle w:val="TextBody"/>
        <w:rPr/>
      </w:pPr>
      <w:r>
        <w:rPr/>
        <w:t xml:space="preserve">This report presents the designing a rectifier circuit that will be used to operate a DC motor in </w:t>
      </w:r>
      <w:r>
        <w:rPr>
          <w:rFonts w:eastAsia="Noto Sans CJK SC Regular" w:cs="Lohit Devanagari"/>
          <w:color w:val="auto"/>
          <w:kern w:val="2"/>
          <w:sz w:val="24"/>
          <w:szCs w:val="24"/>
          <w:lang w:val="en-US" w:eastAsia="zh-CN" w:bidi="hi-IN"/>
        </w:rPr>
        <w:t>three</w:t>
      </w:r>
      <w:r>
        <w:rPr/>
        <w:t xml:space="preserve"> possible alternatives ways such that single or three phase thyristor rectifier or diode rectifier with buck convertor.</w:t>
      </w:r>
    </w:p>
    <w:p>
      <w:pPr>
        <w:pStyle w:val="Heading1"/>
        <w:numPr>
          <w:ilvl w:val="0"/>
          <w:numId w:val="6"/>
        </w:numPr>
        <w:rPr/>
      </w:pPr>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5"/>
        </w:numPr>
        <w:rPr/>
      </w:pPr>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rFonts w:eastAsia="Noto Sans CJK SC Regular" w:cs="Lohit Devanagari"/>
          <w:color w:val="auto"/>
          <w:kern w:val="2"/>
          <w:sz w:val="24"/>
          <w:szCs w:val="24"/>
          <w:lang w:val="en-US" w:eastAsia="zh-CN" w:bidi="hi-IN"/>
        </w:rPr>
        <w:t>For the triac-based model, since it is fed from single-phase voltage source and because the diac circuit needs a substantial voltage headroom over the motor back EMF in order to charge, the variac is simulated as set to 220 V</w:t>
      </w:r>
      <w:r>
        <w:rPr>
          <w:rFonts w:eastAsia="Noto Sans CJK SC Regular" w:cs="Lohit Devanagari"/>
          <w:color w:val="auto"/>
          <w:kern w:val="2"/>
          <w:sz w:val="24"/>
          <w:szCs w:val="24"/>
          <w:vertAlign w:val="subscript"/>
          <w:lang w:val="en-US" w:eastAsia="zh-CN" w:bidi="hi-IN"/>
        </w:rPr>
        <w:t>rms,l-n</w:t>
      </w:r>
      <w:r>
        <w:rPr>
          <w:rFonts w:eastAsia="Noto Sans CJK SC Regular" w:cs="Lohit Devanagari"/>
          <w:color w:val="auto"/>
          <w:kern w:val="2"/>
          <w:position w:val="0"/>
          <w:sz w:val="24"/>
          <w:sz w:val="24"/>
          <w:szCs w:val="24"/>
          <w:vertAlign w:val="baseline"/>
          <w:lang w:val="en-US" w:eastAsia="zh-CN" w:bidi="hi-IN"/>
        </w:rPr>
        <w:t>. Based on simulations, this voltage allows the circuit to achieve 175 V</w:t>
      </w:r>
      <w:r>
        <w:rPr>
          <w:rFonts w:eastAsia="Noto Sans CJK SC Regular" w:cs="Lohit Devanagari"/>
          <w:color w:val="auto"/>
          <w:kern w:val="2"/>
          <w:sz w:val="24"/>
          <w:szCs w:val="24"/>
          <w:vertAlign w:val="subscript"/>
          <w:lang w:val="en-US" w:eastAsia="zh-CN" w:bidi="hi-IN"/>
        </w:rPr>
        <w:t>DC</w:t>
      </w:r>
      <w:r>
        <w:rPr>
          <w:rFonts w:eastAsia="Noto Sans CJK SC Regular" w:cs="Lohit Devanagari"/>
          <w:color w:val="auto"/>
          <w:kern w:val="2"/>
          <w:position w:val="0"/>
          <w:sz w:val="24"/>
          <w:sz w:val="24"/>
          <w:szCs w:val="24"/>
          <w:vertAlign w:val="baseline"/>
          <w:lang w:val="en-US" w:eastAsia="zh-CN" w:bidi="hi-IN"/>
        </w:rPr>
        <w:t xml:space="preserve"> (average) output to the motor.</w:t>
      </w:r>
    </w:p>
    <w:p>
      <w:pPr>
        <w:pStyle w:val="TextBody"/>
        <w:rPr/>
      </w:pPr>
      <w:r>
        <w:rPr/>
        <w:t>The source impedance of the lab AC power supply and variac is not known, but for modeling purposes, it was represented with an resistance of 50 mΩ and an inductance of 180 μH. This works out to an available short-circuit current at 120 V of 1590 A.</w:t>
      </w:r>
    </w:p>
    <w:p>
      <w:pPr>
        <w:pStyle w:val="Heading2"/>
        <w:numPr>
          <w:ilvl w:val="1"/>
          <w:numId w:val="5"/>
        </w:numPr>
        <w:rPr/>
      </w:pPr>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0" w:name="_Ref26306961"/>
      <w:r>
        <w:rPr/>
        <w:t xml:space="preserve">Figure </w:t>
      </w:r>
      <w:r>
        <w:rPr/>
        <w:fldChar w:fldCharType="begin"/>
      </w:r>
      <w:r>
        <w:rPr/>
        <w:instrText> SEQ Figure \* ARABIC </w:instrText>
      </w:r>
      <w:r>
        <w:rPr/>
        <w:fldChar w:fldCharType="separate"/>
      </w:r>
      <w:r>
        <w:rPr/>
        <w:t>1</w:t>
      </w:r>
      <w:r>
        <w:rPr/>
        <w:fldChar w:fldCharType="end"/>
      </w:r>
      <w:bookmarkEnd w:id="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 w:name="Ref_Table0_label_and_number"/>
      <w:r>
        <w:rPr/>
        <w:t xml:space="preserve">Table </w:t>
      </w:r>
      <w:r>
        <w:rPr/>
        <w:fldChar w:fldCharType="begin"/>
      </w:r>
      <w:r>
        <w:rPr/>
        <w:instrText> SEQ Table \* ARABIC </w:instrText>
      </w:r>
      <w:r>
        <w:rPr/>
        <w:fldChar w:fldCharType="separate"/>
      </w:r>
      <w:r>
        <w:rPr/>
        <w:t>1</w:t>
      </w:r>
      <w:r>
        <w:rPr/>
        <w:fldChar w:fldCharType="end"/>
      </w:r>
      <w:bookmarkEnd w:id="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30"/>
        <w:gridCol w:w="2523"/>
      </w:tblGrid>
      <w:tr>
        <w:trPr>
          <w:tblHeader w:val="true"/>
        </w:trPr>
        <w:tc>
          <w:tcPr>
            <w:tcW w:w="2430" w:type="dxa"/>
            <w:tcBorders>
              <w:top w:val="single" w:sz="12" w:space="0" w:color="000000"/>
              <w:bottom w:val="single" w:sz="2" w:space="0" w:color="000000"/>
            </w:tcBorders>
            <w:shd w:color="auto" w:fill="auto" w:val="clear"/>
          </w:tcPr>
          <w:p>
            <w:pPr>
              <w:pStyle w:val="TableHeading"/>
              <w:keepNext w:val="true"/>
              <w:rPr/>
            </w:pPr>
            <w:r>
              <w:rPr/>
              <w:t>Parameter</w:t>
            </w:r>
          </w:p>
        </w:tc>
        <w:tc>
          <w:tcPr>
            <w:tcW w:w="2523" w:type="dxa"/>
            <w:tcBorders>
              <w:top w:val="single" w:sz="12" w:space="0" w:color="000000"/>
              <w:bottom w:val="single" w:sz="2" w:space="0" w:color="000000"/>
            </w:tcBorders>
            <w:shd w:color="auto" w:fill="auto" w:val="clear"/>
          </w:tcPr>
          <w:p>
            <w:pPr>
              <w:pStyle w:val="TableHeading"/>
              <w:rPr/>
            </w:pPr>
            <w:r>
              <w:rPr/>
              <w:t>Value</w:t>
            </w:r>
          </w:p>
        </w:tc>
      </w:tr>
      <w:tr>
        <w:trPr/>
        <w:tc>
          <w:tcPr>
            <w:tcW w:w="2430" w:type="dxa"/>
            <w:tcBorders/>
            <w:shd w:color="auto" w:fill="auto" w:val="clear"/>
          </w:tcPr>
          <w:p>
            <w:pPr>
              <w:pStyle w:val="TableContents"/>
              <w:keepNext w:val="true"/>
              <w:jc w:val="center"/>
              <w:rPr/>
            </w:pPr>
            <w:r>
              <w:rPr/>
              <w:t>Pmec</w:t>
            </w:r>
          </w:p>
        </w:tc>
        <w:tc>
          <w:tcPr>
            <w:tcW w:w="2523" w:type="dxa"/>
            <w:tcBorders/>
            <w:shd w:color="auto" w:fill="auto" w:val="clear"/>
          </w:tcPr>
          <w:p>
            <w:pPr>
              <w:pStyle w:val="TableContents"/>
              <w:jc w:val="center"/>
              <w:rPr/>
            </w:pPr>
            <w:r>
              <w:rPr/>
              <w:t>5.5 HP</w:t>
            </w:r>
          </w:p>
        </w:tc>
      </w:tr>
      <w:tr>
        <w:trPr/>
        <w:tc>
          <w:tcPr>
            <w:tcW w:w="2430" w:type="dxa"/>
            <w:tcBorders/>
            <w:shd w:color="auto" w:fill="auto" w:val="clear"/>
          </w:tcPr>
          <w:p>
            <w:pPr>
              <w:pStyle w:val="TableContents"/>
              <w:keepNext w:val="true"/>
              <w:jc w:val="center"/>
              <w:rPr/>
            </w:pPr>
            <w:r>
              <w:rPr/>
              <w:t>RPM</w:t>
            </w:r>
          </w:p>
        </w:tc>
        <w:tc>
          <w:tcPr>
            <w:tcW w:w="2523" w:type="dxa"/>
            <w:tcBorders/>
            <w:shd w:color="auto" w:fill="auto" w:val="clear"/>
          </w:tcPr>
          <w:p>
            <w:pPr>
              <w:pStyle w:val="TableContents"/>
              <w:jc w:val="center"/>
              <w:rPr/>
            </w:pPr>
            <w:r>
              <w:rPr/>
              <w:t>1500</w:t>
            </w:r>
          </w:p>
        </w:tc>
      </w:tr>
      <w:tr>
        <w:trPr/>
        <w:tc>
          <w:tcPr>
            <w:tcW w:w="2430" w:type="dxa"/>
            <w:tcBorders/>
            <w:shd w:color="auto" w:fill="auto" w:val="clear"/>
          </w:tcPr>
          <w:p>
            <w:pPr>
              <w:pStyle w:val="TableContents"/>
              <w:keepNext w:val="true"/>
              <w:jc w:val="center"/>
              <w:rPr/>
            </w:pPr>
            <w:r>
              <w:rPr/>
              <w:t>VS</w:t>
            </w:r>
          </w:p>
        </w:tc>
        <w:tc>
          <w:tcPr>
            <w:tcW w:w="2523" w:type="dxa"/>
            <w:tcBorders/>
            <w:shd w:color="auto" w:fill="auto" w:val="clear"/>
          </w:tcPr>
          <w:p>
            <w:pPr>
              <w:pStyle w:val="TableContents"/>
              <w:jc w:val="center"/>
              <w:rPr/>
            </w:pPr>
            <w:r>
              <w:rPr/>
              <w:t>220 V</w:t>
            </w:r>
          </w:p>
        </w:tc>
      </w:tr>
      <w:tr>
        <w:trPr/>
        <w:tc>
          <w:tcPr>
            <w:tcW w:w="2430" w:type="dxa"/>
            <w:tcBorders/>
            <w:shd w:color="auto" w:fill="auto" w:val="clear"/>
          </w:tcPr>
          <w:p>
            <w:pPr>
              <w:pStyle w:val="TableContents"/>
              <w:keepNext w:val="true"/>
              <w:jc w:val="center"/>
              <w:rPr/>
            </w:pPr>
            <w:r>
              <w:rPr/>
              <w:t>IS</w:t>
            </w:r>
          </w:p>
        </w:tc>
        <w:tc>
          <w:tcPr>
            <w:tcW w:w="2523" w:type="dxa"/>
            <w:tcBorders/>
            <w:shd w:color="auto" w:fill="auto" w:val="clear"/>
          </w:tcPr>
          <w:p>
            <w:pPr>
              <w:pStyle w:val="TableContents"/>
              <w:jc w:val="center"/>
              <w:rPr/>
            </w:pPr>
            <w:r>
              <w:rPr/>
              <w:t>23.4 A</w:t>
            </w:r>
          </w:p>
        </w:tc>
      </w:tr>
      <w:tr>
        <w:trPr/>
        <w:tc>
          <w:tcPr>
            <w:tcW w:w="2430" w:type="dxa"/>
            <w:tcBorders/>
            <w:shd w:color="auto" w:fill="auto" w:val="clear"/>
          </w:tcPr>
          <w:p>
            <w:pPr>
              <w:pStyle w:val="TableContents"/>
              <w:keepNext w:val="true"/>
              <w:jc w:val="center"/>
              <w:rPr/>
            </w:pPr>
            <w:r>
              <w:rPr/>
              <w:t>Armature Winding</w:t>
            </w:r>
          </w:p>
        </w:tc>
        <w:tc>
          <w:tcPr>
            <w:tcW w:w="2523" w:type="dxa"/>
            <w:tcBorders/>
            <w:shd w:color="auto" w:fill="auto" w:val="clear"/>
          </w:tcPr>
          <w:p>
            <w:pPr>
              <w:pStyle w:val="TableContents"/>
              <w:jc w:val="center"/>
              <w:rPr/>
            </w:pPr>
            <w:r>
              <w:rPr/>
              <w:t>0.8 Ω, 12.5 mH</w:t>
            </w:r>
          </w:p>
        </w:tc>
      </w:tr>
      <w:tr>
        <w:trPr/>
        <w:tc>
          <w:tcPr>
            <w:tcW w:w="2430" w:type="dxa"/>
            <w:tcBorders/>
            <w:shd w:color="auto" w:fill="auto" w:val="clear"/>
          </w:tcPr>
          <w:p>
            <w:pPr>
              <w:pStyle w:val="TableContents"/>
              <w:keepNext w:val="true"/>
              <w:jc w:val="center"/>
              <w:rPr/>
            </w:pPr>
            <w:r>
              <w:rPr/>
              <w:t>Shunt Winding</w:t>
            </w:r>
          </w:p>
        </w:tc>
        <w:tc>
          <w:tcPr>
            <w:tcW w:w="2523" w:type="dxa"/>
            <w:tcBorders/>
            <w:shd w:color="auto" w:fill="auto" w:val="clear"/>
          </w:tcPr>
          <w:p>
            <w:pPr>
              <w:pStyle w:val="TableContents"/>
              <w:jc w:val="center"/>
              <w:rPr/>
            </w:pPr>
            <w:r>
              <w:rPr/>
              <w:t>210 Ω, 23 H</w:t>
            </w:r>
          </w:p>
        </w:tc>
      </w:tr>
      <w:tr>
        <w:trPr/>
        <w:tc>
          <w:tcPr>
            <w:tcW w:w="2430" w:type="dxa"/>
            <w:tcBorders>
              <w:bottom w:val="single" w:sz="12" w:space="0" w:color="000000"/>
            </w:tcBorders>
            <w:shd w:color="auto" w:fill="auto" w:val="clear"/>
          </w:tcPr>
          <w:p>
            <w:pPr>
              <w:pStyle w:val="TableContents"/>
              <w:jc w:val="center"/>
              <w:rPr/>
            </w:pPr>
            <w:r>
              <w:rPr/>
              <w:t>Interpoles Winding</w:t>
            </w:r>
          </w:p>
        </w:tc>
        <w:tc>
          <w:tcPr>
            <w:tcW w:w="2523"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π</m:t>
            </m:r>
          </m:num>
          <m:den>
            <m:r>
              <w:rPr>
                <w:rFonts w:ascii="Cambria Math" w:hAnsi="Cambria Math"/>
              </w:rPr>
              <m:t xml:space="preserve">60</m:t>
            </m:r>
          </m:den>
        </m:f>
      </m:oMath>
      <w:r>
        <w:rPr/>
        <w:t xml:space="preserve"> = 157 rad/s</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5"/>
        </w:numPr>
        <w:rPr/>
      </w:pPr>
      <w:r>
        <w:rPr/>
        <w:t>Motor Operation at Rated Load</w:t>
      </w:r>
    </w:p>
    <w:p>
      <w:pPr>
        <w:pStyle w:val="TextBody"/>
        <w:jc w:val="left"/>
        <w:rPr/>
      </w:pPr>
      <w:r>
        <w:rPr/>
        <w:t>The equivalent circuit parameters for a DC motor are the following:</w:t>
      </w:r>
    </w:p>
    <w:p>
      <w:pPr>
        <w:pStyle w:val="TextBody"/>
        <w:jc w:val="center"/>
        <w:rPr/>
      </w:pPr>
      <w:r>
        <w:rPr/>
        <w:t>V</w:t>
      </w:r>
      <w:r>
        <w:rPr>
          <w:vertAlign w:val="subscript"/>
        </w:rPr>
        <w:t>t</w:t>
      </w:r>
      <w:r>
        <w:rPr/>
        <w:t xml:space="preserve"> = E</w:t>
      </w:r>
      <w:r>
        <w:rPr>
          <w:vertAlign w:val="subscript"/>
        </w:rPr>
        <w:t>a</w:t>
      </w:r>
      <w:r>
        <w:rPr/>
        <w:t xml:space="preserve"> + I</w:t>
      </w:r>
      <w:r>
        <w:rPr>
          <w:vertAlign w:val="subscript"/>
        </w:rPr>
        <w:t>a</w:t>
      </w:r>
      <w:r>
        <w:rPr/>
        <w:t xml:space="preserve"> x R</w:t>
      </w:r>
      <w:r>
        <w:rPr>
          <w:vertAlign w:val="subscript"/>
        </w:rPr>
        <w:t>a</w:t>
      </w:r>
      <w:r>
        <w:rPr/>
        <w:br/>
        <w:t>E</w:t>
      </w:r>
      <w:r>
        <w:rPr>
          <w:vertAlign w:val="subscript"/>
        </w:rPr>
        <w:t>a</w:t>
      </w:r>
      <w:r>
        <w:rPr/>
        <w:t xml:space="preserve"> = L</w:t>
      </w:r>
      <w:r>
        <w:rPr>
          <w:vertAlign w:val="subscript"/>
        </w:rPr>
        <w:t>af</w:t>
      </w:r>
      <w:r>
        <w:rPr/>
        <w:t xml:space="preserve"> x I</w:t>
      </w:r>
      <w:r>
        <w:rPr>
          <w:vertAlign w:val="subscript"/>
        </w:rPr>
        <w:t>f</w:t>
      </w:r>
      <w:r>
        <w:rPr/>
        <w:t xml:space="preserve">  x w</w:t>
      </w:r>
      <w:r>
        <w:rPr>
          <w:vertAlign w:val="subscript"/>
        </w:rPr>
        <w:t>m</w:t>
      </w:r>
      <w:r>
        <w:rPr/>
        <w:br/>
        <w:t>T = L</w:t>
      </w:r>
      <w:r>
        <w:rPr>
          <w:vertAlign w:val="subscript"/>
        </w:rPr>
        <w:t>af</w:t>
      </w:r>
      <w:r>
        <w:rPr/>
        <w:t xml:space="preserve"> x I</w:t>
      </w:r>
      <w:r>
        <w:rPr>
          <w:vertAlign w:val="subscript"/>
        </w:rPr>
        <w:t>f</w:t>
      </w:r>
      <w:r>
        <w:rPr/>
        <w:t xml:space="preserve"> x  I</w:t>
      </w:r>
      <w:r>
        <w:rPr>
          <w:vertAlign w:val="subscript"/>
        </w:rPr>
        <w:t>a</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V)x(23.4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 R</w:t>
      </w:r>
      <w:r>
        <w:rPr>
          <w:vertAlign w:val="subscript"/>
        </w:rPr>
        <w:t>a</w:t>
      </w:r>
      <w:r>
        <w:rPr/>
        <w:t xml:space="preserve"> = 220 V - (0.8 Ω)*(22.4 A) = 202 V.</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5"/>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2" w:name="Ref_Figure1_label_and_number"/>
      <w:r>
        <w:rPr/>
        <w:t xml:space="preserve">Figure </w:t>
      </w:r>
      <w:r>
        <w:rPr/>
        <w:fldChar w:fldCharType="begin"/>
      </w:r>
      <w:r>
        <w:rPr/>
        <w:instrText> SEQ Figure \* ARABIC </w:instrText>
      </w:r>
      <w:r>
        <w:rPr/>
        <w:fldChar w:fldCharType="separate"/>
      </w:r>
      <w:r>
        <w:rPr/>
        <w:t>2</w:t>
      </w:r>
      <w:r>
        <w:rPr/>
        <w:fldChar w:fldCharType="end"/>
      </w:r>
      <w:bookmarkEnd w:id="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7"/>
        <w:gridCol w:w="1171"/>
        <w:gridCol w:w="1172"/>
        <w:gridCol w:w="1303"/>
        <w:gridCol w:w="1559"/>
      </w:tblGrid>
      <w:tr>
        <w:trPr>
          <w:tblHeader w:val="true"/>
        </w:trPr>
        <w:tc>
          <w:tcPr>
            <w:tcW w:w="2427"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9"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7"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59" w:type="dxa"/>
            <w:tcBorders/>
            <w:shd w:color="auto" w:fill="auto" w:val="clear"/>
          </w:tcPr>
          <w:p>
            <w:pPr>
              <w:pStyle w:val="TableContents"/>
              <w:jc w:val="center"/>
              <w:rPr>
                <w:color w:val="000000"/>
              </w:rPr>
            </w:pPr>
            <w:r>
              <w:rPr>
                <w:color w:val="000000"/>
              </w:rPr>
              <w:t>283</w:t>
            </w:r>
          </w:p>
        </w:tc>
      </w:tr>
      <w:tr>
        <w:trPr/>
        <w:tc>
          <w:tcPr>
            <w:tcW w:w="2427"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59" w:type="dxa"/>
            <w:tcBorders/>
            <w:shd w:color="auto" w:fill="auto" w:val="clear"/>
          </w:tcPr>
          <w:p>
            <w:pPr>
              <w:pStyle w:val="TableContents"/>
              <w:jc w:val="center"/>
              <w:rPr>
                <w:color w:val="000000"/>
              </w:rPr>
            </w:pPr>
            <w:r>
              <w:rPr>
                <w:color w:val="000000"/>
              </w:rPr>
              <w:t>2.6</w:t>
            </w:r>
          </w:p>
        </w:tc>
      </w:tr>
      <w:tr>
        <w:trPr/>
        <w:tc>
          <w:tcPr>
            <w:tcW w:w="2427"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59" w:type="dxa"/>
            <w:tcBorders/>
            <w:shd w:color="auto" w:fill="auto" w:val="clear"/>
          </w:tcPr>
          <w:p>
            <w:pPr>
              <w:pStyle w:val="TableContents"/>
              <w:jc w:val="center"/>
              <w:rPr>
                <w:color w:val="000000"/>
              </w:rPr>
            </w:pPr>
            <w:r>
              <w:rPr>
                <w:color w:val="000000"/>
              </w:rPr>
              <w:t>15.4</w:t>
            </w:r>
          </w:p>
        </w:tc>
      </w:tr>
      <w:tr>
        <w:trPr/>
        <w:tc>
          <w:tcPr>
            <w:tcW w:w="2427"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2"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59"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4"/>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5"/>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 xml:space="preserve">2.65 N-m </w:t>
      </w:r>
      <w:r>
        <w:rPr>
          <w:rFonts w:eastAsia="Noto Sans CJK SC Regular" w:cs="Lohit Devanagari"/>
          <w:color w:val="auto"/>
          <w:kern w:val="2"/>
          <w:sz w:val="24"/>
          <w:szCs w:val="24"/>
          <w:lang w:val="en-US" w:eastAsia="zh-CN" w:bidi="hi-IN"/>
        </w:rPr>
        <w:t>x</w:t>
      </w:r>
      <w:r>
        <w:rPr/>
        <w:t xml:space="preserve">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5"/>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w:t>
      </w:r>
      <w:r>
        <w:rPr>
          <w:rFonts w:eastAsia="Noto Sans CJK SC Regular" w:cs="Lohit Devanagari"/>
          <w:color w:val="auto"/>
          <w:kern w:val="2"/>
          <w:sz w:val="24"/>
          <w:szCs w:val="24"/>
          <w:lang w:val="en-US" w:eastAsia="zh-CN" w:bidi="hi-IN"/>
        </w:rPr>
        <w:t>14.0</w:t>
      </w:r>
      <w:r>
        <w:rPr/>
        <w:t xml:space="preserve">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xml:space="preserve">= </w:t>
      </w:r>
      <w:r>
        <w:rPr>
          <w:rFonts w:eastAsia="Noto Sans CJK SC Regular" w:cs="Lohit Devanagari"/>
          <w:color w:val="auto"/>
          <w:kern w:val="2"/>
          <w:sz w:val="24"/>
          <w:szCs w:val="24"/>
          <w:lang w:val="en-US" w:eastAsia="zh-CN" w:bidi="hi-IN"/>
        </w:rPr>
        <w:t>164</w:t>
      </w:r>
      <w:r>
        <w:rPr/>
        <w:t xml:space="preserve"> V</w:t>
      </w:r>
    </w:p>
    <w:p>
      <w:pPr>
        <w:pStyle w:val="TextBody"/>
        <w:rPr/>
      </w:pPr>
      <w:r>
        <w:rPr>
          <w:rFonts w:eastAsia="Noto Sans CJK SC Regular" w:cs="Lohit Devanagari"/>
          <w:color w:val="auto"/>
          <w:kern w:val="2"/>
          <w:sz w:val="24"/>
          <w:szCs w:val="24"/>
          <w:lang w:val="en-US" w:eastAsia="zh-CN" w:bidi="hi-IN"/>
        </w:rPr>
        <w:t>S</w:t>
      </w:r>
      <w:r>
        <w:rPr/>
        <w:t>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w:t>
      </w:r>
      <w:r>
        <w:rPr>
          <w:rFonts w:eastAsia="Noto Sans CJK SC Regular" w:cs="Lohit Devanagari"/>
          <w:color w:val="auto"/>
          <w:kern w:val="2"/>
          <w:sz w:val="24"/>
          <w:szCs w:val="24"/>
          <w:lang w:val="en-US" w:eastAsia="zh-CN" w:bidi="hi-IN"/>
        </w:rPr>
        <w:t>127</w:t>
      </w:r>
      <w:r>
        <w:rPr/>
        <w:t xml:space="preserve"> rad/s.  </w:t>
      </w:r>
    </w:p>
    <w:p>
      <w:pPr>
        <w:pStyle w:val="TextBody"/>
        <w:rPr/>
      </w:pPr>
      <w:r>
        <w:rPr/>
        <w:t>This is 127/157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 (1950 W) / (127 rad/s) = 15.4 N-m.</w:t>
      </w:r>
    </w:p>
    <w:p>
      <w:pPr>
        <w:pStyle w:val="Heading2"/>
        <w:numPr>
          <w:ilvl w:val="1"/>
          <w:numId w:val="5"/>
        </w:numPr>
        <w:rPr/>
      </w:pPr>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3" w:name="_Ref26308462"/>
      <w:bookmarkStart w:id="4" w:name="_Ref26308466"/>
      <w:r>
        <w:rPr/>
        <w:t xml:space="preserve">Figure </w:t>
      </w:r>
      <w:r>
        <w:rPr/>
        <w:fldChar w:fldCharType="begin"/>
      </w:r>
      <w:r>
        <w:rPr/>
        <w:instrText> SEQ Figure \* ARABIC </w:instrText>
      </w:r>
      <w:r>
        <w:rPr/>
        <w:fldChar w:fldCharType="separate"/>
      </w:r>
      <w:r>
        <w:rPr/>
        <w:t>3</w:t>
      </w:r>
      <w:r>
        <w:rPr/>
        <w:fldChar w:fldCharType="end"/>
      </w:r>
      <w:bookmarkEnd w:id="4"/>
      <w:r>
        <w:rPr/>
        <w:t>: Three-Phase Thyristor Rectifier Simulink Model</w:t>
      </w:r>
      <w:bookmarkEnd w:id="3"/>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5" w:name="_Ref26307243"/>
      <w:r>
        <w:rPr/>
        <w:t xml:space="preserve">Table </w:t>
      </w:r>
      <w:r>
        <w:rPr/>
        <w:fldChar w:fldCharType="begin"/>
      </w:r>
      <w:r>
        <w:rPr/>
        <w:instrText> SEQ Table \* ARABIC </w:instrText>
      </w:r>
      <w:r>
        <w:rPr/>
        <w:fldChar w:fldCharType="separate"/>
      </w:r>
      <w:r>
        <w:rPr/>
        <w:t>3</w:t>
      </w:r>
      <w:r>
        <w:rPr/>
        <w:fldChar w:fldCharType="end"/>
      </w:r>
      <w:bookmarkEnd w:id="5"/>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0"/>
        <w:gridCol w:w="1028"/>
        <w:gridCol w:w="1001"/>
        <w:gridCol w:w="998"/>
        <w:gridCol w:w="999"/>
        <w:gridCol w:w="998"/>
        <w:gridCol w:w="1005"/>
        <w:gridCol w:w="1183"/>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3"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3"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998" w:type="dxa"/>
            <w:tcBorders/>
            <w:shd w:color="auto" w:fill="auto" w:val="clear"/>
          </w:tcPr>
          <w:p>
            <w:pPr>
              <w:pStyle w:val="TableContents"/>
              <w:jc w:val="center"/>
              <w:rPr/>
            </w:pPr>
            <w:r>
              <w:rPr/>
              <w:t>62.43</w:t>
            </w:r>
          </w:p>
        </w:tc>
        <w:tc>
          <w:tcPr>
            <w:tcW w:w="999" w:type="dxa"/>
            <w:tcBorders/>
            <w:shd w:color="auto" w:fill="auto" w:val="clear"/>
          </w:tcPr>
          <w:p>
            <w:pPr>
              <w:pStyle w:val="TableContents"/>
              <w:jc w:val="center"/>
              <w:rPr/>
            </w:pPr>
            <w:r>
              <w:rPr/>
              <w:t>1193</w:t>
            </w:r>
          </w:p>
        </w:tc>
        <w:tc>
          <w:tcPr>
            <w:tcW w:w="998"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83" w:type="dxa"/>
            <w:tcBorders/>
            <w:shd w:color="auto" w:fill="auto" w:val="clear"/>
          </w:tcPr>
          <w:p>
            <w:pPr>
              <w:pStyle w:val="TableContents"/>
              <w:jc w:val="center"/>
              <w:rPr/>
            </w:pPr>
            <w:r>
              <w:rPr/>
              <w:t>37.2</w:t>
            </w:r>
          </w:p>
        </w:tc>
      </w:tr>
      <w:tr>
        <w:trPr/>
        <w:tc>
          <w:tcPr>
            <w:tcW w:w="1433"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8"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998" w:type="dxa"/>
            <w:tcBorders/>
            <w:shd w:color="auto" w:fill="auto" w:val="clear"/>
          </w:tcPr>
          <w:p>
            <w:pPr>
              <w:pStyle w:val="TableContents"/>
              <w:jc w:val="center"/>
              <w:rPr/>
            </w:pPr>
            <w:r>
              <w:rPr/>
              <w:t>242.6</w:t>
            </w:r>
          </w:p>
        </w:tc>
        <w:tc>
          <w:tcPr>
            <w:tcW w:w="999" w:type="dxa"/>
            <w:tcBorders/>
            <w:shd w:color="auto" w:fill="auto" w:val="clear"/>
          </w:tcPr>
          <w:p>
            <w:pPr>
              <w:pStyle w:val="TableContents"/>
              <w:jc w:val="center"/>
              <w:rPr/>
            </w:pPr>
            <w:r>
              <w:rPr/>
              <w:t>383.2</w:t>
            </w:r>
          </w:p>
        </w:tc>
        <w:tc>
          <w:tcPr>
            <w:tcW w:w="998"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83" w:type="dxa"/>
            <w:tcBorders/>
            <w:shd w:color="auto" w:fill="auto" w:val="clear"/>
          </w:tcPr>
          <w:p>
            <w:pPr>
              <w:pStyle w:val="TableContents"/>
              <w:jc w:val="center"/>
              <w:rPr/>
            </w:pPr>
            <w:r>
              <w:rPr/>
              <w:t>59.71</w:t>
            </w:r>
          </w:p>
        </w:tc>
      </w:tr>
      <w:tr>
        <w:trPr/>
        <w:tc>
          <w:tcPr>
            <w:tcW w:w="1433"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8"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998" w:type="dxa"/>
            <w:tcBorders/>
            <w:shd w:color="auto" w:fill="auto" w:val="clear"/>
          </w:tcPr>
          <w:p>
            <w:pPr>
              <w:pStyle w:val="TableContents"/>
              <w:jc w:val="center"/>
              <w:rPr/>
            </w:pPr>
            <w:r>
              <w:rPr/>
              <w:t>823.2</w:t>
            </w:r>
          </w:p>
        </w:tc>
        <w:tc>
          <w:tcPr>
            <w:tcW w:w="999" w:type="dxa"/>
            <w:tcBorders/>
            <w:shd w:color="auto" w:fill="auto" w:val="clear"/>
          </w:tcPr>
          <w:p>
            <w:pPr>
              <w:pStyle w:val="TableContents"/>
              <w:jc w:val="center"/>
              <w:rPr/>
            </w:pPr>
            <w:r>
              <w:rPr/>
              <w:t>1082</w:t>
            </w:r>
          </w:p>
        </w:tc>
        <w:tc>
          <w:tcPr>
            <w:tcW w:w="998"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83" w:type="dxa"/>
            <w:tcBorders/>
            <w:shd w:color="auto" w:fill="auto" w:val="clear"/>
          </w:tcPr>
          <w:p>
            <w:pPr>
              <w:pStyle w:val="TableContents"/>
              <w:jc w:val="center"/>
              <w:rPr/>
            </w:pPr>
            <w:r>
              <w:rPr/>
              <w:t>33.02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8"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998" w:type="dxa"/>
            <w:tcBorders>
              <w:bottom w:val="single" w:sz="12" w:space="0" w:color="000000"/>
            </w:tcBorders>
            <w:shd w:color="auto" w:fill="auto" w:val="clear"/>
          </w:tcPr>
          <w:p>
            <w:pPr>
              <w:pStyle w:val="TableContents"/>
              <w:jc w:val="center"/>
              <w:rPr/>
            </w:pPr>
            <w:r>
              <w:rPr/>
              <w:t>1688</w:t>
            </w:r>
          </w:p>
        </w:tc>
        <w:tc>
          <w:tcPr>
            <w:tcW w:w="999" w:type="dxa"/>
            <w:tcBorders>
              <w:bottom w:val="single" w:sz="12" w:space="0" w:color="000000"/>
            </w:tcBorders>
            <w:shd w:color="auto" w:fill="auto" w:val="clear"/>
          </w:tcPr>
          <w:p>
            <w:pPr>
              <w:pStyle w:val="TableContents"/>
              <w:jc w:val="center"/>
              <w:rPr/>
            </w:pPr>
            <w:r>
              <w:rPr/>
              <w:t>1416</w:t>
            </w:r>
          </w:p>
        </w:tc>
        <w:tc>
          <w:tcPr>
            <w:tcW w:w="998"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83"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6" w:name="_Ref26307203"/>
      <w:r>
        <w:rPr/>
        <w:t xml:space="preserve">Table </w:t>
      </w:r>
      <w:r>
        <w:rPr/>
        <w:fldChar w:fldCharType="begin"/>
      </w:r>
      <w:r>
        <w:rPr/>
        <w:instrText> SEQ Table \* ARABIC </w:instrText>
      </w:r>
      <w:r>
        <w:rPr/>
        <w:fldChar w:fldCharType="separate"/>
      </w:r>
      <w:r>
        <w:rPr/>
        <w:t>4</w:t>
      </w:r>
      <w:r>
        <w:rPr/>
        <w:fldChar w:fldCharType="end"/>
      </w:r>
      <w:bookmarkEnd w:id="6"/>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4"/>
        <w:gridCol w:w="1077"/>
        <w:gridCol w:w="1278"/>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8"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0"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4" w:type="dxa"/>
            <w:tcBorders/>
            <w:shd w:color="auto" w:fill="auto" w:val="clear"/>
          </w:tcPr>
          <w:p>
            <w:pPr>
              <w:pStyle w:val="TableContents"/>
              <w:jc w:val="center"/>
              <w:rPr/>
            </w:pPr>
            <w:r>
              <w:rPr/>
              <w:t>10.41</w:t>
            </w:r>
          </w:p>
        </w:tc>
        <w:tc>
          <w:tcPr>
            <w:tcW w:w="1077" w:type="dxa"/>
            <w:tcBorders/>
            <w:shd w:color="auto" w:fill="auto" w:val="clear"/>
          </w:tcPr>
          <w:p>
            <w:pPr>
              <w:pStyle w:val="TableContents"/>
              <w:jc w:val="center"/>
              <w:rPr/>
            </w:pPr>
            <w:r>
              <w:rPr/>
              <w:t>124.4</w:t>
            </w:r>
          </w:p>
        </w:tc>
        <w:tc>
          <w:tcPr>
            <w:tcW w:w="1278" w:type="dxa"/>
            <w:tcBorders/>
            <w:shd w:color="auto" w:fill="auto" w:val="clear"/>
          </w:tcPr>
          <w:p>
            <w:pPr>
              <w:pStyle w:val="TableContents"/>
              <w:jc w:val="center"/>
              <w:rPr/>
            </w:pPr>
            <w:r>
              <w:rPr/>
              <w:t>66.45</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0"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4" w:type="dxa"/>
            <w:tcBorders/>
            <w:shd w:color="auto" w:fill="auto" w:val="clear"/>
          </w:tcPr>
          <w:p>
            <w:pPr>
              <w:pStyle w:val="TableContents"/>
              <w:jc w:val="center"/>
              <w:rPr/>
            </w:pPr>
            <w:r>
              <w:rPr/>
              <w:t>6.62</w:t>
            </w:r>
          </w:p>
        </w:tc>
        <w:tc>
          <w:tcPr>
            <w:tcW w:w="1077" w:type="dxa"/>
            <w:tcBorders/>
            <w:shd w:color="auto" w:fill="auto" w:val="clear"/>
          </w:tcPr>
          <w:p>
            <w:pPr>
              <w:pStyle w:val="TableContents"/>
              <w:jc w:val="center"/>
              <w:rPr/>
            </w:pPr>
            <w:r>
              <w:rPr/>
              <w:t>715</w:t>
            </w:r>
          </w:p>
        </w:tc>
        <w:tc>
          <w:tcPr>
            <w:tcW w:w="1278" w:type="dxa"/>
            <w:tcBorders/>
            <w:shd w:color="auto" w:fill="auto" w:val="clear"/>
          </w:tcPr>
          <w:p>
            <w:pPr>
              <w:pStyle w:val="TableContents"/>
              <w:jc w:val="center"/>
              <w:rPr/>
            </w:pPr>
            <w:r>
              <w:rPr/>
              <w:t>98.23</w:t>
            </w:r>
          </w:p>
        </w:tc>
      </w:tr>
      <w:tr>
        <w:trPr/>
        <w:tc>
          <w:tcPr>
            <w:tcW w:w="1705"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0"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4" w:type="dxa"/>
            <w:tcBorders/>
            <w:shd w:color="auto" w:fill="auto" w:val="clear"/>
          </w:tcPr>
          <w:p>
            <w:pPr>
              <w:pStyle w:val="TableContents"/>
              <w:jc w:val="center"/>
              <w:rPr/>
            </w:pPr>
            <w:r>
              <w:rPr/>
              <w:t>8.27</w:t>
            </w:r>
          </w:p>
        </w:tc>
        <w:tc>
          <w:tcPr>
            <w:tcW w:w="1077" w:type="dxa"/>
            <w:tcBorders/>
            <w:shd w:color="auto" w:fill="auto" w:val="clear"/>
          </w:tcPr>
          <w:p>
            <w:pPr>
              <w:pStyle w:val="TableContents"/>
              <w:jc w:val="center"/>
              <w:rPr/>
            </w:pPr>
            <w:r>
              <w:rPr/>
              <w:t>2414</w:t>
            </w:r>
          </w:p>
        </w:tc>
        <w:tc>
          <w:tcPr>
            <w:tcW w:w="1278" w:type="dxa"/>
            <w:tcBorders/>
            <w:shd w:color="auto" w:fill="auto" w:val="clear"/>
          </w:tcPr>
          <w:p>
            <w:pPr>
              <w:pStyle w:val="TableContents"/>
              <w:jc w:val="center"/>
              <w:rPr/>
            </w:pPr>
            <w:r>
              <w:rPr/>
              <w:t>97.73</w:t>
            </w:r>
          </w:p>
        </w:tc>
      </w:tr>
      <w:tr>
        <w:trPr/>
        <w:tc>
          <w:tcPr>
            <w:tcW w:w="1705"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0"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4" w:type="dxa"/>
            <w:tcBorders>
              <w:bottom w:val="single" w:sz="12" w:space="0" w:color="000000"/>
            </w:tcBorders>
            <w:shd w:color="auto" w:fill="auto" w:val="clear"/>
          </w:tcPr>
          <w:p>
            <w:pPr>
              <w:pStyle w:val="TableContents"/>
              <w:jc w:val="center"/>
              <w:rPr/>
            </w:pPr>
            <w:r>
              <w:rPr/>
              <w:t>6.84</w:t>
            </w:r>
          </w:p>
        </w:tc>
        <w:tc>
          <w:tcPr>
            <w:tcW w:w="1077" w:type="dxa"/>
            <w:tcBorders>
              <w:bottom w:val="single" w:sz="12" w:space="0" w:color="000000"/>
            </w:tcBorders>
            <w:shd w:color="auto" w:fill="auto" w:val="clear"/>
          </w:tcPr>
          <w:p>
            <w:pPr>
              <w:pStyle w:val="TableContents"/>
              <w:jc w:val="center"/>
              <w:rPr/>
            </w:pPr>
            <w:r>
              <w:rPr/>
              <w:t>4978</w:t>
            </w:r>
          </w:p>
        </w:tc>
        <w:tc>
          <w:tcPr>
            <w:tcW w:w="1278"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7" w:name="Ref_Table4_label_and_number"/>
      <w:r>
        <w:rPr/>
        <w:t xml:space="preserve">Table </w:t>
      </w:r>
      <w:r>
        <w:rPr/>
        <w:fldChar w:fldCharType="begin"/>
      </w:r>
      <w:r>
        <w:rPr/>
        <w:instrText> SEQ Table \* ARABIC </w:instrText>
      </w:r>
      <w:r>
        <w:rPr/>
        <w:fldChar w:fldCharType="separate"/>
      </w:r>
      <w:r>
        <w:rPr/>
        <w:t>5</w:t>
      </w:r>
      <w:r>
        <w:rPr/>
        <w:fldChar w:fldCharType="end"/>
      </w:r>
      <w:bookmarkEnd w:id="7"/>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8"/>
        <w:gridCol w:w="1077"/>
        <w:gridCol w:w="1060"/>
        <w:gridCol w:w="1006"/>
        <w:gridCol w:w="1009"/>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6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8" w:type="dxa"/>
            <w:tcBorders/>
            <w:shd w:color="auto" w:fill="auto" w:val="clear"/>
          </w:tcPr>
          <w:p>
            <w:pPr>
              <w:pStyle w:val="TableContents"/>
              <w:jc w:val="center"/>
              <w:rPr/>
            </w:pPr>
            <w:r>
              <w:rPr/>
              <w:t>3.98</w:t>
            </w:r>
          </w:p>
        </w:tc>
        <w:tc>
          <w:tcPr>
            <w:tcW w:w="1077" w:type="dxa"/>
            <w:tcBorders/>
            <w:shd w:color="auto" w:fill="auto" w:val="clear"/>
          </w:tcPr>
          <w:p>
            <w:pPr>
              <w:pStyle w:val="TableContents"/>
              <w:jc w:val="center"/>
              <w:rPr/>
            </w:pPr>
            <w:r>
              <w:rPr/>
              <w:t>7.09</w:t>
            </w:r>
          </w:p>
        </w:tc>
        <w:tc>
          <w:tcPr>
            <w:tcW w:w="1060" w:type="dxa"/>
            <w:tcBorders/>
            <w:shd w:color="auto" w:fill="auto" w:val="clear"/>
          </w:tcPr>
          <w:p>
            <w:pPr>
              <w:pStyle w:val="TableContents"/>
              <w:jc w:val="center"/>
              <w:rPr/>
            </w:pPr>
            <w:r>
              <w:rPr/>
              <w:t>290.1</w:t>
            </w:r>
          </w:p>
        </w:tc>
        <w:tc>
          <w:tcPr>
            <w:tcW w:w="1006" w:type="dxa"/>
            <w:tcBorders/>
            <w:shd w:color="auto" w:fill="auto" w:val="clear"/>
          </w:tcPr>
          <w:p>
            <w:pPr>
              <w:pStyle w:val="TableContents"/>
              <w:jc w:val="center"/>
              <w:rPr/>
            </w:pPr>
            <w:r>
              <w:rPr/>
              <w:t>293.3</w:t>
            </w:r>
          </w:p>
        </w:tc>
        <w:tc>
          <w:tcPr>
            <w:tcW w:w="1009"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8" w:type="dxa"/>
            <w:tcBorders/>
            <w:shd w:color="auto" w:fill="auto" w:val="clear"/>
          </w:tcPr>
          <w:p>
            <w:pPr>
              <w:pStyle w:val="TableContents"/>
              <w:jc w:val="center"/>
              <w:rPr/>
            </w:pPr>
            <w:r>
              <w:rPr/>
              <w:t>1.36</w:t>
            </w:r>
          </w:p>
        </w:tc>
        <w:tc>
          <w:tcPr>
            <w:tcW w:w="1077" w:type="dxa"/>
            <w:tcBorders/>
            <w:shd w:color="auto" w:fill="auto" w:val="clear"/>
          </w:tcPr>
          <w:p>
            <w:pPr>
              <w:pStyle w:val="TableContents"/>
              <w:jc w:val="center"/>
              <w:rPr/>
            </w:pPr>
            <w:r>
              <w:rPr/>
              <w:t>2.68</w:t>
            </w:r>
          </w:p>
        </w:tc>
        <w:tc>
          <w:tcPr>
            <w:tcW w:w="1060" w:type="dxa"/>
            <w:tcBorders/>
            <w:shd w:color="auto" w:fill="auto" w:val="clear"/>
          </w:tcPr>
          <w:p>
            <w:pPr>
              <w:pStyle w:val="TableContents"/>
              <w:jc w:val="center"/>
              <w:rPr/>
            </w:pPr>
            <w:r>
              <w:rPr/>
              <w:t>292.6</w:t>
            </w:r>
          </w:p>
        </w:tc>
        <w:tc>
          <w:tcPr>
            <w:tcW w:w="1006" w:type="dxa"/>
            <w:tcBorders/>
            <w:shd w:color="auto" w:fill="auto" w:val="clear"/>
          </w:tcPr>
          <w:p>
            <w:pPr>
              <w:pStyle w:val="TableContents"/>
              <w:jc w:val="center"/>
              <w:rPr/>
            </w:pPr>
            <w:r>
              <w:rPr/>
              <w:t>221.3</w:t>
            </w:r>
          </w:p>
        </w:tc>
        <w:tc>
          <w:tcPr>
            <w:tcW w:w="1009"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8" w:type="dxa"/>
            <w:tcBorders/>
            <w:shd w:color="auto" w:fill="auto" w:val="clear"/>
          </w:tcPr>
          <w:p>
            <w:pPr>
              <w:pStyle w:val="TableContents"/>
              <w:jc w:val="center"/>
              <w:rPr/>
            </w:pPr>
            <w:r>
              <w:rPr/>
              <w:t>4.56</w:t>
            </w:r>
          </w:p>
        </w:tc>
        <w:tc>
          <w:tcPr>
            <w:tcW w:w="1077" w:type="dxa"/>
            <w:tcBorders/>
            <w:shd w:color="auto" w:fill="auto" w:val="clear"/>
          </w:tcPr>
          <w:p>
            <w:pPr>
              <w:pStyle w:val="TableContents"/>
              <w:jc w:val="center"/>
              <w:rPr/>
            </w:pPr>
            <w:r>
              <w:rPr/>
              <w:t>8.00</w:t>
            </w:r>
          </w:p>
        </w:tc>
        <w:tc>
          <w:tcPr>
            <w:tcW w:w="1060" w:type="dxa"/>
            <w:tcBorders/>
            <w:shd w:color="auto" w:fill="auto" w:val="clear"/>
          </w:tcPr>
          <w:p>
            <w:pPr>
              <w:pStyle w:val="TableContents"/>
              <w:jc w:val="center"/>
              <w:rPr/>
            </w:pPr>
            <w:r>
              <w:rPr/>
              <w:t>292.1</w:t>
            </w:r>
          </w:p>
        </w:tc>
        <w:tc>
          <w:tcPr>
            <w:tcW w:w="1006" w:type="dxa"/>
            <w:tcBorders/>
            <w:shd w:color="auto" w:fill="auto" w:val="clear"/>
          </w:tcPr>
          <w:p>
            <w:pPr>
              <w:pStyle w:val="TableContents"/>
              <w:jc w:val="center"/>
              <w:rPr/>
            </w:pPr>
            <w:r>
              <w:rPr/>
              <w:t>225.4</w:t>
            </w:r>
          </w:p>
        </w:tc>
        <w:tc>
          <w:tcPr>
            <w:tcW w:w="1009"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8" w:type="dxa"/>
            <w:tcBorders>
              <w:bottom w:val="single" w:sz="12" w:space="0" w:color="000000"/>
            </w:tcBorders>
            <w:shd w:color="auto" w:fill="auto" w:val="clear"/>
          </w:tcPr>
          <w:p>
            <w:pPr>
              <w:pStyle w:val="TableContents"/>
              <w:jc w:val="center"/>
              <w:rPr/>
            </w:pPr>
            <w:r>
              <w:rPr/>
              <w:t>7.48</w:t>
            </w:r>
          </w:p>
        </w:tc>
        <w:tc>
          <w:tcPr>
            <w:tcW w:w="1077" w:type="dxa"/>
            <w:tcBorders>
              <w:bottom w:val="single" w:sz="12" w:space="0" w:color="000000"/>
            </w:tcBorders>
            <w:shd w:color="auto" w:fill="auto" w:val="clear"/>
          </w:tcPr>
          <w:p>
            <w:pPr>
              <w:pStyle w:val="TableContents"/>
              <w:jc w:val="center"/>
              <w:rPr/>
            </w:pPr>
            <w:r>
              <w:rPr/>
              <w:t>12.98</w:t>
            </w:r>
          </w:p>
        </w:tc>
        <w:tc>
          <w:tcPr>
            <w:tcW w:w="1060" w:type="dxa"/>
            <w:tcBorders>
              <w:bottom w:val="single" w:sz="12" w:space="0" w:color="000000"/>
            </w:tcBorders>
            <w:shd w:color="auto" w:fill="auto" w:val="clear"/>
          </w:tcPr>
          <w:p>
            <w:pPr>
              <w:pStyle w:val="TableContents"/>
              <w:jc w:val="center"/>
              <w:rPr/>
            </w:pPr>
            <w:r>
              <w:rPr/>
              <w:t>292.5</w:t>
            </w:r>
          </w:p>
        </w:tc>
        <w:tc>
          <w:tcPr>
            <w:tcW w:w="1006" w:type="dxa"/>
            <w:tcBorders>
              <w:bottom w:val="single" w:sz="12" w:space="0" w:color="000000"/>
            </w:tcBorders>
            <w:shd w:color="auto" w:fill="auto" w:val="clear"/>
          </w:tcPr>
          <w:p>
            <w:pPr>
              <w:pStyle w:val="TableContents"/>
              <w:jc w:val="center"/>
              <w:rPr/>
            </w:pPr>
            <w:r>
              <w:rPr/>
              <w:t>173.8</w:t>
            </w:r>
          </w:p>
        </w:tc>
        <w:tc>
          <w:tcPr>
            <w:tcW w:w="1009"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8" w:name="_Ref26307454"/>
      <w:r>
        <w:rPr/>
        <w:t xml:space="preserve">Figure </w:t>
      </w:r>
      <w:r>
        <w:rPr/>
        <w:fldChar w:fldCharType="begin"/>
      </w:r>
      <w:r>
        <w:rPr/>
        <w:instrText> SEQ Figure \* ARABIC </w:instrText>
      </w:r>
      <w:r>
        <w:rPr/>
        <w:fldChar w:fldCharType="separate"/>
      </w:r>
      <w:r>
        <w:rPr/>
        <w:t>4</w:t>
      </w:r>
      <w:r>
        <w:rPr/>
        <w:fldChar w:fldCharType="end"/>
      </w:r>
      <w:bookmarkEnd w:id="8"/>
      <w:r>
        <w:rPr/>
        <w:t>: Three-Phase Thyristor Rectifier Simulated Waveforms</w:t>
      </w:r>
    </w:p>
    <w:p>
      <w:pPr>
        <w:pStyle w:val="TextBody"/>
        <w:rPr/>
      </w:pPr>
      <w:r>
        <w:rPr/>
      </w:r>
    </w:p>
    <w:p>
      <w:pPr>
        <w:pStyle w:val="Heading2"/>
        <w:numPr>
          <w:ilvl w:val="1"/>
          <w:numId w:val="5"/>
        </w:numPr>
        <w:rPr/>
      </w:pPr>
      <w:r>
        <w:rPr/>
        <w:t xml:space="preserve">Three-Phase Diode Rectifier + Buck Converter </w:t>
      </w:r>
      <w:bookmarkStart w:id="9" w:name="__DdeLink__54_1613870106"/>
      <w:r>
        <w:rPr/>
        <w:t>Simulation</w:t>
      </w:r>
      <w:bookmarkEnd w:id="9"/>
    </w:p>
    <w:p>
      <w:pPr>
        <w:pStyle w:val="TextBody"/>
        <w:rPr/>
      </w:pPr>
      <w:r>
        <w:rPr/>
        <w:t xml:space="preserve">The second circuit type that was simulated was a three-phase diode rectifier with buck converter on the DC side. The converter was modeled with a switching speed of </w:t>
      </w:r>
      <w:r>
        <w:rPr>
          <w:sz w:val="24"/>
        </w:rPr>
        <w:t>10</w:t>
      </w:r>
      <w:r>
        <w:rPr/>
        <w:t xml:space="preserve"> kHz. A DC-side filter capacitor of </w:t>
      </w:r>
      <w:r>
        <w:rPr>
          <w:sz w:val="24"/>
        </w:rPr>
        <w:t>1000</w:t>
      </w:r>
      <w:r>
        <w:rPr/>
        <w:t xml:space="preserve"> μF was included. The buck converter L was selected as </w:t>
      </w:r>
      <w:r>
        <w:rPr>
          <w:sz w:val="24"/>
        </w:rPr>
        <w:t>0.1</w:t>
      </w:r>
      <w:r>
        <w:rPr/>
        <w:t xml:space="preserve"> mH and C was selected as </w:t>
      </w:r>
      <w:r>
        <w:rPr>
          <w:sz w:val="24"/>
        </w:rPr>
        <w:t>100</w:t>
      </w:r>
      <w:r>
        <w:rPr/>
        <w:t xml:space="preserve"> μF. These values were chosen to give reasonably good ripple on the DC bus and the output. If this topology were selected, these values would require further investigation and refinement.</w:t>
      </w:r>
    </w:p>
    <w:p>
      <w:pPr>
        <w:pStyle w:val="TextBody"/>
        <w:rPr/>
      </w:pPr>
      <w:r>
        <w:rPr/>
        <w:t xml:space="preserve">Diodes were modeled with typical voltage drop of </w:t>
      </w:r>
      <w:r>
        <w:rPr>
          <w:sz w:val="24"/>
        </w:rPr>
        <w:t>0.8</w:t>
      </w:r>
      <w:r>
        <w:rPr/>
        <w:t xml:space="preserve"> V while the MOSFET was modeled with typical on-state resistance of </w:t>
      </w:r>
      <w:r>
        <w:rPr>
          <w:sz w:val="24"/>
        </w:rPr>
        <w:t>0.1</w:t>
      </w:r>
      <w:r>
        <w:rPr/>
        <w:t xml:space="preserve"> </w:t>
      </w:r>
      <w:r>
        <w:rPr>
          <w:sz w:val="24"/>
        </w:rPr>
        <w:t>Ω</w:t>
      </w:r>
      <w:r>
        <w:rPr/>
        <w:t>. Equivalent series resistance was neglected for capacitors and the inductor in the circuit.</w:t>
      </w:r>
    </w:p>
    <w:p>
      <w:pPr>
        <w:pStyle w:val="Normal"/>
        <w:jc w:val="center"/>
        <w:rPr/>
      </w:pPr>
      <w:r>
        <w:rPr/>
        <w:drawing>
          <wp:inline distT="0" distB="0" distL="0" distR="0">
            <wp:extent cx="5731510" cy="18624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1862455"/>
                    </a:xfrm>
                    <a:prstGeom prst="rect">
                      <a:avLst/>
                    </a:prstGeom>
                  </pic:spPr>
                </pic:pic>
              </a:graphicData>
            </a:graphic>
          </wp:inline>
        </w:drawing>
      </w:r>
    </w:p>
    <w:p>
      <w:pPr>
        <w:pStyle w:val="Figure"/>
        <w:rPr/>
      </w:pPr>
      <w:r>
        <w:rPr/>
        <w:t xml:space="preserve">Figure </w:t>
      </w:r>
      <w:bookmarkStart w:id="10" w:name="Ref_Figure3_number_only"/>
      <w:r>
        <w:rPr/>
        <w:fldChar w:fldCharType="begin"/>
      </w:r>
      <w:r>
        <w:rPr/>
        <w:instrText> SEQ Figure \* ARABIC </w:instrText>
      </w:r>
      <w:r>
        <w:rPr/>
        <w:fldChar w:fldCharType="separate"/>
      </w:r>
      <w:r>
        <w:rPr/>
        <w:t>5</w:t>
      </w:r>
      <w:r>
        <w:rPr/>
        <w:fldChar w:fldCharType="end"/>
      </w:r>
      <w:bookmarkEnd w:id="10"/>
      <w:r>
        <w:rPr/>
        <w:t>: Buck Converter Simulink Model</w:t>
      </w:r>
    </w:p>
    <w:p>
      <w:pPr>
        <w:pStyle w:val="TextBody"/>
        <w:rPr/>
      </w:pPr>
      <w:r>
        <w:rP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pPr>
        <w:pStyle w:val="TextBody"/>
        <w:rPr/>
      </w:pPr>
      <w:r>
        <w:rPr/>
        <w:t xml:space="preserve">Summary values of the simulation results are shown in </w:t>
      </w:r>
      <w:r>
        <w:rPr>
          <w:sz w:val="24"/>
        </w:rPr>
        <w:t xml:space="preserve">Tables </w:t>
      </w:r>
      <w:r>
        <w:rPr>
          <w:sz w:val="24"/>
        </w:rPr>
        <w:fldChar w:fldCharType="begin"/>
      </w:r>
      <w:r>
        <w:rPr>
          <w:sz w:val="24"/>
        </w:rPr>
        <w:instrText> REF Ref_Table5_number_only \h </w:instrText>
      </w:r>
      <w:r>
        <w:rPr>
          <w:sz w:val="24"/>
        </w:rPr>
        <w:fldChar w:fldCharType="separate"/>
      </w:r>
      <w:r>
        <w:rPr>
          <w:sz w:val="24"/>
        </w:rPr>
        <w:t>6</w:t>
      </w:r>
      <w:r>
        <w:rPr>
          <w:sz w:val="24"/>
        </w:rPr>
        <w:fldChar w:fldCharType="end"/>
      </w:r>
      <w:r>
        <w:rPr>
          <w:sz w:val="24"/>
        </w:rPr>
        <w:t xml:space="preserve">, </w:t>
      </w:r>
      <w:r>
        <w:rPr>
          <w:sz w:val="24"/>
        </w:rPr>
        <w:fldChar w:fldCharType="begin"/>
      </w:r>
      <w:r>
        <w:rPr>
          <w:sz w:val="24"/>
        </w:rPr>
        <w:instrText> REF Ref_Table6_number_only \h </w:instrText>
      </w:r>
      <w:r>
        <w:rPr>
          <w:sz w:val="24"/>
        </w:rPr>
        <w:fldChar w:fldCharType="separate"/>
      </w:r>
      <w:r>
        <w:rPr>
          <w:sz w:val="24"/>
        </w:rPr>
        <w:t>7</w:t>
      </w:r>
      <w:r>
        <w:rPr>
          <w:sz w:val="24"/>
        </w:rPr>
        <w:fldChar w:fldCharType="end"/>
      </w:r>
      <w:r>
        <w:rPr>
          <w:sz w:val="24"/>
        </w:rPr>
        <w:t xml:space="preserve">, </w:t>
      </w:r>
      <w:r>
        <w:rPr/>
        <w:t xml:space="preserve">and </w:t>
      </w:r>
      <w:r>
        <w:rPr>
          <w:sz w:val="24"/>
        </w:rPr>
        <w:fldChar w:fldCharType="begin"/>
      </w:r>
      <w:r>
        <w:rPr>
          <w:sz w:val="24"/>
        </w:rPr>
        <w:instrText> REF Ref_Table7_number_only \h </w:instrText>
      </w:r>
      <w:r>
        <w:rPr>
          <w:sz w:val="24"/>
        </w:rPr>
        <w:fldChar w:fldCharType="separate"/>
      </w:r>
      <w:r>
        <w:rPr>
          <w:sz w:val="24"/>
        </w:rPr>
        <w:t>8</w:t>
      </w:r>
      <w:r>
        <w:rPr>
          <w:sz w:val="24"/>
        </w:rPr>
        <w:fldChar w:fldCharType="end"/>
      </w:r>
      <w:r>
        <w:rPr/>
        <w:t>.</w:t>
      </w:r>
    </w:p>
    <w:p>
      <w:pPr>
        <w:pStyle w:val="Table"/>
        <w:keepNext w:val="true"/>
        <w:rPr/>
      </w:pPr>
      <w:bookmarkStart w:id="11" w:name="_Ref26308231"/>
      <w:r>
        <w:rPr/>
        <w:t xml:space="preserve">Table </w:t>
      </w:r>
      <w:bookmarkStart w:id="12" w:name="Ref_Table5_number_only"/>
      <w:r>
        <w:rPr/>
        <w:fldChar w:fldCharType="begin"/>
      </w:r>
      <w:r>
        <w:rPr/>
        <w:instrText> SEQ Table \* ARABIC </w:instrText>
      </w:r>
      <w:r>
        <w:rPr/>
        <w:fldChar w:fldCharType="separate"/>
      </w:r>
      <w:r>
        <w:rPr/>
        <w:t>6</w:t>
      </w:r>
      <w:r>
        <w:rPr/>
        <w:fldChar w:fldCharType="end"/>
      </w:r>
      <w:bookmarkEnd w:id="11"/>
      <w:bookmarkEnd w:id="12"/>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0"/>
        <w:gridCol w:w="1028"/>
        <w:gridCol w:w="1001"/>
        <w:gridCol w:w="998"/>
        <w:gridCol w:w="999"/>
        <w:gridCol w:w="998"/>
        <w:gridCol w:w="1005"/>
        <w:gridCol w:w="1183"/>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3"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8"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998" w:type="dxa"/>
            <w:tcBorders/>
            <w:shd w:color="auto" w:fill="auto" w:val="clear"/>
          </w:tcPr>
          <w:p>
            <w:pPr>
              <w:pStyle w:val="TableContents"/>
              <w:jc w:val="center"/>
              <w:rPr/>
            </w:pPr>
            <w:r>
              <w:rPr/>
              <w:t>51.25</w:t>
            </w:r>
          </w:p>
        </w:tc>
        <w:tc>
          <w:tcPr>
            <w:tcW w:w="999" w:type="dxa"/>
            <w:tcBorders/>
            <w:shd w:color="auto" w:fill="auto" w:val="clear"/>
          </w:tcPr>
          <w:p>
            <w:pPr>
              <w:pStyle w:val="TableContents"/>
              <w:jc w:val="center"/>
              <w:rPr/>
            </w:pPr>
            <w:r>
              <w:rPr/>
              <w:t>91.86</w:t>
            </w:r>
          </w:p>
        </w:tc>
        <w:tc>
          <w:tcPr>
            <w:tcW w:w="998"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83" w:type="dxa"/>
            <w:tcBorders/>
            <w:shd w:color="auto" w:fill="auto" w:val="clear"/>
          </w:tcPr>
          <w:p>
            <w:pPr>
              <w:pStyle w:val="TableContents"/>
              <w:jc w:val="center"/>
              <w:rPr/>
            </w:pPr>
            <w:r>
              <w:rPr/>
              <w:t>178.4</w:t>
            </w:r>
          </w:p>
        </w:tc>
      </w:tr>
      <w:tr>
        <w:trPr/>
        <w:tc>
          <w:tcPr>
            <w:tcW w:w="1433"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8"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998" w:type="dxa"/>
            <w:tcBorders/>
            <w:shd w:color="auto" w:fill="auto" w:val="clear"/>
          </w:tcPr>
          <w:p>
            <w:pPr>
              <w:pStyle w:val="TableContents"/>
              <w:jc w:val="center"/>
              <w:rPr/>
            </w:pPr>
            <w:r>
              <w:rPr/>
              <w:t>339.8</w:t>
            </w:r>
          </w:p>
        </w:tc>
        <w:tc>
          <w:tcPr>
            <w:tcW w:w="999" w:type="dxa"/>
            <w:tcBorders/>
            <w:shd w:color="auto" w:fill="auto" w:val="clear"/>
          </w:tcPr>
          <w:p>
            <w:pPr>
              <w:pStyle w:val="TableContents"/>
              <w:jc w:val="center"/>
              <w:rPr/>
            </w:pPr>
            <w:r>
              <w:rPr/>
              <w:t>449.6</w:t>
            </w:r>
          </w:p>
        </w:tc>
        <w:tc>
          <w:tcPr>
            <w:tcW w:w="998"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83" w:type="dxa"/>
            <w:tcBorders/>
            <w:shd w:color="auto" w:fill="auto" w:val="clear"/>
          </w:tcPr>
          <w:p>
            <w:pPr>
              <w:pStyle w:val="TableContents"/>
              <w:jc w:val="center"/>
              <w:rPr/>
            </w:pPr>
            <w:r>
              <w:rPr/>
              <w:t>130.8</w:t>
            </w:r>
          </w:p>
        </w:tc>
      </w:tr>
      <w:tr>
        <w:trPr/>
        <w:tc>
          <w:tcPr>
            <w:tcW w:w="1433"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998" w:type="dxa"/>
            <w:tcBorders/>
            <w:shd w:color="auto" w:fill="auto" w:val="clear"/>
          </w:tcPr>
          <w:p>
            <w:pPr>
              <w:pStyle w:val="TableContents"/>
              <w:jc w:val="center"/>
              <w:rPr/>
            </w:pPr>
            <w:r>
              <w:rPr/>
              <w:t>887.1</w:t>
            </w:r>
          </w:p>
        </w:tc>
        <w:tc>
          <w:tcPr>
            <w:tcW w:w="999" w:type="dxa"/>
            <w:tcBorders/>
            <w:shd w:color="auto" w:fill="auto" w:val="clear"/>
          </w:tcPr>
          <w:p>
            <w:pPr>
              <w:pStyle w:val="TableContents"/>
              <w:jc w:val="center"/>
              <w:rPr/>
            </w:pPr>
            <w:r>
              <w:rPr/>
              <w:t>994.5</w:t>
            </w:r>
          </w:p>
        </w:tc>
        <w:tc>
          <w:tcPr>
            <w:tcW w:w="998"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83" w:type="dxa"/>
            <w:tcBorders/>
            <w:shd w:color="auto" w:fill="auto" w:val="clear"/>
          </w:tcPr>
          <w:p>
            <w:pPr>
              <w:pStyle w:val="TableContents"/>
              <w:jc w:val="center"/>
              <w:rPr/>
            </w:pPr>
            <w:r>
              <w:rPr/>
              <w:t>110.2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8"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998" w:type="dxa"/>
            <w:tcBorders>
              <w:bottom w:val="single" w:sz="12" w:space="0" w:color="000000"/>
            </w:tcBorders>
            <w:shd w:color="auto" w:fill="auto" w:val="clear"/>
          </w:tcPr>
          <w:p>
            <w:pPr>
              <w:pStyle w:val="TableContents"/>
              <w:jc w:val="center"/>
              <w:rPr/>
            </w:pPr>
            <w:r>
              <w:rPr/>
              <w:t>1673</w:t>
            </w:r>
          </w:p>
        </w:tc>
        <w:tc>
          <w:tcPr>
            <w:tcW w:w="999" w:type="dxa"/>
            <w:tcBorders>
              <w:bottom w:val="single" w:sz="12" w:space="0" w:color="000000"/>
            </w:tcBorders>
            <w:shd w:color="auto" w:fill="auto" w:val="clear"/>
          </w:tcPr>
          <w:p>
            <w:pPr>
              <w:pStyle w:val="TableContents"/>
              <w:jc w:val="center"/>
              <w:rPr/>
            </w:pPr>
            <w:r>
              <w:rPr/>
              <w:t>1664</w:t>
            </w:r>
          </w:p>
        </w:tc>
        <w:tc>
          <w:tcPr>
            <w:tcW w:w="998"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83"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13" w:name="_Ref26308256"/>
      <w:r>
        <w:rPr/>
        <w:t xml:space="preserve">Table </w:t>
      </w:r>
      <w:bookmarkStart w:id="14" w:name="Ref_Table6_number_only"/>
      <w:r>
        <w:rPr/>
        <w:fldChar w:fldCharType="begin"/>
      </w:r>
      <w:r>
        <w:rPr/>
        <w:instrText> SEQ Table \* ARABIC </w:instrText>
      </w:r>
      <w:r>
        <w:rPr/>
        <w:fldChar w:fldCharType="separate"/>
      </w:r>
      <w:r>
        <w:rPr/>
        <w:t>7</w:t>
      </w:r>
      <w:r>
        <w:rPr/>
        <w:fldChar w:fldCharType="end"/>
      </w:r>
      <w:bookmarkEnd w:id="13"/>
      <w:bookmarkEnd w:id="14"/>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8"/>
        <w:gridCol w:w="1004"/>
        <w:gridCol w:w="1003"/>
        <w:gridCol w:w="1006"/>
        <w:gridCol w:w="1083"/>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3"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8"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3"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8"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3"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8"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3"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8"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3"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15" w:name="_Ref26309532"/>
      <w:r>
        <w:rPr/>
        <w:t xml:space="preserve">Table </w:t>
      </w:r>
      <w:bookmarkStart w:id="16" w:name="Ref_Table7_number_only"/>
      <w:r>
        <w:rPr/>
        <w:fldChar w:fldCharType="begin"/>
      </w:r>
      <w:r>
        <w:rPr/>
        <w:instrText> SEQ Table \* ARABIC </w:instrText>
      </w:r>
      <w:r>
        <w:rPr/>
        <w:fldChar w:fldCharType="separate"/>
      </w:r>
      <w:r>
        <w:rPr/>
        <w:t>8</w:t>
      </w:r>
      <w:r>
        <w:rPr/>
        <w:fldChar w:fldCharType="end"/>
      </w:r>
      <w:bookmarkEnd w:id="15"/>
      <w:bookmarkEnd w:id="16"/>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4"/>
        <w:gridCol w:w="1077"/>
        <w:gridCol w:w="1278"/>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8"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0"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4" w:type="dxa"/>
            <w:tcBorders/>
            <w:shd w:color="auto" w:fill="auto" w:val="clear"/>
          </w:tcPr>
          <w:p>
            <w:pPr>
              <w:pStyle w:val="TableContents"/>
              <w:jc w:val="center"/>
              <w:rPr/>
            </w:pPr>
            <w:r>
              <w:rPr/>
              <w:t>0.41</w:t>
            </w:r>
          </w:p>
        </w:tc>
        <w:tc>
          <w:tcPr>
            <w:tcW w:w="1077" w:type="dxa"/>
            <w:tcBorders/>
            <w:shd w:color="auto" w:fill="auto" w:val="clear"/>
          </w:tcPr>
          <w:p>
            <w:pPr>
              <w:pStyle w:val="TableContents"/>
              <w:jc w:val="center"/>
              <w:rPr/>
            </w:pPr>
            <w:r>
              <w:rPr/>
              <w:t>142.1</w:t>
            </w:r>
          </w:p>
        </w:tc>
        <w:tc>
          <w:tcPr>
            <w:tcW w:w="1278" w:type="dxa"/>
            <w:tcBorders/>
            <w:shd w:color="auto" w:fill="auto" w:val="clear"/>
          </w:tcPr>
          <w:p>
            <w:pPr>
              <w:pStyle w:val="TableContents"/>
              <w:jc w:val="center"/>
              <w:rPr/>
            </w:pPr>
            <w:r>
              <w:rPr/>
              <w:t>92.43</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0"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4" w:type="dxa"/>
            <w:tcBorders/>
            <w:shd w:color="auto" w:fill="auto" w:val="clear"/>
          </w:tcPr>
          <w:p>
            <w:pPr>
              <w:pStyle w:val="TableContents"/>
              <w:jc w:val="center"/>
              <w:rPr/>
            </w:pPr>
            <w:r>
              <w:rPr/>
              <w:t>0.08</w:t>
            </w:r>
          </w:p>
        </w:tc>
        <w:tc>
          <w:tcPr>
            <w:tcW w:w="1077" w:type="dxa"/>
            <w:tcBorders/>
            <w:shd w:color="auto" w:fill="auto" w:val="clear"/>
          </w:tcPr>
          <w:p>
            <w:pPr>
              <w:pStyle w:val="TableContents"/>
              <w:jc w:val="center"/>
              <w:rPr/>
            </w:pPr>
            <w:r>
              <w:rPr/>
              <w:t>1005</w:t>
            </w:r>
          </w:p>
        </w:tc>
        <w:tc>
          <w:tcPr>
            <w:tcW w:w="1278" w:type="dxa"/>
            <w:tcBorders/>
            <w:shd w:color="auto" w:fill="auto" w:val="clear"/>
          </w:tcPr>
          <w:p>
            <w:pPr>
              <w:pStyle w:val="TableContents"/>
              <w:jc w:val="center"/>
              <w:rPr/>
            </w:pPr>
            <w:r>
              <w:rPr/>
              <w:t>98.57</w:t>
            </w:r>
          </w:p>
        </w:tc>
      </w:tr>
      <w:tr>
        <w:trPr/>
        <w:tc>
          <w:tcPr>
            <w:tcW w:w="1705"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0"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4" w:type="dxa"/>
            <w:tcBorders/>
            <w:shd w:color="auto" w:fill="auto" w:val="clear"/>
          </w:tcPr>
          <w:p>
            <w:pPr>
              <w:pStyle w:val="TableContents"/>
              <w:jc w:val="center"/>
              <w:rPr/>
            </w:pPr>
            <w:r>
              <w:rPr/>
              <w:t>0.29</w:t>
            </w:r>
          </w:p>
        </w:tc>
        <w:tc>
          <w:tcPr>
            <w:tcW w:w="1077" w:type="dxa"/>
            <w:tcBorders/>
            <w:shd w:color="auto" w:fill="auto" w:val="clear"/>
          </w:tcPr>
          <w:p>
            <w:pPr>
              <w:pStyle w:val="TableContents"/>
              <w:jc w:val="center"/>
              <w:rPr/>
            </w:pPr>
            <w:r>
              <w:rPr/>
              <w:t>2613</w:t>
            </w:r>
          </w:p>
        </w:tc>
        <w:tc>
          <w:tcPr>
            <w:tcW w:w="1278" w:type="dxa"/>
            <w:tcBorders/>
            <w:shd w:color="auto" w:fill="auto" w:val="clear"/>
          </w:tcPr>
          <w:p>
            <w:pPr>
              <w:pStyle w:val="TableContents"/>
              <w:jc w:val="center"/>
              <w:rPr/>
            </w:pPr>
            <w:r>
              <w:rPr/>
              <w:t>98.18</w:t>
            </w:r>
          </w:p>
        </w:tc>
      </w:tr>
      <w:tr>
        <w:trPr/>
        <w:tc>
          <w:tcPr>
            <w:tcW w:w="1705"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0"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4" w:type="dxa"/>
            <w:tcBorders>
              <w:bottom w:val="single" w:sz="12" w:space="0" w:color="000000"/>
            </w:tcBorders>
            <w:shd w:color="auto" w:fill="auto" w:val="clear"/>
          </w:tcPr>
          <w:p>
            <w:pPr>
              <w:pStyle w:val="TableContents"/>
              <w:jc w:val="center"/>
              <w:rPr/>
            </w:pPr>
            <w:r>
              <w:rPr/>
              <w:t>0.78</w:t>
            </w:r>
          </w:p>
        </w:tc>
        <w:tc>
          <w:tcPr>
            <w:tcW w:w="1077" w:type="dxa"/>
            <w:tcBorders>
              <w:bottom w:val="single" w:sz="12" w:space="0" w:color="000000"/>
            </w:tcBorders>
            <w:shd w:color="auto" w:fill="auto" w:val="clear"/>
          </w:tcPr>
          <w:p>
            <w:pPr>
              <w:pStyle w:val="TableContents"/>
              <w:jc w:val="center"/>
              <w:rPr/>
            </w:pPr>
            <w:r>
              <w:rPr/>
              <w:t>4932</w:t>
            </w:r>
          </w:p>
        </w:tc>
        <w:tc>
          <w:tcPr>
            <w:tcW w:w="1278"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17" w:name="Ref_Figure5_label_and_number"/>
      <w:r>
        <w:rPr/>
        <w:t xml:space="preserve">Figure </w:t>
      </w:r>
      <w:r>
        <w:rPr/>
        <w:fldChar w:fldCharType="begin"/>
      </w:r>
      <w:r>
        <w:rPr/>
        <w:instrText> SEQ Figure \* ARABIC </w:instrText>
      </w:r>
      <w:r>
        <w:rPr/>
        <w:fldChar w:fldCharType="separate"/>
      </w:r>
      <w:r>
        <w:rPr/>
        <w:t>6</w:t>
      </w:r>
      <w:r>
        <w:rPr/>
        <w:fldChar w:fldCharType="end"/>
      </w:r>
      <w:bookmarkEnd w:id="17"/>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5"/>
        </w:numPr>
        <w:rPr/>
      </w:pPr>
      <w:r>
        <w:rPr/>
        <w:t>TRIAC AC Chopper + Diode Bridge Rectifier</w:t>
      </w:r>
    </w:p>
    <w:p>
      <w:pPr>
        <w:pStyle w:val="TextBody"/>
        <w:rPr/>
      </w:pPr>
      <w:bookmarkStart w:id="18" w:name="_GoBack"/>
      <w:bookmarkEnd w:id="18"/>
      <w:r>
        <w:rPr/>
        <w:t xml:space="preserve">The last topology that was considered is a simple </w:t>
      </w:r>
      <w:r>
        <w:rPr>
          <w:sz w:val="24"/>
        </w:rPr>
        <w:t>triac</w:t>
      </w:r>
      <w:r>
        <w:rPr/>
        <w:t xml:space="preserve"> AC chopper circuit connected to the DC motor through a diode bridge. This topology was not presented in class, but when asked about how to generate the gate signals for a thyristor rectifier, he suggested that we could use </w:t>
      </w:r>
      <w:r>
        <w:rPr>
          <w:sz w:val="24"/>
        </w:rPr>
        <w:t>triac</w:t>
      </w:r>
      <w:r>
        <w:rPr/>
        <w:t xml:space="preserve"> and </w:t>
      </w:r>
      <w:r>
        <w:rPr>
          <w:sz w:val="24"/>
        </w:rPr>
        <w:t>diac</w:t>
      </w:r>
      <w:r>
        <w:rPr/>
        <w:t xml:space="preserve">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jc w:val="center"/>
        <w:rPr/>
      </w:pPr>
      <w:bookmarkStart w:id="19" w:name="__DdeLink__1469_4136061711"/>
      <w:r>
        <w:rPr>
          <w:vanish/>
        </w:rPr>
        <w:br/>
      </w:r>
      <w:bookmarkStart w:id="20" w:name="Ref_Figure6_label_and_number"/>
      <w:r>
        <w:rPr/>
        <w:t xml:space="preserve">Figure </w:t>
      </w:r>
      <w:r>
        <w:rPr/>
        <w:fldChar w:fldCharType="begin"/>
      </w:r>
      <w:r>
        <w:rPr/>
        <w:instrText> SEQ Figure \* ARABIC </w:instrText>
      </w:r>
      <w:r>
        <w:rPr/>
        <w:fldChar w:fldCharType="separate"/>
      </w:r>
      <w:r>
        <w:rPr/>
        <w:t>7</w:t>
      </w:r>
      <w:r>
        <w:rPr/>
        <w:fldChar w:fldCharType="end"/>
      </w:r>
      <w:bookmarkEnd w:id="20"/>
      <w:r>
        <w:rPr/>
        <w:t xml:space="preserve">: </w:t>
      </w:r>
      <w:r>
        <w:rPr>
          <w:i/>
          <w:iCs/>
          <w:sz w:val="24"/>
        </w:rPr>
        <w:t>TRIAC DC Motor Control Circuit</w:t>
      </w:r>
      <w:bookmarkEnd w:id="19"/>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 xml:space="preserve">A Simulink diac model was created by making the same counter-parallel connection as was done for the triac and then creating logic in the firing circuit such that the diac fires when the voltage across the device exceeds its characteristic turn-on voltage. </w:t>
      </w:r>
      <w:r>
        <w:rPr/>
        <w:t>For the purposes of preliminary simulations, a diac breakover voltage V</w:t>
      </w:r>
      <w:r>
        <w:rPr>
          <w:vertAlign w:val="subscript"/>
        </w:rPr>
        <w:t>bo</w:t>
      </w:r>
      <w:r>
        <w:rPr/>
        <w:t xml:space="preserve"> of 36 V was used since this appears to be a commercially available rating.</w:t>
      </w:r>
    </w:p>
    <w:p>
      <w:pPr>
        <w:pStyle w:val="TextBody"/>
        <w:rPr/>
      </w:pPr>
      <w:r>
        <w:rPr/>
        <w:fldChar w:fldCharType="begin"/>
      </w:r>
      <w:r>
        <w:rPr/>
        <w:instrText> REF Ref_Figure7_label_and_number \h </w:instrText>
      </w:r>
      <w:r>
        <w:rPr/>
        <w:fldChar w:fldCharType="separate"/>
      </w:r>
      <w:r>
        <w:rPr/>
        <w:t>Figure 8</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4330065"/>
                    </a:xfrm>
                    <a:prstGeom prst="rect">
                      <a:avLst/>
                    </a:prstGeom>
                  </pic:spPr>
                </pic:pic>
              </a:graphicData>
            </a:graphic>
          </wp:inline>
        </w:drawing>
      </w:r>
    </w:p>
    <w:p>
      <w:pPr>
        <w:pStyle w:val="Figure"/>
        <w:jc w:val="center"/>
        <w:rPr/>
      </w:pPr>
      <w:r>
        <w:rPr>
          <w:vanish/>
        </w:rPr>
        <w:br/>
      </w:r>
      <w:bookmarkStart w:id="21" w:name="Ref_Figure6_label_and_number1"/>
      <w:bookmarkStart w:id="22" w:name="Ref_Figure7_label_and_number"/>
      <w:r>
        <w:rPr/>
        <w:t xml:space="preserve">Figure </w:t>
      </w:r>
      <w:r>
        <w:rPr/>
        <w:fldChar w:fldCharType="begin"/>
      </w:r>
      <w:r>
        <w:rPr/>
        <w:instrText> SEQ Figure \* ARABIC </w:instrText>
      </w:r>
      <w:r>
        <w:rPr/>
        <w:fldChar w:fldCharType="separate"/>
      </w:r>
      <w:r>
        <w:rPr/>
        <w:t>8</w:t>
      </w:r>
      <w:r>
        <w:rPr/>
        <w:fldChar w:fldCharType="end"/>
      </w:r>
      <w:bookmarkEnd w:id="21"/>
      <w:bookmarkEnd w:id="22"/>
      <w:r>
        <w:rPr/>
        <w:t xml:space="preserve">: </w:t>
      </w:r>
      <w:r>
        <w:rPr>
          <w:rFonts w:eastAsia="Noto Sans CJK SC Regular" w:cs="Lohit Devanagari"/>
          <w:i/>
          <w:iCs/>
          <w:color w:val="auto"/>
          <w:kern w:val="2"/>
          <w:sz w:val="24"/>
          <w:szCs w:val="24"/>
          <w:lang w:val="en-US" w:eastAsia="zh-CN" w:bidi="hi-IN"/>
        </w:rPr>
        <w:t>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9</w:t>
      </w:r>
      <w:r>
        <w:rPr/>
        <w:fldChar w:fldCharType="end"/>
      </w:r>
      <w:r>
        <w:rPr/>
        <w:t>.</w:t>
      </w:r>
    </w:p>
    <w:p>
      <w:pPr>
        <w:pStyle w:val="Normal"/>
        <w:keepNext w:val="true"/>
        <w:jc w:val="center"/>
        <w:rPr/>
      </w:pPr>
      <w:r>
        <w:rPr/>
        <w:drawing>
          <wp:inline distT="0" distB="0" distL="0" distR="0">
            <wp:extent cx="3657600" cy="26149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657600" cy="2614930"/>
                    </a:xfrm>
                    <a:prstGeom prst="rect">
                      <a:avLst/>
                    </a:prstGeom>
                  </pic:spPr>
                </pic:pic>
              </a:graphicData>
            </a:graphic>
          </wp:inline>
        </w:drawing>
      </w:r>
    </w:p>
    <w:p>
      <w:pPr>
        <w:pStyle w:val="Figure"/>
        <w:jc w:val="center"/>
        <w:rPr/>
      </w:pPr>
      <w:bookmarkStart w:id="23" w:name="__DdeLink__1493_278814706"/>
      <w:bookmarkStart w:id="24" w:name="Ref_Figure6_label_and_number11"/>
      <w:bookmarkStart w:id="25" w:name="Ref_Figure8_label_and_number"/>
      <w:r>
        <w:rPr/>
        <w:t xml:space="preserve">Figure </w:t>
      </w:r>
      <w:r>
        <w:rPr/>
        <w:fldChar w:fldCharType="begin"/>
      </w:r>
      <w:r>
        <w:rPr/>
        <w:instrText> SEQ Figure \* ARABIC </w:instrText>
      </w:r>
      <w:r>
        <w:rPr/>
        <w:fldChar w:fldCharType="separate"/>
      </w:r>
      <w:r>
        <w:rPr/>
        <w:t>9</w:t>
      </w:r>
      <w:r>
        <w:rPr/>
        <w:fldChar w:fldCharType="end"/>
      </w:r>
      <w:bookmarkEnd w:id="24"/>
      <w:bookmarkEnd w:id="25"/>
      <w:r>
        <w:rPr/>
        <w:t>: T</w:t>
      </w:r>
      <w:r>
        <w:rPr>
          <w:rFonts w:eastAsia="Noto Sans CJK SC Regular" w:cs="Lohit Devanagari"/>
          <w:i/>
          <w:iCs/>
          <w:color w:val="auto"/>
          <w:kern w:val="2"/>
          <w:sz w:val="24"/>
          <w:szCs w:val="24"/>
          <w:lang w:val="en-US" w:eastAsia="zh-CN" w:bidi="hi-IN"/>
        </w:rPr>
        <w:t>riac-Diac Simulink Results with Small Resistive Load</w:t>
      </w:r>
      <w:bookmarkEnd w:id="23"/>
    </w:p>
    <w:p>
      <w:pPr>
        <w:pStyle w:val="TextBody"/>
        <w:rPr/>
      </w:pPr>
      <w:r>
        <w:rPr/>
        <w:t xml:space="preserve">As can be seen from </w:t>
      </w:r>
      <w:r>
        <w:rPr/>
        <w:fldChar w:fldCharType="begin"/>
      </w:r>
      <w:r>
        <w:rPr/>
        <w:instrText> REF Ref_Figure8_label_and_number \h </w:instrText>
      </w:r>
      <w:r>
        <w:rPr/>
        <w:fldChar w:fldCharType="separate"/>
      </w:r>
      <w:r>
        <w:rPr/>
        <w:t>Figure 9</w:t>
      </w:r>
      <w:r>
        <w:rPr/>
        <w:fldChar w:fldCharType="end"/>
      </w:r>
      <w:r>
        <w:rPr/>
        <w:t xml:space="preserve">, the diac firing circuit is limited in its ability to fire at angles near 0° and near 90°. </w:t>
      </w:r>
      <w:r>
        <w:rPr>
          <w:rFonts w:eastAsia="Noto Sans CJK SC Regular" w:cs="Lohit Devanagari"/>
          <w:color w:val="auto"/>
          <w:kern w:val="2"/>
          <w:sz w:val="24"/>
          <w:szCs w:val="24"/>
          <w:lang w:val="en-US" w:eastAsia="zh-CN" w:bidi="hi-IN"/>
        </w:rPr>
        <w:t>We think that this is probably</w:t>
      </w:r>
      <w:r>
        <w:rPr/>
        <w:t xml:space="preserve"> owing to the inclusion of  series resistor R1 that prevents the capacitors from being short-circuited if the potentiometer is adjusted to its minimum position.</w:t>
      </w:r>
    </w:p>
    <w:p>
      <w:pPr>
        <w:pStyle w:val="Heading3"/>
        <w:numPr>
          <w:ilvl w:val="2"/>
          <w:numId w:val="2"/>
        </w:numPr>
        <w:rPr/>
      </w:pPr>
      <w:r>
        <w:rPr/>
        <w:t>DC Motor Load</w:t>
      </w:r>
    </w:p>
    <w:p>
      <w:pPr>
        <w:pStyle w:val="TextBody"/>
        <w:rPr/>
      </w:pPr>
      <w:r>
        <w:rPr/>
        <w:t xml:space="preserve">Once the circuit was simulated using the small resistive load and was giving reasonable results, we passed to simulations using the equivalent circuit for the DC motor as we did for the other topologies. For each load condition, the </w:t>
      </w:r>
      <w:r>
        <w:rPr>
          <w:rFonts w:eastAsia="Noto Sans CJK SC Regular" w:cs="Lohit Devanagari"/>
          <w:color w:val="auto"/>
          <w:kern w:val="2"/>
          <w:sz w:val="24"/>
          <w:szCs w:val="24"/>
          <w:lang w:val="en-US" w:eastAsia="zh-CN" w:bidi="hi-IN"/>
        </w:rPr>
        <w:t xml:space="preserve">R2 resistance </w:t>
      </w:r>
      <w:r>
        <w:rPr/>
        <w:t>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10</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pPr>
        <w:pStyle w:val="Figure"/>
        <w:jc w:val="center"/>
        <w:rPr/>
      </w:pPr>
      <w:bookmarkStart w:id="26" w:name="Ref_Figure6_label_and_number111"/>
      <w:bookmarkStart w:id="27" w:name="Ref_Figure9_label_and_number"/>
      <w:r>
        <w:rPr/>
        <w:t xml:space="preserve">Figure </w:t>
      </w:r>
      <w:r>
        <w:rPr/>
        <w:fldChar w:fldCharType="begin"/>
      </w:r>
      <w:r>
        <w:rPr/>
        <w:instrText> SEQ Figure \* ARABIC </w:instrText>
      </w:r>
      <w:r>
        <w:rPr/>
        <w:fldChar w:fldCharType="separate"/>
      </w:r>
      <w:r>
        <w:rPr/>
        <w:t>10</w:t>
      </w:r>
      <w:r>
        <w:rPr/>
        <w:fldChar w:fldCharType="end"/>
      </w:r>
      <w:bookmarkEnd w:id="26"/>
      <w:bookmarkEnd w:id="27"/>
      <w:r>
        <w:rPr/>
        <w:t>: T</w:t>
      </w:r>
      <w:r>
        <w:rPr>
          <w:rFonts w:eastAsia="Noto Sans CJK SC Regular" w:cs="Lohit Devanagari"/>
          <w:i/>
          <w:iCs/>
          <w:color w:val="auto"/>
          <w:kern w:val="2"/>
          <w:sz w:val="24"/>
          <w:szCs w:val="24"/>
          <w:lang w:val="en-US" w:eastAsia="zh-CN" w:bidi="hi-IN"/>
        </w:rPr>
        <w: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10</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pPr>
      <w:r>
        <w:rPr/>
        <w:t xml:space="preserve">Tables </w:t>
      </w:r>
      <w:r>
        <w:rPr/>
        <w:fldChar w:fldCharType="begin"/>
      </w:r>
      <w:r>
        <w:rPr/>
        <w:instrText> REF Ref_Table8_number_only \h </w:instrText>
      </w:r>
      <w:r>
        <w:rPr/>
        <w:fldChar w:fldCharType="separate"/>
      </w:r>
      <w:r>
        <w:rPr/>
        <w:t>9</w:t>
      </w:r>
      <w:r>
        <w:rPr/>
        <w:fldChar w:fldCharType="end"/>
      </w:r>
      <w:r>
        <w:rPr/>
        <w:t xml:space="preserve"> and </w:t>
      </w:r>
      <w:r>
        <w:rPr/>
        <w:fldChar w:fldCharType="begin"/>
      </w:r>
      <w:r>
        <w:rPr/>
        <w:instrText> REF Ref_Table10_number_only \h </w:instrText>
      </w:r>
      <w:r>
        <w:rPr/>
        <w:fldChar w:fldCharType="separate"/>
      </w:r>
      <w:r>
        <w:rPr/>
        <w:t>10</w:t>
      </w:r>
      <w:r>
        <w:rPr/>
        <w:fldChar w:fldCharType="end"/>
      </w:r>
      <w:r>
        <w:rPr/>
        <w:t xml:space="preserve"> show summary values of the input and output side voltages and currents from the simulations.</w:t>
      </w:r>
    </w:p>
    <w:p>
      <w:pPr>
        <w:pStyle w:val="Table"/>
        <w:keepNext w:val="true"/>
        <w:rPr/>
      </w:pPr>
      <w:bookmarkStart w:id="28" w:name="_Ref263082311"/>
      <w:r>
        <w:rPr/>
        <w:t xml:space="preserve">Table </w:t>
      </w:r>
      <w:bookmarkStart w:id="29" w:name="Ref_Table5_number_only1"/>
      <w:bookmarkStart w:id="30" w:name="Ref_Table8_number_only"/>
      <w:r>
        <w:rPr/>
        <w:fldChar w:fldCharType="begin"/>
      </w:r>
      <w:r>
        <w:rPr/>
        <w:instrText> SEQ Table \* ARABIC </w:instrText>
      </w:r>
      <w:r>
        <w:rPr/>
        <w:fldChar w:fldCharType="separate"/>
      </w:r>
      <w:r>
        <w:rPr/>
        <w:t>9</w:t>
      </w:r>
      <w:r>
        <w:rPr/>
        <w:fldChar w:fldCharType="end"/>
      </w:r>
      <w:bookmarkEnd w:id="30"/>
      <w:bookmarkEnd w:id="28"/>
      <w:bookmarkEnd w:id="29"/>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7"/>
        <w:gridCol w:w="984"/>
        <w:gridCol w:w="996"/>
        <w:gridCol w:w="984"/>
        <w:gridCol w:w="875"/>
        <w:gridCol w:w="998"/>
        <w:gridCol w:w="1005"/>
        <w:gridCol w:w="1183"/>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7" w:type="dxa"/>
            <w:tcBorders>
              <w:top w:val="single" w:sz="12" w:space="0" w:color="000000"/>
              <w:bottom w:val="single" w:sz="2" w:space="0" w:color="000000"/>
            </w:tcBorders>
            <w:shd w:color="auto" w:fill="auto" w:val="clear"/>
            <w:vAlign w:val="center"/>
          </w:tcPr>
          <w:p>
            <w:pPr>
              <w:pStyle w:val="TableHeading"/>
              <w:rPr>
                <w:rFonts w:ascii="Arial" w:hAnsi="Arial" w:eastAsia="Noto Sans CJK SC Regular" w:cs="Lohit Devanagari"/>
                <w:b/>
                <w:b/>
                <w:bCs/>
                <w:color w:val="auto"/>
                <w:kern w:val="2"/>
                <w:sz w:val="24"/>
                <w:szCs w:val="24"/>
                <w:lang w:val="en-US" w:eastAsia="zh-CN" w:bidi="hi-IN"/>
              </w:rPr>
            </w:pPr>
            <w:r>
              <w:rPr>
                <w:rFonts w:eastAsia="Noto Sans CJK SC Regular" w:cs="Lohit Devanagari"/>
                <w:b/>
                <w:bCs/>
                <w:color w:val="auto"/>
                <w:kern w:val="2"/>
                <w:sz w:val="24"/>
                <w:szCs w:val="24"/>
                <w:lang w:val="en-US" w:eastAsia="zh-CN" w:bidi="hi-IN"/>
              </w:rPr>
              <w:t>R2</w:t>
            </w:r>
          </w:p>
          <w:p>
            <w:pPr>
              <w:pStyle w:val="TableHeading"/>
              <w:rPr>
                <w:rFonts w:ascii="Arial" w:hAnsi="Arial" w:eastAsia="Noto Sans CJK SC Regular" w:cs="Lohit Devanagari"/>
                <w:b/>
                <w:b/>
                <w:bCs/>
                <w:color w:val="auto"/>
                <w:kern w:val="2"/>
                <w:sz w:val="24"/>
                <w:szCs w:val="24"/>
                <w:lang w:val="en-US" w:eastAsia="zh-CN" w:bidi="hi-IN"/>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5"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3"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7"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6" w:type="dxa"/>
            <w:tcBorders/>
            <w:shd w:color="auto" w:fill="auto" w:val="clear"/>
          </w:tcPr>
          <w:p>
            <w:pPr>
              <w:pStyle w:val="TableContents"/>
              <w:jc w:val="center"/>
              <w:rPr/>
            </w:pPr>
            <w:r>
              <w:rPr/>
              <w:t>7.07</w:t>
            </w:r>
          </w:p>
        </w:tc>
        <w:tc>
          <w:tcPr>
            <w:tcW w:w="984" w:type="dxa"/>
            <w:tcBorders/>
            <w:shd w:color="auto" w:fill="auto" w:val="clear"/>
          </w:tcPr>
          <w:p>
            <w:pPr>
              <w:pStyle w:val="TableContents"/>
              <w:jc w:val="center"/>
              <w:rPr/>
            </w:pPr>
            <w:r>
              <w:rPr/>
              <w:t>199.3</w:t>
            </w:r>
          </w:p>
        </w:tc>
        <w:tc>
          <w:tcPr>
            <w:tcW w:w="875" w:type="dxa"/>
            <w:tcBorders/>
            <w:shd w:color="auto" w:fill="auto" w:val="clear"/>
          </w:tcPr>
          <w:p>
            <w:pPr>
              <w:pStyle w:val="TableContents"/>
              <w:jc w:val="center"/>
              <w:rPr/>
            </w:pPr>
            <w:r>
              <w:rPr/>
              <w:t>1541</w:t>
            </w:r>
          </w:p>
        </w:tc>
        <w:tc>
          <w:tcPr>
            <w:tcW w:w="998" w:type="dxa"/>
            <w:tcBorders/>
            <w:shd w:color="auto" w:fill="auto" w:val="clear"/>
          </w:tcPr>
          <w:p>
            <w:pPr>
              <w:pStyle w:val="TableContents"/>
              <w:jc w:val="center"/>
              <w:rPr/>
            </w:pPr>
            <w:r>
              <w:rPr/>
              <w:t>1554</w:t>
            </w:r>
          </w:p>
        </w:tc>
        <w:tc>
          <w:tcPr>
            <w:tcW w:w="1005" w:type="dxa"/>
            <w:tcBorders/>
            <w:shd w:color="auto" w:fill="auto" w:val="clear"/>
          </w:tcPr>
          <w:p>
            <w:pPr>
              <w:pStyle w:val="TableContents"/>
              <w:jc w:val="center"/>
              <w:rPr/>
            </w:pPr>
            <w:r>
              <w:rPr/>
              <w:t>0.13</w:t>
            </w:r>
          </w:p>
        </w:tc>
        <w:tc>
          <w:tcPr>
            <w:tcW w:w="1183"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7"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6" w:type="dxa"/>
            <w:tcBorders/>
            <w:shd w:color="auto" w:fill="auto" w:val="clear"/>
          </w:tcPr>
          <w:p>
            <w:pPr>
              <w:pStyle w:val="TableContents"/>
              <w:jc w:val="center"/>
              <w:rPr/>
            </w:pPr>
            <w:r>
              <w:rPr/>
              <w:t>7.68</w:t>
            </w:r>
          </w:p>
        </w:tc>
        <w:tc>
          <w:tcPr>
            <w:tcW w:w="984" w:type="dxa"/>
            <w:tcBorders/>
            <w:shd w:color="auto" w:fill="auto" w:val="clear"/>
          </w:tcPr>
          <w:p>
            <w:pPr>
              <w:pStyle w:val="TableContents"/>
              <w:jc w:val="center"/>
              <w:rPr/>
            </w:pPr>
            <w:r>
              <w:rPr/>
              <w:t>878.1</w:t>
            </w:r>
          </w:p>
        </w:tc>
        <w:tc>
          <w:tcPr>
            <w:tcW w:w="875" w:type="dxa"/>
            <w:tcBorders/>
            <w:shd w:color="auto" w:fill="auto" w:val="clear"/>
          </w:tcPr>
          <w:p>
            <w:pPr>
              <w:pStyle w:val="TableContents"/>
              <w:jc w:val="center"/>
              <w:rPr/>
            </w:pPr>
            <w:r>
              <w:rPr/>
              <w:t>1439</w:t>
            </w:r>
          </w:p>
        </w:tc>
        <w:tc>
          <w:tcPr>
            <w:tcW w:w="998" w:type="dxa"/>
            <w:tcBorders/>
            <w:shd w:color="auto" w:fill="auto" w:val="clear"/>
          </w:tcPr>
          <w:p>
            <w:pPr>
              <w:pStyle w:val="TableContents"/>
              <w:jc w:val="center"/>
              <w:rPr/>
            </w:pPr>
            <w:r>
              <w:rPr/>
              <w:t>1686</w:t>
            </w:r>
          </w:p>
        </w:tc>
        <w:tc>
          <w:tcPr>
            <w:tcW w:w="1005" w:type="dxa"/>
            <w:tcBorders/>
            <w:shd w:color="auto" w:fill="auto" w:val="clear"/>
          </w:tcPr>
          <w:p>
            <w:pPr>
              <w:pStyle w:val="TableContents"/>
              <w:jc w:val="center"/>
              <w:rPr/>
            </w:pPr>
            <w:r>
              <w:rPr/>
              <w:t>0.52</w:t>
            </w:r>
          </w:p>
        </w:tc>
        <w:tc>
          <w:tcPr>
            <w:tcW w:w="1183"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7"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6" w:type="dxa"/>
            <w:tcBorders>
              <w:bottom w:val="single" w:sz="12" w:space="0" w:color="000000"/>
            </w:tcBorders>
            <w:shd w:color="auto" w:fill="auto" w:val="clear"/>
          </w:tcPr>
          <w:p>
            <w:pPr>
              <w:pStyle w:val="TableContents"/>
              <w:jc w:val="center"/>
              <w:rPr/>
            </w:pPr>
            <w:r>
              <w:rPr/>
              <w:t>17.64</w:t>
            </w:r>
          </w:p>
        </w:tc>
        <w:tc>
          <w:tcPr>
            <w:tcW w:w="984" w:type="dxa"/>
            <w:tcBorders>
              <w:bottom w:val="single" w:sz="12" w:space="0" w:color="000000"/>
            </w:tcBorders>
            <w:shd w:color="auto" w:fill="auto" w:val="clear"/>
          </w:tcPr>
          <w:p>
            <w:pPr>
              <w:pStyle w:val="TableContents"/>
              <w:jc w:val="center"/>
              <w:rPr/>
            </w:pPr>
            <w:r>
              <w:rPr/>
              <w:t>2505</w:t>
            </w:r>
          </w:p>
        </w:tc>
        <w:tc>
          <w:tcPr>
            <w:tcW w:w="875" w:type="dxa"/>
            <w:tcBorders>
              <w:bottom w:val="single" w:sz="12" w:space="0" w:color="000000"/>
            </w:tcBorders>
            <w:shd w:color="auto" w:fill="auto" w:val="clear"/>
          </w:tcPr>
          <w:p>
            <w:pPr>
              <w:pStyle w:val="TableContents"/>
              <w:jc w:val="center"/>
              <w:rPr/>
            </w:pPr>
            <w:r>
              <w:rPr/>
              <w:t>2936</w:t>
            </w:r>
          </w:p>
        </w:tc>
        <w:tc>
          <w:tcPr>
            <w:tcW w:w="998" w:type="dxa"/>
            <w:tcBorders>
              <w:bottom w:val="single" w:sz="12" w:space="0" w:color="000000"/>
            </w:tcBorders>
            <w:shd w:color="auto" w:fill="auto" w:val="clear"/>
          </w:tcPr>
          <w:p>
            <w:pPr>
              <w:pStyle w:val="TableContents"/>
              <w:jc w:val="center"/>
              <w:rPr/>
            </w:pPr>
            <w:r>
              <w:rPr/>
              <w:t>3859</w:t>
            </w:r>
          </w:p>
        </w:tc>
        <w:tc>
          <w:tcPr>
            <w:tcW w:w="1005" w:type="dxa"/>
            <w:tcBorders>
              <w:bottom w:val="single" w:sz="12" w:space="0" w:color="000000"/>
            </w:tcBorders>
            <w:shd w:color="auto" w:fill="auto" w:val="clear"/>
          </w:tcPr>
          <w:p>
            <w:pPr>
              <w:pStyle w:val="TableContents"/>
              <w:jc w:val="center"/>
              <w:rPr/>
            </w:pPr>
            <w:r>
              <w:rPr/>
              <w:t>0.65</w:t>
            </w:r>
          </w:p>
        </w:tc>
        <w:tc>
          <w:tcPr>
            <w:tcW w:w="1183"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31" w:name="_Ref263095321"/>
      <w:r>
        <w:rPr/>
        <w:t xml:space="preserve">Table </w:t>
      </w:r>
      <w:bookmarkStart w:id="32" w:name="Ref_Table7_number_only1"/>
      <w:bookmarkStart w:id="33" w:name="Ref_Table10_number_only"/>
      <w:r>
        <w:rPr/>
        <w:fldChar w:fldCharType="begin"/>
      </w:r>
      <w:r>
        <w:rPr/>
        <w:instrText> SEQ Table \* ARABIC </w:instrText>
      </w:r>
      <w:r>
        <w:rPr/>
        <w:fldChar w:fldCharType="separate"/>
      </w:r>
      <w:r>
        <w:rPr/>
        <w:t>10</w:t>
      </w:r>
      <w:r>
        <w:rPr/>
        <w:fldChar w:fldCharType="end"/>
      </w:r>
      <w:bookmarkEnd w:id="33"/>
      <w:bookmarkEnd w:id="31"/>
      <w:bookmarkEnd w:id="32"/>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4"/>
        <w:gridCol w:w="1077"/>
        <w:gridCol w:w="1278"/>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8"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11.47</w:t>
            </w:r>
          </w:p>
        </w:tc>
        <w:tc>
          <w:tcPr>
            <w:tcW w:w="1000" w:type="dxa"/>
            <w:tcBorders/>
            <w:shd w:color="auto" w:fill="auto" w:val="clear"/>
          </w:tcPr>
          <w:p>
            <w:pPr>
              <w:pStyle w:val="TableContents"/>
              <w:jc w:val="center"/>
              <w:rPr/>
            </w:pPr>
            <w:r>
              <w:rPr/>
              <w:t>153.4</w:t>
            </w:r>
          </w:p>
        </w:tc>
        <w:tc>
          <w:tcPr>
            <w:tcW w:w="1004"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78" w:type="dxa"/>
            <w:tcBorders/>
            <w:shd w:color="auto" w:fill="auto" w:val="clear"/>
          </w:tcPr>
          <w:p>
            <w:pPr>
              <w:pStyle w:val="TableContents"/>
              <w:jc w:val="center"/>
              <w:rPr/>
            </w:pPr>
            <w:r>
              <w:rPr/>
              <w:t>85.76</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174.8</w:t>
            </w:r>
          </w:p>
        </w:tc>
        <w:tc>
          <w:tcPr>
            <w:tcW w:w="1000" w:type="dxa"/>
            <w:tcBorders/>
            <w:shd w:color="auto" w:fill="auto" w:val="clear"/>
          </w:tcPr>
          <w:p>
            <w:pPr>
              <w:pStyle w:val="TableContents"/>
              <w:jc w:val="center"/>
              <w:rPr/>
            </w:pPr>
            <w:r>
              <w:rPr/>
              <w:t>304.8</w:t>
            </w:r>
          </w:p>
        </w:tc>
        <w:tc>
          <w:tcPr>
            <w:tcW w:w="1004"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78" w:type="dxa"/>
            <w:tcBorders/>
            <w:shd w:color="auto" w:fill="auto" w:val="clear"/>
          </w:tcPr>
          <w:p>
            <w:pPr>
              <w:pStyle w:val="TableContents"/>
              <w:jc w:val="center"/>
              <w:rPr/>
            </w:pPr>
            <w:r>
              <w:rPr/>
              <w:t>98.27</w:t>
            </w:r>
          </w:p>
        </w:tc>
      </w:tr>
      <w:tr>
        <w:trPr/>
        <w:tc>
          <w:tcPr>
            <w:tcW w:w="1705" w:type="dxa"/>
            <w:tcBorders>
              <w:bottom w:val="single" w:sz="12" w:space="0" w:color="000000"/>
            </w:tcBorders>
            <w:shd w:color="auto" w:fill="auto" w:val="clear"/>
          </w:tcPr>
          <w:p>
            <w:pPr>
              <w:pStyle w:val="TableContents"/>
              <w:keepNext w:val="true"/>
              <w:jc w:val="center"/>
              <w:rPr/>
            </w:pPr>
            <w:r>
              <w:rPr/>
              <w:t>Kettle Load</w:t>
            </w:r>
          </w:p>
        </w:tc>
        <w:tc>
          <w:tcPr>
            <w:tcW w:w="1297" w:type="dxa"/>
            <w:tcBorders>
              <w:bottom w:val="single" w:sz="12" w:space="0" w:color="000000"/>
            </w:tcBorders>
            <w:shd w:color="auto" w:fill="auto" w:val="clear"/>
          </w:tcPr>
          <w:p>
            <w:pPr>
              <w:pStyle w:val="TableContents"/>
              <w:jc w:val="center"/>
              <w:rPr/>
            </w:pPr>
            <w:r>
              <w:rPr/>
              <w:t>175</w:t>
            </w:r>
          </w:p>
        </w:tc>
        <w:tc>
          <w:tcPr>
            <w:tcW w:w="1000" w:type="dxa"/>
            <w:tcBorders>
              <w:bottom w:val="single" w:sz="12" w:space="0" w:color="000000"/>
            </w:tcBorders>
            <w:shd w:color="auto" w:fill="auto" w:val="clear"/>
          </w:tcPr>
          <w:p>
            <w:pPr>
              <w:pStyle w:val="TableContents"/>
              <w:jc w:val="center"/>
              <w:rPr/>
            </w:pPr>
            <w:r>
              <w:rPr/>
              <w:t>307.1</w:t>
            </w:r>
          </w:p>
        </w:tc>
        <w:tc>
          <w:tcPr>
            <w:tcW w:w="1004"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78"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11</w:t>
      </w:r>
      <w:r>
        <w:rPr/>
        <w:fldChar w:fldCharType="end"/>
      </w:r>
      <w:r>
        <w:rPr/>
        <w:t xml:space="preserve">, </w:t>
      </w:r>
      <w:r>
        <w:rPr/>
        <w:fldChar w:fldCharType="begin"/>
      </w:r>
      <w:r>
        <w:rPr/>
        <w:instrText> REF Ref_Table11_number_only \h </w:instrText>
      </w:r>
      <w:r>
        <w:rPr/>
        <w:fldChar w:fldCharType="separate"/>
      </w:r>
      <w:r>
        <w:rPr/>
        <w:t>12</w:t>
      </w:r>
      <w:r>
        <w:rPr/>
        <w:fldChar w:fldCharType="end"/>
      </w:r>
      <w:r>
        <w:rPr/>
        <w:t xml:space="preserve">, </w:t>
      </w:r>
      <w:r>
        <w:rPr/>
        <w:fldChar w:fldCharType="begin"/>
      </w:r>
      <w:r>
        <w:rPr/>
        <w:instrText> REF Ref_Table12_number_only \h </w:instrText>
      </w:r>
      <w:r>
        <w:rPr/>
        <w:fldChar w:fldCharType="separate"/>
      </w:r>
      <w:r>
        <w:rPr/>
        <w:t>13</w:t>
      </w:r>
      <w:r>
        <w:rPr/>
        <w:fldChar w:fldCharType="end"/>
      </w:r>
      <w:r>
        <w:rPr/>
        <w:t xml:space="preserve">, and </w:t>
      </w:r>
      <w:r>
        <w:rPr/>
        <w:fldChar w:fldCharType="begin"/>
      </w:r>
      <w:r>
        <w:rPr/>
        <w:instrText> REF Ref_Table13_number_only \h </w:instrText>
      </w:r>
      <w:r>
        <w:rPr/>
        <w:fldChar w:fldCharType="separate"/>
      </w:r>
      <w:r>
        <w:rPr/>
        <w:t>14</w:t>
      </w:r>
      <w:r>
        <w:rPr/>
        <w:fldChar w:fldCharType="end"/>
      </w:r>
      <w:r>
        <w:rPr/>
        <w:t>.</w:t>
      </w:r>
    </w:p>
    <w:p>
      <w:pPr>
        <w:pStyle w:val="Table"/>
        <w:keepNext w:val="true"/>
        <w:rPr/>
      </w:pPr>
      <w:bookmarkStart w:id="34" w:name="_Ref2630953211"/>
      <w:r>
        <w:rPr/>
        <w:t xml:space="preserve">Table </w:t>
      </w:r>
      <w:bookmarkStart w:id="35" w:name="Ref_Table7_number_only11"/>
      <w:bookmarkStart w:id="36" w:name="Ref_Table9_number_only"/>
      <w:r>
        <w:rPr/>
        <w:fldChar w:fldCharType="begin"/>
      </w:r>
      <w:r>
        <w:rPr/>
        <w:instrText> SEQ Table \* ARABIC </w:instrText>
      </w:r>
      <w:r>
        <w:rPr/>
        <w:fldChar w:fldCharType="separate"/>
      </w:r>
      <w:r>
        <w:rPr/>
        <w:t>11</w:t>
      </w:r>
      <w:r>
        <w:rPr/>
        <w:fldChar w:fldCharType="end"/>
      </w:r>
      <w:bookmarkEnd w:id="36"/>
      <w:bookmarkEnd w:id="34"/>
      <w:bookmarkEnd w:id="3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703"/>
        <w:gridCol w:w="1296"/>
        <w:gridCol w:w="999"/>
        <w:gridCol w:w="1003"/>
        <w:gridCol w:w="2180"/>
      </w:tblGrid>
      <w:tr>
        <w:trPr>
          <w:tblHeader w:val="true"/>
        </w:trPr>
        <w:tc>
          <w:tcPr>
            <w:tcW w:w="170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99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03"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2180"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w:t>
            </w:r>
            <w:r>
              <w:rPr>
                <w:vertAlign w:val="subscript"/>
              </w:rPr>
              <w:t>oss</w:t>
            </w:r>
            <w:r>
              <w:rPr/>
              <w:t xml:space="preserve"> (W)</w:t>
            </w:r>
          </w:p>
        </w:tc>
      </w:tr>
      <w:tr>
        <w:trPr/>
        <w:tc>
          <w:tcPr>
            <w:tcW w:w="1703"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7.23</w:t>
            </w:r>
          </w:p>
        </w:tc>
        <w:tc>
          <w:tcPr>
            <w:tcW w:w="999" w:type="dxa"/>
            <w:tcBorders/>
            <w:shd w:color="auto" w:fill="auto" w:val="clear"/>
          </w:tcPr>
          <w:p>
            <w:pPr>
              <w:pStyle w:val="TableContents"/>
              <w:jc w:val="center"/>
              <w:rPr/>
            </w:pPr>
            <w:r>
              <w:rPr/>
              <w:t>8.16</w:t>
            </w:r>
          </w:p>
        </w:tc>
        <w:tc>
          <w:tcPr>
            <w:tcW w:w="1003" w:type="dxa"/>
            <w:tcBorders/>
            <w:shd w:color="auto" w:fill="auto" w:val="clear"/>
          </w:tcPr>
          <w:p>
            <w:pPr>
              <w:pStyle w:val="TableContents"/>
              <w:jc w:val="center"/>
              <w:rPr/>
            </w:pPr>
            <w:r>
              <w:rPr/>
              <w:t>152.6</w:t>
            </w:r>
          </w:p>
        </w:tc>
        <w:tc>
          <w:tcPr>
            <w:tcW w:w="2180" w:type="dxa"/>
            <w:tcBorders/>
            <w:shd w:color="auto" w:fill="auto" w:val="clear"/>
          </w:tcPr>
          <w:p>
            <w:pPr>
              <w:pStyle w:val="TableContents"/>
              <w:jc w:val="center"/>
              <w:rPr/>
            </w:pPr>
            <w:r>
              <w:rPr/>
              <w:t>5.85</w:t>
            </w:r>
          </w:p>
        </w:tc>
      </w:tr>
      <w:tr>
        <w:trPr/>
        <w:tc>
          <w:tcPr>
            <w:tcW w:w="1703"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2.39</w:t>
            </w:r>
          </w:p>
        </w:tc>
        <w:tc>
          <w:tcPr>
            <w:tcW w:w="999" w:type="dxa"/>
            <w:tcBorders/>
            <w:shd w:color="auto" w:fill="auto" w:val="clear"/>
          </w:tcPr>
          <w:p>
            <w:pPr>
              <w:pStyle w:val="TableContents"/>
              <w:jc w:val="center"/>
              <w:rPr/>
            </w:pPr>
            <w:r>
              <w:rPr/>
              <w:t>5.43</w:t>
            </w:r>
          </w:p>
        </w:tc>
        <w:tc>
          <w:tcPr>
            <w:tcW w:w="1003" w:type="dxa"/>
            <w:tcBorders/>
            <w:shd w:color="auto" w:fill="auto" w:val="clear"/>
          </w:tcPr>
          <w:p>
            <w:pPr>
              <w:pStyle w:val="TableContents"/>
              <w:jc w:val="center"/>
              <w:rPr/>
            </w:pPr>
            <w:r>
              <w:rPr/>
              <w:t>304</w:t>
            </w:r>
          </w:p>
        </w:tc>
        <w:tc>
          <w:tcPr>
            <w:tcW w:w="2180" w:type="dxa"/>
            <w:tcBorders/>
            <w:shd w:color="auto" w:fill="auto" w:val="clear"/>
          </w:tcPr>
          <w:p>
            <w:pPr>
              <w:pStyle w:val="TableContents"/>
              <w:jc w:val="center"/>
              <w:rPr/>
            </w:pPr>
            <w:r>
              <w:rPr/>
              <w:t>1.94</w:t>
            </w:r>
          </w:p>
        </w:tc>
      </w:tr>
      <w:tr>
        <w:trPr/>
        <w:tc>
          <w:tcPr>
            <w:tcW w:w="1703"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6.7</w:t>
            </w:r>
          </w:p>
        </w:tc>
        <w:tc>
          <w:tcPr>
            <w:tcW w:w="999" w:type="dxa"/>
            <w:tcBorders>
              <w:bottom w:val="single" w:sz="12" w:space="0" w:color="000000"/>
            </w:tcBorders>
            <w:shd w:color="auto" w:fill="auto" w:val="clear"/>
          </w:tcPr>
          <w:p>
            <w:pPr>
              <w:pStyle w:val="TableContents"/>
              <w:jc w:val="center"/>
              <w:rPr/>
            </w:pPr>
            <w:r>
              <w:rPr/>
              <w:t>12.49</w:t>
            </w:r>
          </w:p>
        </w:tc>
        <w:tc>
          <w:tcPr>
            <w:tcW w:w="1003" w:type="dxa"/>
            <w:tcBorders>
              <w:bottom w:val="single" w:sz="12" w:space="0" w:color="000000"/>
            </w:tcBorders>
            <w:shd w:color="auto" w:fill="auto" w:val="clear"/>
          </w:tcPr>
          <w:p>
            <w:pPr>
              <w:pStyle w:val="TableContents"/>
              <w:jc w:val="center"/>
              <w:rPr/>
            </w:pPr>
            <w:r>
              <w:rPr/>
              <w:t>306.3</w:t>
            </w:r>
          </w:p>
        </w:tc>
        <w:tc>
          <w:tcPr>
            <w:tcW w:w="2180"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37" w:name="_Ref26309532112"/>
      <w:r>
        <w:rPr/>
        <w:t xml:space="preserve">Table </w:t>
      </w:r>
      <w:bookmarkStart w:id="38" w:name="Ref_Table7_number_only112"/>
      <w:bookmarkStart w:id="39" w:name="Ref_Table11_number_only"/>
      <w:r>
        <w:rPr/>
        <w:fldChar w:fldCharType="begin"/>
      </w:r>
      <w:r>
        <w:rPr/>
        <w:instrText> SEQ Table \* ARABIC </w:instrText>
      </w:r>
      <w:r>
        <w:rPr/>
        <w:fldChar w:fldCharType="separate"/>
      </w:r>
      <w:r>
        <w:rPr/>
        <w:t>12</w:t>
      </w:r>
      <w:r>
        <w:rPr/>
        <w:fldChar w:fldCharType="end"/>
      </w:r>
      <w:bookmarkEnd w:id="39"/>
      <w:bookmarkEnd w:id="37"/>
      <w:bookmarkEnd w:id="38"/>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703"/>
        <w:gridCol w:w="1296"/>
        <w:gridCol w:w="999"/>
        <w:gridCol w:w="1003"/>
        <w:gridCol w:w="2180"/>
      </w:tblGrid>
      <w:tr>
        <w:trPr>
          <w:tblHeader w:val="true"/>
        </w:trPr>
        <w:tc>
          <w:tcPr>
            <w:tcW w:w="170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99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03"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2180"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w:t>
            </w:r>
            <w:r>
              <w:rPr>
                <w:vertAlign w:val="subscript"/>
              </w:rPr>
              <w:t>oss</w:t>
            </w:r>
            <w:r>
              <w:rPr/>
              <w:t xml:space="preserve"> (W)</w:t>
            </w:r>
          </w:p>
        </w:tc>
      </w:tr>
      <w:tr>
        <w:trPr/>
        <w:tc>
          <w:tcPr>
            <w:tcW w:w="1703"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3.04</w:t>
            </w:r>
          </w:p>
        </w:tc>
        <w:tc>
          <w:tcPr>
            <w:tcW w:w="999"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311.1</w:t>
            </w:r>
          </w:p>
        </w:tc>
        <w:tc>
          <w:tcPr>
            <w:tcW w:w="2180" w:type="dxa"/>
            <w:tcBorders/>
            <w:shd w:color="auto" w:fill="auto" w:val="clear"/>
          </w:tcPr>
          <w:p>
            <w:pPr>
              <w:pStyle w:val="TableContents"/>
              <w:jc w:val="center"/>
              <w:rPr/>
            </w:pPr>
            <w:r>
              <w:rPr/>
              <w:t>4.61</w:t>
            </w:r>
          </w:p>
        </w:tc>
      </w:tr>
      <w:tr>
        <w:trPr/>
        <w:tc>
          <w:tcPr>
            <w:tcW w:w="1703"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4.77</w:t>
            </w:r>
          </w:p>
        </w:tc>
        <w:tc>
          <w:tcPr>
            <w:tcW w:w="999" w:type="dxa"/>
            <w:tcBorders/>
            <w:shd w:color="auto" w:fill="auto" w:val="clear"/>
          </w:tcPr>
          <w:p>
            <w:pPr>
              <w:pStyle w:val="TableContents"/>
              <w:jc w:val="center"/>
              <w:rPr/>
            </w:pPr>
            <w:r>
              <w:rPr/>
              <w:t>7.68</w:t>
            </w:r>
          </w:p>
        </w:tc>
        <w:tc>
          <w:tcPr>
            <w:tcW w:w="1003" w:type="dxa"/>
            <w:tcBorders/>
            <w:shd w:color="auto" w:fill="auto" w:val="clear"/>
          </w:tcPr>
          <w:p>
            <w:pPr>
              <w:pStyle w:val="TableContents"/>
              <w:jc w:val="center"/>
              <w:rPr/>
            </w:pPr>
            <w:r>
              <w:rPr/>
              <w:t>138.6</w:t>
            </w:r>
          </w:p>
        </w:tc>
        <w:tc>
          <w:tcPr>
            <w:tcW w:w="2180" w:type="dxa"/>
            <w:tcBorders/>
            <w:shd w:color="auto" w:fill="auto" w:val="clear"/>
          </w:tcPr>
          <w:p>
            <w:pPr>
              <w:pStyle w:val="TableContents"/>
              <w:jc w:val="center"/>
              <w:rPr/>
            </w:pPr>
            <w:r>
              <w:rPr/>
              <w:t>7.21</w:t>
            </w:r>
          </w:p>
        </w:tc>
      </w:tr>
      <w:tr>
        <w:trPr/>
        <w:tc>
          <w:tcPr>
            <w:tcW w:w="1703"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12.84</w:t>
            </w:r>
          </w:p>
        </w:tc>
        <w:tc>
          <w:tcPr>
            <w:tcW w:w="999" w:type="dxa"/>
            <w:tcBorders>
              <w:bottom w:val="single" w:sz="12" w:space="0" w:color="000000"/>
            </w:tcBorders>
            <w:shd w:color="auto" w:fill="auto" w:val="clear"/>
          </w:tcPr>
          <w:p>
            <w:pPr>
              <w:pStyle w:val="TableContents"/>
              <w:jc w:val="center"/>
              <w:rPr/>
            </w:pPr>
            <w:r>
              <w:rPr/>
              <w:t>17.64</w:t>
            </w:r>
          </w:p>
        </w:tc>
        <w:tc>
          <w:tcPr>
            <w:tcW w:w="1003" w:type="dxa"/>
            <w:tcBorders>
              <w:bottom w:val="single" w:sz="12" w:space="0" w:color="000000"/>
            </w:tcBorders>
            <w:shd w:color="auto" w:fill="auto" w:val="clear"/>
          </w:tcPr>
          <w:p>
            <w:pPr>
              <w:pStyle w:val="TableContents"/>
              <w:jc w:val="center"/>
              <w:rPr/>
            </w:pPr>
            <w:r>
              <w:rPr/>
              <w:t>128.8</w:t>
            </w:r>
          </w:p>
        </w:tc>
        <w:tc>
          <w:tcPr>
            <w:tcW w:w="2180"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40" w:name="_Ref263095321121"/>
      <w:r>
        <w:rPr/>
        <w:t xml:space="preserve">Table </w:t>
      </w:r>
      <w:bookmarkStart w:id="41" w:name="Ref_Table7_number_only1121"/>
      <w:bookmarkStart w:id="42" w:name="Ref_Table12_number_only"/>
      <w:r>
        <w:rPr/>
        <w:fldChar w:fldCharType="begin"/>
      </w:r>
      <w:r>
        <w:rPr/>
        <w:instrText> SEQ Table \* ARABIC </w:instrText>
      </w:r>
      <w:r>
        <w:rPr/>
        <w:fldChar w:fldCharType="separate"/>
      </w:r>
      <w:r>
        <w:rPr/>
        <w:t>13</w:t>
      </w:r>
      <w:r>
        <w:rPr/>
        <w:fldChar w:fldCharType="end"/>
      </w:r>
      <w:bookmarkEnd w:id="42"/>
      <w:bookmarkEnd w:id="40"/>
      <w:bookmarkEnd w:id="41"/>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703"/>
        <w:gridCol w:w="1296"/>
        <w:gridCol w:w="999"/>
        <w:gridCol w:w="1003"/>
        <w:gridCol w:w="2180"/>
      </w:tblGrid>
      <w:tr>
        <w:trPr>
          <w:tblHeader w:val="true"/>
        </w:trPr>
        <w:tc>
          <w:tcPr>
            <w:tcW w:w="170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999"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1003"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2180"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b/>
                <w:b/>
                <w:bCs/>
              </w:rPr>
            </w:pPr>
            <w:r>
              <w:rPr>
                <w:b/>
                <w:bCs/>
              </w:rPr>
              <w:t>(V)</w:t>
            </w:r>
          </w:p>
        </w:tc>
      </w:tr>
      <w:tr>
        <w:trPr/>
        <w:tc>
          <w:tcPr>
            <w:tcW w:w="1703"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0.95</w:t>
            </w:r>
          </w:p>
        </w:tc>
        <w:tc>
          <w:tcPr>
            <w:tcW w:w="999" w:type="dxa"/>
            <w:tcBorders/>
            <w:shd w:color="auto" w:fill="auto" w:val="clear"/>
          </w:tcPr>
          <w:p>
            <w:pPr>
              <w:pStyle w:val="TableContents"/>
              <w:jc w:val="center"/>
              <w:rPr/>
            </w:pPr>
            <w:r>
              <w:rPr/>
              <w:t>42.67</w:t>
            </w:r>
          </w:p>
        </w:tc>
        <w:tc>
          <w:tcPr>
            <w:tcW w:w="1003" w:type="dxa"/>
            <w:tcBorders/>
            <w:shd w:color="auto" w:fill="auto" w:val="clear"/>
          </w:tcPr>
          <w:p>
            <w:pPr>
              <w:pStyle w:val="TableContents"/>
              <w:jc w:val="center"/>
              <w:rPr/>
            </w:pPr>
            <w:r>
              <w:rPr/>
              <w:t>2.39</w:t>
            </w:r>
          </w:p>
        </w:tc>
        <w:tc>
          <w:tcPr>
            <w:tcW w:w="2180" w:type="dxa"/>
            <w:tcBorders/>
            <w:shd w:color="auto" w:fill="auto" w:val="clear"/>
          </w:tcPr>
          <w:p>
            <w:pPr>
              <w:pStyle w:val="TableContents"/>
              <w:jc w:val="center"/>
              <w:rPr/>
            </w:pPr>
            <w:r>
              <w:rPr/>
              <w:t>36</w:t>
            </w:r>
          </w:p>
        </w:tc>
      </w:tr>
      <w:tr>
        <w:trPr/>
        <w:tc>
          <w:tcPr>
            <w:tcW w:w="1703"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1.64</w:t>
            </w:r>
          </w:p>
        </w:tc>
        <w:tc>
          <w:tcPr>
            <w:tcW w:w="999" w:type="dxa"/>
            <w:tcBorders/>
            <w:shd w:color="auto" w:fill="auto" w:val="clear"/>
          </w:tcPr>
          <w:p>
            <w:pPr>
              <w:pStyle w:val="TableContents"/>
              <w:jc w:val="center"/>
              <w:rPr/>
            </w:pPr>
            <w:r>
              <w:rPr/>
              <w:t>59.79</w:t>
            </w:r>
          </w:p>
        </w:tc>
        <w:tc>
          <w:tcPr>
            <w:tcW w:w="1003" w:type="dxa"/>
            <w:tcBorders/>
            <w:shd w:color="auto" w:fill="auto" w:val="clear"/>
          </w:tcPr>
          <w:p>
            <w:pPr>
              <w:pStyle w:val="TableContents"/>
              <w:jc w:val="center"/>
              <w:rPr/>
            </w:pPr>
            <w:r>
              <w:rPr/>
              <w:t>2.38</w:t>
            </w:r>
          </w:p>
        </w:tc>
        <w:tc>
          <w:tcPr>
            <w:tcW w:w="2180" w:type="dxa"/>
            <w:tcBorders/>
            <w:shd w:color="auto" w:fill="auto" w:val="clear"/>
          </w:tcPr>
          <w:p>
            <w:pPr>
              <w:pStyle w:val="TableContents"/>
              <w:jc w:val="center"/>
              <w:rPr/>
            </w:pPr>
            <w:r>
              <w:rPr/>
              <w:t>36</w:t>
            </w:r>
          </w:p>
        </w:tc>
      </w:tr>
      <w:tr>
        <w:trPr/>
        <w:tc>
          <w:tcPr>
            <w:tcW w:w="1703"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1.64</w:t>
            </w:r>
          </w:p>
        </w:tc>
        <w:tc>
          <w:tcPr>
            <w:tcW w:w="999" w:type="dxa"/>
            <w:tcBorders>
              <w:bottom w:val="single" w:sz="12" w:space="0" w:color="000000"/>
            </w:tcBorders>
            <w:shd w:color="auto" w:fill="auto" w:val="clear"/>
          </w:tcPr>
          <w:p>
            <w:pPr>
              <w:pStyle w:val="TableContents"/>
              <w:jc w:val="center"/>
              <w:rPr/>
            </w:pPr>
            <w:r>
              <w:rPr/>
              <w:t>56.68</w:t>
            </w:r>
          </w:p>
        </w:tc>
        <w:tc>
          <w:tcPr>
            <w:tcW w:w="1003" w:type="dxa"/>
            <w:tcBorders>
              <w:bottom w:val="single" w:sz="12" w:space="0" w:color="000000"/>
            </w:tcBorders>
            <w:shd w:color="auto" w:fill="auto" w:val="clear"/>
          </w:tcPr>
          <w:p>
            <w:pPr>
              <w:pStyle w:val="TableContents"/>
              <w:jc w:val="center"/>
              <w:rPr/>
            </w:pPr>
            <w:r>
              <w:rPr/>
              <w:t>2.38</w:t>
            </w:r>
          </w:p>
        </w:tc>
        <w:tc>
          <w:tcPr>
            <w:tcW w:w="2180"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43" w:name="_Ref2630953212"/>
      <w:r>
        <w:rPr/>
        <w:t xml:space="preserve">Table </w:t>
      </w:r>
      <w:bookmarkStart w:id="44" w:name="Ref_Table7_number_only12"/>
      <w:bookmarkStart w:id="45" w:name="Ref_Table13_number_only"/>
      <w:r>
        <w:rPr/>
        <w:fldChar w:fldCharType="begin"/>
      </w:r>
      <w:r>
        <w:rPr/>
        <w:instrText> SEQ Table \* ARABIC </w:instrText>
      </w:r>
      <w:r>
        <w:rPr/>
        <w:fldChar w:fldCharType="separate"/>
      </w:r>
      <w:r>
        <w:rPr/>
        <w:t>14</w:t>
      </w:r>
      <w:r>
        <w:rPr/>
        <w:fldChar w:fldCharType="end"/>
      </w:r>
      <w:bookmarkEnd w:id="45"/>
      <w:bookmarkEnd w:id="43"/>
      <w:bookmarkEnd w:id="44"/>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5"/>
        <w:gridCol w:w="1297"/>
        <w:gridCol w:w="1000"/>
        <w:gridCol w:w="1004"/>
        <w:gridCol w:w="1004"/>
        <w:gridCol w:w="1077"/>
        <w:gridCol w:w="1278"/>
      </w:tblGrid>
      <w:tr>
        <w:trPr>
          <w:tblHeader w:val="true"/>
        </w:trPr>
        <w:tc>
          <w:tcPr>
            <w:tcW w:w="170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jc w:val="center"/>
              <w:rPr>
                <w:b/>
                <w:b/>
                <w:bCs/>
              </w:rPr>
            </w:pPr>
            <w:r>
              <w:rPr>
                <w:b/>
                <w:bCs/>
              </w:rPr>
              <w:t>R</w:t>
            </w:r>
            <w:r>
              <w:rPr>
                <w:b/>
                <w:bCs/>
                <w:vertAlign w:val="subscript"/>
              </w:rPr>
              <w:t xml:space="preserve">1 </w:t>
            </w:r>
            <w:r>
              <w:rPr>
                <w:b/>
                <w:bCs/>
              </w:rPr>
              <w:t>I</w:t>
            </w:r>
            <w:r>
              <w:rPr>
                <w:b/>
                <w:bCs/>
                <w:vertAlign w:val="subscript"/>
              </w:rPr>
              <w:t>RMS</w:t>
            </w:r>
          </w:p>
          <w:p>
            <w:pPr>
              <w:pStyle w:val="TableHeading"/>
              <w:jc w:val="center"/>
              <w:rPr>
                <w:b/>
                <w:b/>
                <w:bCs/>
              </w:rPr>
            </w:pPr>
            <w:r>
              <w:rPr>
                <w:b/>
                <w:bCs/>
              </w:rPr>
              <w:t>(mA)</w:t>
            </w:r>
          </w:p>
        </w:tc>
        <w:tc>
          <w:tcPr>
            <w:tcW w:w="1000" w:type="dxa"/>
            <w:tcBorders>
              <w:top w:val="single" w:sz="12" w:space="0" w:color="000000"/>
              <w:bottom w:val="single" w:sz="2" w:space="0" w:color="000000"/>
            </w:tcBorders>
            <w:shd w:color="auto" w:fill="auto" w:val="clear"/>
            <w:vAlign w:val="center"/>
          </w:tcPr>
          <w:p>
            <w:pPr>
              <w:pStyle w:val="TableHeading"/>
              <w:jc w:val="center"/>
              <w:rPr>
                <w:b/>
                <w:b/>
                <w:bCs/>
              </w:rPr>
            </w:pPr>
            <w:r>
              <w:rPr>
                <w:b/>
                <w:bCs/>
              </w:rPr>
              <w:t>R</w:t>
            </w:r>
            <w:r>
              <w:rPr>
                <w:b/>
                <w:bCs/>
                <w:vertAlign w:val="subscript"/>
              </w:rPr>
              <w:t>1</w:t>
            </w:r>
            <w:r>
              <w:rPr>
                <w:b/>
                <w:bCs/>
              </w:rPr>
              <w:t xml:space="preserve"> P</w:t>
            </w:r>
          </w:p>
          <w:p>
            <w:pPr>
              <w:pStyle w:val="TableHeading"/>
              <w:jc w:val="center"/>
              <w:rPr>
                <w:b/>
                <w:b/>
                <w:bCs/>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b/>
                <w:b/>
                <w:bCs/>
              </w:rPr>
            </w:pPr>
            <w:r>
              <w:rPr>
                <w:b/>
                <w:bCs/>
              </w:rPr>
              <w:t>R</w:t>
            </w:r>
            <w:r>
              <w:rPr>
                <w:b/>
                <w:bCs/>
                <w:vertAlign w:val="subscript"/>
              </w:rPr>
              <w:t>2</w:t>
            </w:r>
            <w:r>
              <w:rPr>
                <w:b/>
                <w:bCs/>
              </w:rPr>
              <w:t xml:space="preserve"> I</w:t>
            </w:r>
            <w:r>
              <w:rPr>
                <w:b/>
                <w:bCs/>
                <w:vertAlign w:val="subscript"/>
              </w:rPr>
              <w:t>RMS</w:t>
            </w:r>
          </w:p>
          <w:p>
            <w:pPr>
              <w:pStyle w:val="TableHeading"/>
              <w:jc w:val="center"/>
              <w:rPr>
                <w:b/>
                <w:b/>
                <w:bCs/>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b/>
                <w:b/>
                <w:bCs/>
              </w:rPr>
            </w:pPr>
            <w:r>
              <w:rPr>
                <w:b/>
                <w:bCs/>
              </w:rPr>
              <w:t>R</w:t>
            </w:r>
            <w:r>
              <w:rPr>
                <w:b/>
                <w:bCs/>
                <w:vertAlign w:val="subscript"/>
              </w:rPr>
              <w:t>2</w:t>
            </w:r>
            <w:r>
              <w:rPr>
                <w:b/>
                <w:bCs/>
              </w:rPr>
              <w:t xml:space="preserve"> P</w:t>
            </w:r>
          </w:p>
          <w:p>
            <w:pPr>
              <w:pStyle w:val="TableHeading"/>
              <w:jc w:val="center"/>
              <w:rPr>
                <w:b/>
                <w:b/>
                <w:bCs/>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b/>
                <w:b/>
                <w:bCs/>
              </w:rPr>
            </w:pPr>
            <w:r>
              <w:rPr>
                <w:b/>
                <w:bCs/>
              </w:rPr>
              <w:t>R</w:t>
            </w:r>
            <w:r>
              <w:rPr>
                <w:b/>
                <w:bCs/>
                <w:vertAlign w:val="subscript"/>
              </w:rPr>
              <w:t>3</w:t>
            </w:r>
            <w:r>
              <w:rPr>
                <w:b/>
                <w:bCs/>
              </w:rPr>
              <w:t xml:space="preserve"> I</w:t>
            </w:r>
            <w:r>
              <w:rPr>
                <w:b/>
                <w:bCs/>
                <w:vertAlign w:val="subscript"/>
              </w:rPr>
              <w:t>RMS</w:t>
            </w:r>
          </w:p>
          <w:p>
            <w:pPr>
              <w:pStyle w:val="TableContents"/>
              <w:jc w:val="center"/>
              <w:rPr>
                <w:b/>
                <w:b/>
                <w:bCs/>
              </w:rPr>
            </w:pPr>
            <w:r>
              <w:rPr>
                <w:b/>
                <w:bCs/>
              </w:rPr>
              <w:t>(mA)</w:t>
            </w:r>
          </w:p>
        </w:tc>
        <w:tc>
          <w:tcPr>
            <w:tcW w:w="1278" w:type="dxa"/>
            <w:tcBorders>
              <w:top w:val="single" w:sz="12" w:space="0" w:color="000000"/>
              <w:bottom w:val="single" w:sz="2" w:space="0" w:color="000000"/>
            </w:tcBorders>
            <w:shd w:color="auto" w:fill="auto" w:val="clear"/>
            <w:vAlign w:val="center"/>
          </w:tcPr>
          <w:p>
            <w:pPr>
              <w:pStyle w:val="TableContents"/>
              <w:jc w:val="center"/>
              <w:rPr>
                <w:b/>
                <w:b/>
                <w:bCs/>
              </w:rPr>
            </w:pPr>
            <w:r>
              <w:rPr>
                <w:b/>
                <w:bCs/>
              </w:rPr>
              <w:t>R</w:t>
            </w:r>
            <w:r>
              <w:rPr>
                <w:b/>
                <w:bCs/>
                <w:vertAlign w:val="subscript"/>
              </w:rPr>
              <w:t>3</w:t>
            </w:r>
            <w:r>
              <w:rPr>
                <w:b/>
                <w:bCs/>
              </w:rPr>
              <w:t xml:space="preserve"> P</w:t>
            </w:r>
          </w:p>
          <w:p>
            <w:pPr>
              <w:pStyle w:val="TableContents"/>
              <w:jc w:val="center"/>
              <w:rPr>
                <w:b/>
                <w:b/>
                <w:bCs/>
              </w:rPr>
            </w:pPr>
            <w:r>
              <w:rPr>
                <w:b/>
                <w:bCs/>
              </w:rPr>
              <w:t>(mW)</w:t>
            </w:r>
          </w:p>
        </w:tc>
      </w:tr>
      <w:tr>
        <w:trPr/>
        <w:tc>
          <w:tcPr>
            <w:tcW w:w="1705"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1.04</w:t>
            </w:r>
          </w:p>
        </w:tc>
        <w:tc>
          <w:tcPr>
            <w:tcW w:w="1000" w:type="dxa"/>
            <w:tcBorders/>
            <w:shd w:color="auto" w:fill="auto" w:val="clear"/>
          </w:tcPr>
          <w:p>
            <w:pPr>
              <w:pStyle w:val="TableContents"/>
              <w:jc w:val="center"/>
              <w:rPr/>
            </w:pPr>
            <w:r>
              <w:rPr/>
              <w:t>1.08</w:t>
            </w:r>
          </w:p>
        </w:tc>
        <w:tc>
          <w:tcPr>
            <w:tcW w:w="1004"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78" w:type="dxa"/>
            <w:tcBorders/>
            <w:shd w:color="auto" w:fill="auto" w:val="clear"/>
          </w:tcPr>
          <w:p>
            <w:pPr>
              <w:pStyle w:val="TableContents"/>
              <w:jc w:val="center"/>
              <w:rPr/>
            </w:pPr>
            <w:r>
              <w:rPr/>
              <w:t>10.05</w:t>
            </w:r>
          </w:p>
        </w:tc>
      </w:tr>
      <w:tr>
        <w:trPr/>
        <w:tc>
          <w:tcPr>
            <w:tcW w:w="1705"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1.77</w:t>
            </w:r>
          </w:p>
        </w:tc>
        <w:tc>
          <w:tcPr>
            <w:tcW w:w="1000" w:type="dxa"/>
            <w:tcBorders/>
            <w:shd w:color="auto" w:fill="auto" w:val="clear"/>
          </w:tcPr>
          <w:p>
            <w:pPr>
              <w:pStyle w:val="TableContents"/>
              <w:jc w:val="center"/>
              <w:rPr/>
            </w:pPr>
            <w:r>
              <w:rPr/>
              <w:t>3.12</w:t>
            </w:r>
          </w:p>
        </w:tc>
        <w:tc>
          <w:tcPr>
            <w:tcW w:w="1004"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78" w:type="dxa"/>
            <w:tcBorders/>
            <w:shd w:color="auto" w:fill="auto" w:val="clear"/>
          </w:tcPr>
          <w:p>
            <w:pPr>
              <w:pStyle w:val="TableContents"/>
              <w:jc w:val="center"/>
              <w:rPr/>
            </w:pPr>
            <w:r>
              <w:rPr/>
              <w:t>15.82</w:t>
            </w:r>
          </w:p>
        </w:tc>
      </w:tr>
      <w:tr>
        <w:trPr/>
        <w:tc>
          <w:tcPr>
            <w:tcW w:w="1705" w:type="dxa"/>
            <w:tcBorders>
              <w:bottom w:val="single" w:sz="12" w:space="0" w:color="000000"/>
            </w:tcBorders>
            <w:shd w:color="auto" w:fill="auto" w:val="clear"/>
          </w:tcPr>
          <w:p>
            <w:pPr>
              <w:pStyle w:val="TableContents"/>
              <w:keepNext w:val="true"/>
              <w:jc w:val="center"/>
              <w:rPr/>
            </w:pPr>
            <w:r>
              <w:rPr/>
              <w:t>Kettle Load</w:t>
            </w:r>
          </w:p>
        </w:tc>
        <w:tc>
          <w:tcPr>
            <w:tcW w:w="1297" w:type="dxa"/>
            <w:tcBorders>
              <w:bottom w:val="single" w:sz="12" w:space="0" w:color="000000"/>
            </w:tcBorders>
            <w:shd w:color="auto" w:fill="auto" w:val="clear"/>
          </w:tcPr>
          <w:p>
            <w:pPr>
              <w:pStyle w:val="TableContents"/>
              <w:jc w:val="center"/>
              <w:rPr/>
            </w:pPr>
            <w:r>
              <w:rPr/>
              <w:t>1.73</w:t>
            </w:r>
          </w:p>
        </w:tc>
        <w:tc>
          <w:tcPr>
            <w:tcW w:w="1000" w:type="dxa"/>
            <w:tcBorders>
              <w:bottom w:val="single" w:sz="12" w:space="0" w:color="000000"/>
            </w:tcBorders>
            <w:shd w:color="auto" w:fill="auto" w:val="clear"/>
          </w:tcPr>
          <w:p>
            <w:pPr>
              <w:pStyle w:val="TableContents"/>
              <w:jc w:val="center"/>
              <w:rPr/>
            </w:pPr>
            <w:r>
              <w:rPr/>
              <w:t>3</w:t>
            </w:r>
          </w:p>
        </w:tc>
        <w:tc>
          <w:tcPr>
            <w:tcW w:w="1004"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78" w:type="dxa"/>
            <w:tcBorders>
              <w:bottom w:val="single" w:sz="12" w:space="0" w:color="000000"/>
            </w:tcBorders>
            <w:shd w:color="auto" w:fill="auto" w:val="clear"/>
          </w:tcPr>
          <w:p>
            <w:pPr>
              <w:pStyle w:val="TableContents"/>
              <w:jc w:val="center"/>
              <w:rPr/>
            </w:pPr>
            <w:r>
              <w:rPr/>
              <w:t>13.35</w:t>
            </w:r>
          </w:p>
        </w:tc>
      </w:tr>
    </w:tbl>
    <w:p>
      <w:pPr>
        <w:pStyle w:val="TextBody"/>
        <w:keepNext w:val="true"/>
        <w:rPr/>
      </w:pPr>
      <w:r>
        <w:rPr/>
      </w:r>
    </w:p>
    <w:p>
      <w:pPr>
        <w:pStyle w:val="TextBody"/>
        <w:rPr/>
      </w:pPr>
      <w:r>
        <w:rPr/>
      </w:r>
    </w:p>
    <w:p>
      <w:pPr>
        <w:pStyle w:val="Heading1"/>
        <w:numPr>
          <w:ilvl w:val="0"/>
          <w:numId w:val="6"/>
        </w:numPr>
        <w:rPr/>
      </w:pPr>
      <w:r>
        <w:rPr/>
        <w:t xml:space="preserve">Topology Comparison and </w:t>
      </w:r>
      <w:r>
        <w:rPr>
          <w:b/>
          <w:bCs/>
          <w:sz w:val="36"/>
          <w:szCs w:val="36"/>
        </w:rPr>
        <w:t>Selection</w:t>
      </w:r>
    </w:p>
    <w:p>
      <w:pPr>
        <w:pStyle w:val="TextBody"/>
        <w:numPr>
          <w:ilvl w:val="0"/>
          <w:numId w:val="6"/>
        </w:numPr>
        <w:rPr/>
      </w:pPr>
      <w:r>
        <w:rPr/>
        <w:t>Each of the topologies considered will be discussed briefly.</w:t>
      </w:r>
    </w:p>
    <w:p>
      <w:pPr>
        <w:pStyle w:val="Heading2"/>
        <w:numPr>
          <w:ilvl w:val="1"/>
          <w:numId w:val="3"/>
        </w:numPr>
        <w:rPr/>
      </w:pPr>
      <w:r>
        <w:rPr>
          <w:rFonts w:eastAsia="Noto Sans CJK SC Regular" w:cs="Lohit Devanagari"/>
          <w:b/>
          <w:bCs/>
          <w:color w:val="auto"/>
          <w:kern w:val="2"/>
          <w:sz w:val="28"/>
          <w:szCs w:val="32"/>
          <w:lang w:val="en-US" w:eastAsia="zh-CN" w:bidi="hi-IN"/>
        </w:rPr>
        <w:t>Three-P</w:t>
      </w:r>
      <w:r>
        <w:rPr/>
        <w:t>hase Thyristor Rectifier</w:t>
      </w:r>
    </w:p>
    <w:p>
      <w:pPr>
        <w:pStyle w:val="TextBody"/>
        <w:numPr>
          <w:ilvl w:val="0"/>
          <w:numId w:val="6"/>
        </w:numPr>
        <w:rPr/>
      </w:pPr>
      <w:r>
        <w:rPr/>
        <w:t xml:space="preserve">This circuit offers us </w:t>
      </w:r>
      <w:r>
        <w:rPr>
          <w:rFonts w:eastAsia="Noto Sans CJK SC Regular" w:cs="Lohit Devanagari"/>
          <w:color w:val="auto"/>
          <w:kern w:val="2"/>
          <w:sz w:val="24"/>
          <w:szCs w:val="24"/>
          <w:lang w:val="en-US" w:eastAsia="zh-CN" w:bidi="hi-IN"/>
        </w:rPr>
        <w:t>higher</w:t>
      </w:r>
      <w:r>
        <w:rPr/>
        <w:t xml:space="preserve"> output average voltage and less ripple compar</w:t>
      </w:r>
      <w:r>
        <w:rPr>
          <w:rFonts w:eastAsia="Noto Sans CJK SC Regular" w:cs="Lohit Devanagari"/>
          <w:color w:val="auto"/>
          <w:kern w:val="2"/>
          <w:sz w:val="24"/>
          <w:szCs w:val="24"/>
          <w:lang w:val="en-US" w:eastAsia="zh-CN" w:bidi="hi-IN"/>
        </w:rPr>
        <w:t>ed</w:t>
      </w:r>
      <w:r>
        <w:rPr/>
        <w:t xml:space="preserve"> to the other alternatives. However, it requires </w:t>
      </w:r>
      <w:r>
        <w:rPr>
          <w:rFonts w:eastAsia="Noto Sans CJK SC Regular" w:cs="Lohit Devanagari"/>
          <w:color w:val="auto"/>
          <w:kern w:val="2"/>
          <w:sz w:val="24"/>
          <w:szCs w:val="24"/>
          <w:lang w:val="en-US" w:eastAsia="zh-CN" w:bidi="hi-IN"/>
        </w:rPr>
        <w:t>six</w:t>
      </w:r>
      <w:r>
        <w:rPr/>
        <w:t xml:space="preserve"> thyristors and required gate signal driver circuits. </w:t>
      </w:r>
      <w:bookmarkStart w:id="46" w:name="__DdeLink__3635_4064191290"/>
      <w:r>
        <w:rPr>
          <w:rFonts w:eastAsia="Noto Sans CJK SC Regular" w:cs="Lohit Devanagari"/>
          <w:color w:val="auto"/>
          <w:kern w:val="2"/>
          <w:sz w:val="24"/>
          <w:szCs w:val="24"/>
          <w:lang w:val="en-US" w:eastAsia="zh-CN" w:bidi="hi-IN"/>
        </w:rPr>
        <w:t>In order to work toward</w:t>
      </w:r>
      <w:r>
        <w:rPr/>
        <w:t xml:space="preserve"> compactness and simplicity bonuses, this topology was judged as not appropriate.</w:t>
      </w:r>
      <w:bookmarkEnd w:id="46"/>
    </w:p>
    <w:p>
      <w:pPr>
        <w:pStyle w:val="Heading2"/>
        <w:numPr>
          <w:ilvl w:val="1"/>
          <w:numId w:val="3"/>
        </w:numPr>
        <w:rPr/>
      </w:pPr>
      <w:r>
        <w:rPr/>
        <w:t>Rectifier + Buck Converter</w:t>
      </w:r>
    </w:p>
    <w:p>
      <w:pPr>
        <w:pStyle w:val="TextBody"/>
        <w:numPr>
          <w:ilvl w:val="0"/>
          <w:numId w:val="6"/>
        </w:numPr>
        <w:rPr/>
      </w:pPr>
      <w:r>
        <w:rPr/>
        <w:t>This circuit offers us a more simple way to finish the project compared to the three-phase thyristor rectifier. However, it requires six diodes and a buck convertor part. Similar to our opinion for the three-phase thyristor rectifier, i</w:t>
      </w:r>
      <w:r>
        <w:rPr>
          <w:rFonts w:eastAsia="Noto Sans CJK SC Regular" w:cs="Lohit Devanagari"/>
          <w:color w:val="auto"/>
          <w:kern w:val="2"/>
          <w:sz w:val="24"/>
          <w:szCs w:val="24"/>
          <w:lang w:val="en-US" w:eastAsia="zh-CN" w:bidi="hi-IN"/>
        </w:rPr>
        <w:t>n order to work toward</w:t>
      </w:r>
      <w:r>
        <w:rPr/>
        <w:t xml:space="preserve"> compactness and simplicity bonuses, this topology was judged as not appropriate.</w:t>
      </w:r>
    </w:p>
    <w:p>
      <w:pPr>
        <w:pStyle w:val="Heading2"/>
        <w:numPr>
          <w:ilvl w:val="1"/>
          <w:numId w:val="3"/>
        </w:numPr>
        <w:rPr/>
      </w:pPr>
      <w:r>
        <w:rPr>
          <w:rFonts w:eastAsia="Noto Sans CJK SC Regular" w:cs="Lohit Devanagari"/>
          <w:b/>
          <w:bCs/>
          <w:color w:val="auto"/>
          <w:kern w:val="2"/>
          <w:sz w:val="28"/>
          <w:szCs w:val="32"/>
          <w:lang w:val="en-US" w:eastAsia="zh-CN" w:bidi="hi-IN"/>
        </w:rPr>
        <w:t>Single-P</w:t>
      </w:r>
      <w:r>
        <w:rPr/>
        <w:t>hase Thyristor Rectifier</w:t>
      </w:r>
    </w:p>
    <w:p>
      <w:pPr>
        <w:pStyle w:val="TextBody"/>
        <w:numPr>
          <w:ilvl w:val="0"/>
          <w:numId w:val="6"/>
        </w:numPr>
        <w:rPr/>
      </w:pPr>
      <w:r>
        <w:rPr/>
        <w:t>This circuit offers us more simple way compar</w:t>
      </w:r>
      <w:r>
        <w:rPr>
          <w:rFonts w:eastAsia="Noto Sans CJK SC Regular" w:cs="Lohit Devanagari"/>
          <w:color w:val="auto"/>
          <w:kern w:val="2"/>
          <w:sz w:val="24"/>
          <w:szCs w:val="24"/>
          <w:lang w:val="en-US" w:eastAsia="zh-CN" w:bidi="hi-IN"/>
        </w:rPr>
        <w:t>ed</w:t>
      </w:r>
      <w:r>
        <w:rPr/>
        <w:t xml:space="preserve"> to the three-phase thyristor rectifier. However, it has less output voltage and more ripple comparing to </w:t>
      </w:r>
      <w:r>
        <w:rPr>
          <w:rFonts w:eastAsia="Noto Sans CJK SC Regular" w:cs="Lohit Devanagari"/>
          <w:color w:val="auto"/>
          <w:kern w:val="2"/>
          <w:sz w:val="24"/>
          <w:szCs w:val="24"/>
          <w:lang w:val="en-US" w:eastAsia="zh-CN" w:bidi="hi-IN"/>
        </w:rPr>
        <w:t>a three-phase rectifier</w:t>
      </w:r>
      <w:r>
        <w:rPr/>
        <w:t xml:space="preserve">. Again, in this topology, we need to drive four thyristors in synchronism with each other. </w:t>
      </w:r>
      <w:r>
        <w:rPr>
          <w:rFonts w:eastAsia="Noto Sans CJK SC Regular" w:cs="Lohit Devanagari"/>
          <w:color w:val="auto"/>
          <w:kern w:val="2"/>
          <w:sz w:val="24"/>
          <w:szCs w:val="24"/>
          <w:lang w:val="en-US" w:eastAsia="zh-CN" w:bidi="hi-IN"/>
        </w:rPr>
        <w:t>The gains in eliminating two thyristors to drive still did not achieve the level of simplicity that we desired.</w:t>
      </w:r>
    </w:p>
    <w:p>
      <w:pPr>
        <w:pStyle w:val="Heading2"/>
        <w:numPr>
          <w:ilvl w:val="1"/>
          <w:numId w:val="3"/>
        </w:numPr>
        <w:rPr/>
      </w:pPr>
      <w:r>
        <w:rPr/>
        <w:t>Chosen Topology: Single-P</w:t>
      </w:r>
      <w:r>
        <w:rPr>
          <w:lang w:val="tr-TR"/>
        </w:rPr>
        <w:t xml:space="preserve">hase Diac-Controlled </w:t>
      </w:r>
      <w:r>
        <w:rPr>
          <w:rFonts w:eastAsia="Noto Sans CJK SC Regular" w:cs="Lohit Devanagari"/>
          <w:b/>
          <w:bCs/>
          <w:color w:val="auto"/>
          <w:kern w:val="2"/>
          <w:sz w:val="28"/>
          <w:szCs w:val="32"/>
          <w:lang w:val="tr-TR" w:eastAsia="zh-CN" w:bidi="hi-IN"/>
        </w:rPr>
        <w:t>Triac</w:t>
      </w:r>
      <w:r>
        <w:rPr>
          <w:lang w:val="tr-TR"/>
        </w:rPr>
        <w:t xml:space="preserve"> rectifer</w:t>
      </w:r>
    </w:p>
    <w:p>
      <w:pPr>
        <w:pStyle w:val="TextBody"/>
        <w:numPr>
          <w:ilvl w:val="0"/>
          <w:numId w:val="6"/>
        </w:numPr>
        <w:rPr/>
      </w:pPr>
      <w:r>
        <w:rPr/>
        <w:drawing>
          <wp:inline distT="0" distB="0" distL="0" distR="0">
            <wp:extent cx="5760720" cy="347599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5760720" cy="3475990"/>
                    </a:xfrm>
                    <a:prstGeom prst="rect">
                      <a:avLst/>
                    </a:prstGeom>
                  </pic:spPr>
                </pic:pic>
              </a:graphicData>
            </a:graphic>
          </wp:inline>
        </w:drawing>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rFonts w:eastAsia="Noto Sans CJK SC Regular" w:cs="Lohit Devanagari"/>
          <w:color w:val="auto"/>
          <w:kern w:val="2"/>
          <w:sz w:val="24"/>
          <w:szCs w:val="24"/>
          <w:lang w:val="en-US" w:eastAsia="zh-CN" w:bidi="hi-IN"/>
        </w:rPr>
        <w:t>One disadvantage of this topology is that it is not easily adapted to any type of feedback control. It is also limited to single-quadrant operation by the diode bridge that supplies the DC motor load.</w:t>
      </w:r>
    </w:p>
    <w:p>
      <w:pPr>
        <w:pStyle w:val="TextBody"/>
        <w:rPr/>
      </w:pPr>
      <w:r>
        <w:rPr>
          <w:rFonts w:eastAsia="Noto Sans CJK SC Regular" w:cs="Lohit Devanagari"/>
          <w:color w:val="auto"/>
          <w:kern w:val="2"/>
          <w:sz w:val="24"/>
          <w:szCs w:val="24"/>
          <w:lang w:val="en-US" w:eastAsia="zh-CN" w:bidi="hi-IN"/>
        </w:rPr>
        <w:t>If we are successful in implementing a working circuit using the diac for controlling the triac, we could explore other, more flexible methods for control that would allow feedback control, especially to limit current during motor start-up.</w:t>
      </w:r>
    </w:p>
    <w:p>
      <w:pPr>
        <w:pStyle w:val="Heading1"/>
        <w:numPr>
          <w:ilvl w:val="0"/>
          <w:numId w:val="6"/>
        </w:numPr>
        <w:rPr/>
      </w:pPr>
      <w:r>
        <w:rPr/>
        <w:t>Component Selection</w:t>
      </w:r>
    </w:p>
    <w:p>
      <w:pPr>
        <w:pStyle w:val="TextBody"/>
        <w:rPr/>
      </w:pPr>
      <w:r>
        <w:rPr/>
      </w:r>
    </w:p>
    <w:p>
      <w:pPr>
        <w:pStyle w:val="Heading1"/>
        <w:numPr>
          <w:ilvl w:val="0"/>
          <w:numId w:val="6"/>
        </w:numPr>
        <w:rPr/>
      </w:pPr>
      <w:r>
        <w:rPr/>
        <w:t>Project Planning</w:t>
      </w:r>
    </w:p>
    <w:p>
      <w:pPr>
        <w:pStyle w:val="TextBody"/>
        <w:rPr/>
      </w:pPr>
      <w:r>
        <w:rPr/>
      </w:r>
    </w:p>
    <w:p>
      <w:pPr>
        <w:pStyle w:val="Heading1"/>
        <w:numPr>
          <w:ilvl w:val="0"/>
          <w:numId w:val="6"/>
        </w:numPr>
        <w:spacing w:before="240" w:after="120"/>
        <w:rPr/>
      </w:pPr>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78CE-35C9-4BC6-8D97-12C9C0A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Application>LibreOffice/6.3.3.2$Linux_X86_64 LibreOffice_project/30$Build-2</Application>
  <Pages>19</Pages>
  <Words>3702</Words>
  <Characters>17520</Characters>
  <CharactersWithSpaces>20692</CharactersWithSpaces>
  <Paragraphs>608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2019-12-04T23:01:02Z</dcterms:modified>
  <cp:revision>75</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