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2.png" ContentType="image/png"/>
  <Override PartName="/word/media/image7.png" ContentType="image/png"/>
  <Override PartName="/word/media/image1.jpeg" ContentType="image/jpeg"/>
  <Override PartName="/word/media/image6.png" ContentType="image/png"/>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rFonts w:eastAsia="Noto Sans CJK SC Regular" w:cs="Lohit Devanagari"/>
          <w:b/>
          <w:bCs/>
          <w:color w:val="auto"/>
          <w:kern w:val="2"/>
          <w:sz w:val="56"/>
          <w:szCs w:val="56"/>
          <w:lang w:val="en-US" w:eastAsia="zh-CN" w:bidi="hi-IN"/>
        </w:rPr>
        <w:t>Final</w:t>
      </w:r>
      <w:r>
        <w:rPr/>
        <w:t xml:space="preserve"> Report</w:t>
      </w:r>
    </w:p>
    <w:p>
      <w:pPr>
        <w:pStyle w:val="Subtitle"/>
        <w:rPr/>
      </w:pPr>
      <w:r>
        <w:rPr/>
      </w:r>
    </w:p>
    <w:p>
      <w:pPr>
        <w:pStyle w:val="Subtitle"/>
        <w:rPr/>
      </w:pPr>
      <w:r>
        <w:rPr/>
        <w:t xml:space="preserve">16 </w:t>
      </w:r>
      <w:r>
        <w:rPr>
          <w:rFonts w:eastAsia="Noto Sans CJK SC Regular" w:cs="Lohit Devanagari"/>
          <w:color w:val="808080"/>
          <w:kern w:val="2"/>
          <w:sz w:val="36"/>
          <w:szCs w:val="36"/>
          <w:lang w:val="en-US" w:eastAsia="zh-CN" w:bidi="hi-IN"/>
        </w:rPr>
        <w:t>January</w:t>
      </w:r>
      <w:r>
        <w:rPr/>
        <w:t xml:space="preserve"> 2020</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p>
    <w:sdt>
      <w:sdtPr>
        <w:docPartObj>
          <w:docPartGallery w:val="Table of Contents"/>
          <w:docPartUnique w:val="true"/>
        </w:docPartObj>
      </w:sdtPr>
      <w:sdtContent>
        <w:p>
          <w:pPr>
            <w:pStyle w:val="TOA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20</w:t>
            </w:r>
          </w:hyperlink>
        </w:p>
        <w:p>
          <w:pPr>
            <w:pStyle w:val="Contents1"/>
            <w:tabs>
              <w:tab w:val="right" w:pos="9026" w:leader="dot"/>
            </w:tabs>
            <w:rPr/>
          </w:pPr>
          <w:hyperlink w:anchor="__RefHeading___Toc6607_3320701940">
            <w:r>
              <w:rPr>
                <w:rStyle w:val="IndexLink"/>
              </w:rPr>
              <w:t>Component Selection</w:t>
              <w:tab/>
              <w:t>22</w:t>
            </w:r>
          </w:hyperlink>
        </w:p>
        <w:p>
          <w:pPr>
            <w:pStyle w:val="Contents2"/>
            <w:tabs>
              <w:tab w:val="clear" w:pos="8743"/>
              <w:tab w:val="right" w:pos="9026" w:leader="dot"/>
            </w:tabs>
            <w:rPr/>
          </w:pPr>
          <w:hyperlink w:anchor="__RefHeading___Toc6669_3320701940">
            <w:r>
              <w:rPr>
                <w:rStyle w:val="IndexLink"/>
              </w:rPr>
              <w:t>Triac Selection</w:t>
              <w:tab/>
              <w:t>22</w:t>
            </w:r>
          </w:hyperlink>
        </w:p>
        <w:p>
          <w:pPr>
            <w:pStyle w:val="Contents2"/>
            <w:tabs>
              <w:tab w:val="clear" w:pos="8743"/>
              <w:tab w:val="right" w:pos="9026" w:leader="dot"/>
            </w:tabs>
            <w:rPr/>
          </w:pPr>
          <w:hyperlink w:anchor="__RefHeading___Toc6671_3320701940">
            <w:r>
              <w:rPr>
                <w:rStyle w:val="IndexLink"/>
              </w:rPr>
              <w:t>Diac Selection</w:t>
              <w:tab/>
              <w:t>22</w:t>
            </w:r>
          </w:hyperlink>
        </w:p>
        <w:p>
          <w:pPr>
            <w:pStyle w:val="Contents2"/>
            <w:tabs>
              <w:tab w:val="clear" w:pos="8743"/>
              <w:tab w:val="right" w:pos="9026" w:leader="dot"/>
            </w:tabs>
            <w:rPr/>
          </w:pPr>
          <w:hyperlink w:anchor="__RefHeading___Toc6673_3320701940">
            <w:r>
              <w:rPr>
                <w:rStyle w:val="IndexLink"/>
              </w:rPr>
              <w:t>Capacitor Selection</w:t>
              <w:tab/>
              <w:t>23</w:t>
            </w:r>
          </w:hyperlink>
        </w:p>
        <w:p>
          <w:pPr>
            <w:pStyle w:val="Contents2"/>
            <w:tabs>
              <w:tab w:val="clear" w:pos="8743"/>
              <w:tab w:val="right" w:pos="9026" w:leader="dot"/>
            </w:tabs>
            <w:rPr/>
          </w:pPr>
          <w:hyperlink w:anchor="__RefHeading___Toc6675_3320701940">
            <w:r>
              <w:rPr>
                <w:rStyle w:val="IndexLink"/>
              </w:rPr>
              <w:t>Resistor Selection</w:t>
              <w:tab/>
              <w:t>23</w:t>
            </w:r>
          </w:hyperlink>
        </w:p>
        <w:p>
          <w:pPr>
            <w:pStyle w:val="Contents2"/>
            <w:tabs>
              <w:tab w:val="clear" w:pos="8743"/>
              <w:tab w:val="right" w:pos="9026" w:leader="dot"/>
            </w:tabs>
            <w:rPr/>
          </w:pPr>
          <w:hyperlink w:anchor="__RefHeading___Toc6677_3320701940">
            <w:r>
              <w:rPr>
                <w:rStyle w:val="IndexLink"/>
              </w:rPr>
              <w:t>Additional Components</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5"/>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5"/>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5"/>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5"/>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5"/>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 xml:space="preserve">This report presents the designing a rectifier circuit that will be used to </w:t>
      </w:r>
      <w:r>
        <w:rPr>
          <w:rFonts w:eastAsia="Noto Sans CJK SC Regular" w:cs="Lohit Devanagari"/>
          <w:color w:val="auto"/>
          <w:kern w:val="2"/>
          <w:sz w:val="24"/>
          <w:szCs w:val="24"/>
          <w:lang w:val="en-US" w:eastAsia="zh-CN" w:bidi="hi-IN"/>
        </w:rPr>
        <w:t>drive</w:t>
      </w:r>
      <w:r>
        <w:rPr/>
        <w:t xml:space="preserve"> a DC motor. </w:t>
      </w:r>
      <w:r>
        <w:rPr>
          <w:highlight w:val="yellow"/>
        </w:rPr>
        <w:t>XXXX</w:t>
      </w:r>
    </w:p>
    <w:p>
      <w:pPr>
        <w:pStyle w:val="Heading1"/>
        <w:numPr>
          <w:ilvl w:val="0"/>
          <w:numId w:val="5"/>
        </w:numPr>
        <w:rPr/>
      </w:pPr>
      <w:bookmarkStart w:id="7" w:name="__RefHeading___Toc6583_3320701940"/>
      <w:bookmarkEnd w:id="7"/>
      <w:r>
        <w:rPr/>
        <w:t>Simulations</w:t>
      </w:r>
    </w:p>
    <w:p>
      <w:pPr>
        <w:pStyle w:val="TextBody"/>
        <w:rPr/>
      </w:pPr>
      <w:r>
        <w:rPr/>
        <w:t xml:space="preserve">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w:t>
      </w:r>
      <w:r>
        <w:rPr>
          <w:rFonts w:eastAsia="Noto Sans CJK SC Regular" w:cs="Lohit Devanagari"/>
          <w:color w:val="auto"/>
          <w:kern w:val="2"/>
          <w:sz w:val="24"/>
          <w:szCs w:val="24"/>
          <w:lang w:val="en-US" w:eastAsia="zh-CN" w:bidi="hi-IN"/>
        </w:rPr>
        <w:t>After presenting some common calculations, the simulations results for the selected TRIAC-based AC chopper circuit will be shown. Results for the other topologies that were not selected can be found in the projects’ simulation report. Since some modeled component values were changed based on parameters from the datasheets of the selected components, the results presented here are different from those in the previously submitted simulation report.</w:t>
      </w:r>
    </w:p>
    <w:p>
      <w:pPr>
        <w:pStyle w:val="Heading2"/>
        <w:numPr>
          <w:ilvl w:val="1"/>
          <w:numId w:val="4"/>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4"/>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8"/>
        <w:gridCol w:w="2525"/>
      </w:tblGrid>
      <w:tr>
        <w:trPr>
          <w:tblHeader w:val="true"/>
        </w:trPr>
        <w:tc>
          <w:tcPr>
            <w:tcW w:w="2428" w:type="dxa"/>
            <w:tcBorders>
              <w:top w:val="single" w:sz="12" w:space="0" w:color="000000"/>
              <w:bottom w:val="single" w:sz="2" w:space="0" w:color="000000"/>
            </w:tcBorders>
            <w:shd w:color="auto" w:fill="auto" w:val="clear"/>
          </w:tcPr>
          <w:p>
            <w:pPr>
              <w:pStyle w:val="TableHeading"/>
              <w:keepNext w:val="true"/>
              <w:rPr/>
            </w:pPr>
            <w:r>
              <w:rPr/>
              <w:t>Parameter</w:t>
            </w:r>
          </w:p>
        </w:tc>
        <w:tc>
          <w:tcPr>
            <w:tcW w:w="2525" w:type="dxa"/>
            <w:tcBorders>
              <w:top w:val="single" w:sz="12" w:space="0" w:color="000000"/>
              <w:bottom w:val="single" w:sz="2" w:space="0" w:color="000000"/>
            </w:tcBorders>
            <w:shd w:color="auto" w:fill="auto" w:val="clear"/>
          </w:tcPr>
          <w:p>
            <w:pPr>
              <w:pStyle w:val="TableHeading"/>
              <w:rPr/>
            </w:pPr>
            <w:r>
              <w:rPr/>
              <w:t>Value</w:t>
            </w:r>
          </w:p>
        </w:tc>
      </w:tr>
      <w:tr>
        <w:trPr/>
        <w:tc>
          <w:tcPr>
            <w:tcW w:w="2428" w:type="dxa"/>
            <w:tcBorders/>
            <w:shd w:color="auto" w:fill="auto" w:val="clear"/>
          </w:tcPr>
          <w:p>
            <w:pPr>
              <w:pStyle w:val="TableContents"/>
              <w:keepNext w:val="true"/>
              <w:jc w:val="center"/>
              <w:rPr/>
            </w:pPr>
            <w:r>
              <w:rPr/>
              <w:t>Pmec</w:t>
            </w:r>
          </w:p>
        </w:tc>
        <w:tc>
          <w:tcPr>
            <w:tcW w:w="2525" w:type="dxa"/>
            <w:tcBorders/>
            <w:shd w:color="auto" w:fill="auto" w:val="clear"/>
          </w:tcPr>
          <w:p>
            <w:pPr>
              <w:pStyle w:val="TableContents"/>
              <w:jc w:val="center"/>
              <w:rPr/>
            </w:pPr>
            <w:r>
              <w:rPr/>
              <w:t>5.5 HP</w:t>
            </w:r>
          </w:p>
        </w:tc>
      </w:tr>
      <w:tr>
        <w:trPr/>
        <w:tc>
          <w:tcPr>
            <w:tcW w:w="2428" w:type="dxa"/>
            <w:tcBorders/>
            <w:shd w:color="auto" w:fill="auto" w:val="clear"/>
          </w:tcPr>
          <w:p>
            <w:pPr>
              <w:pStyle w:val="TableContents"/>
              <w:keepNext w:val="true"/>
              <w:jc w:val="center"/>
              <w:rPr/>
            </w:pPr>
            <w:r>
              <w:rPr/>
              <w:t>RPM</w:t>
            </w:r>
          </w:p>
        </w:tc>
        <w:tc>
          <w:tcPr>
            <w:tcW w:w="2525" w:type="dxa"/>
            <w:tcBorders/>
            <w:shd w:color="auto" w:fill="auto" w:val="clear"/>
          </w:tcPr>
          <w:p>
            <w:pPr>
              <w:pStyle w:val="TableContents"/>
              <w:jc w:val="center"/>
              <w:rPr/>
            </w:pPr>
            <w:r>
              <w:rPr/>
              <w:t>1500</w:t>
            </w:r>
          </w:p>
        </w:tc>
      </w:tr>
      <w:tr>
        <w:trPr/>
        <w:tc>
          <w:tcPr>
            <w:tcW w:w="2428" w:type="dxa"/>
            <w:tcBorders/>
            <w:shd w:color="auto" w:fill="auto" w:val="clear"/>
          </w:tcPr>
          <w:p>
            <w:pPr>
              <w:pStyle w:val="TableContents"/>
              <w:keepNext w:val="true"/>
              <w:jc w:val="center"/>
              <w:rPr/>
            </w:pPr>
            <w:r>
              <w:rPr/>
              <w:t>VS</w:t>
            </w:r>
          </w:p>
        </w:tc>
        <w:tc>
          <w:tcPr>
            <w:tcW w:w="2525" w:type="dxa"/>
            <w:tcBorders/>
            <w:shd w:color="auto" w:fill="auto" w:val="clear"/>
          </w:tcPr>
          <w:p>
            <w:pPr>
              <w:pStyle w:val="TableContents"/>
              <w:jc w:val="center"/>
              <w:rPr/>
            </w:pPr>
            <w:r>
              <w:rPr/>
              <w:t>220 V</w:t>
            </w:r>
          </w:p>
        </w:tc>
      </w:tr>
      <w:tr>
        <w:trPr/>
        <w:tc>
          <w:tcPr>
            <w:tcW w:w="2428" w:type="dxa"/>
            <w:tcBorders/>
            <w:shd w:color="auto" w:fill="auto" w:val="clear"/>
          </w:tcPr>
          <w:p>
            <w:pPr>
              <w:pStyle w:val="TableContents"/>
              <w:keepNext w:val="true"/>
              <w:jc w:val="center"/>
              <w:rPr/>
            </w:pPr>
            <w:r>
              <w:rPr/>
              <w:t>IS</w:t>
            </w:r>
          </w:p>
        </w:tc>
        <w:tc>
          <w:tcPr>
            <w:tcW w:w="2525" w:type="dxa"/>
            <w:tcBorders/>
            <w:shd w:color="auto" w:fill="auto" w:val="clear"/>
          </w:tcPr>
          <w:p>
            <w:pPr>
              <w:pStyle w:val="TableContents"/>
              <w:jc w:val="center"/>
              <w:rPr/>
            </w:pPr>
            <w:r>
              <w:rPr/>
              <w:t>23.4 A</w:t>
            </w:r>
          </w:p>
        </w:tc>
      </w:tr>
      <w:tr>
        <w:trPr/>
        <w:tc>
          <w:tcPr>
            <w:tcW w:w="2428" w:type="dxa"/>
            <w:tcBorders/>
            <w:shd w:color="auto" w:fill="auto" w:val="clear"/>
          </w:tcPr>
          <w:p>
            <w:pPr>
              <w:pStyle w:val="TableContents"/>
              <w:keepNext w:val="true"/>
              <w:jc w:val="center"/>
              <w:rPr/>
            </w:pPr>
            <w:r>
              <w:rPr/>
              <w:t>Armature Winding</w:t>
            </w:r>
          </w:p>
        </w:tc>
        <w:tc>
          <w:tcPr>
            <w:tcW w:w="2525" w:type="dxa"/>
            <w:tcBorders/>
            <w:shd w:color="auto" w:fill="auto" w:val="clear"/>
          </w:tcPr>
          <w:p>
            <w:pPr>
              <w:pStyle w:val="TableContents"/>
              <w:jc w:val="center"/>
              <w:rPr/>
            </w:pPr>
            <w:r>
              <w:rPr/>
              <w:t>0.8 Ω, 12.5 mH</w:t>
            </w:r>
          </w:p>
        </w:tc>
      </w:tr>
      <w:tr>
        <w:trPr/>
        <w:tc>
          <w:tcPr>
            <w:tcW w:w="2428" w:type="dxa"/>
            <w:tcBorders/>
            <w:shd w:color="auto" w:fill="auto" w:val="clear"/>
          </w:tcPr>
          <w:p>
            <w:pPr>
              <w:pStyle w:val="TableContents"/>
              <w:keepNext w:val="true"/>
              <w:jc w:val="center"/>
              <w:rPr/>
            </w:pPr>
            <w:r>
              <w:rPr/>
              <w:t>Shunt Winding</w:t>
            </w:r>
          </w:p>
        </w:tc>
        <w:tc>
          <w:tcPr>
            <w:tcW w:w="2525" w:type="dxa"/>
            <w:tcBorders/>
            <w:shd w:color="auto" w:fill="auto" w:val="clear"/>
          </w:tcPr>
          <w:p>
            <w:pPr>
              <w:pStyle w:val="TableContents"/>
              <w:jc w:val="center"/>
              <w:rPr/>
            </w:pPr>
            <w:r>
              <w:rPr/>
              <w:t>210 Ω, 23 H</w:t>
            </w:r>
          </w:p>
        </w:tc>
      </w:tr>
      <w:tr>
        <w:trPr/>
        <w:tc>
          <w:tcPr>
            <w:tcW w:w="2428" w:type="dxa"/>
            <w:tcBorders>
              <w:bottom w:val="single" w:sz="12" w:space="0" w:color="000000"/>
            </w:tcBorders>
            <w:shd w:color="auto" w:fill="auto" w:val="clear"/>
          </w:tcPr>
          <w:p>
            <w:pPr>
              <w:pStyle w:val="TableContents"/>
              <w:jc w:val="center"/>
              <w:rPr/>
            </w:pPr>
            <w:r>
              <w:rPr/>
              <w:t>Interpoles Winding</w:t>
            </w:r>
          </w:p>
        </w:tc>
        <w:tc>
          <w:tcPr>
            <w:tcW w:w="2525"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4"/>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4"/>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6"/>
        <w:gridCol w:w="1170"/>
        <w:gridCol w:w="1173"/>
        <w:gridCol w:w="1303"/>
        <w:gridCol w:w="1560"/>
      </w:tblGrid>
      <w:tr>
        <w:trPr>
          <w:tblHeader w:val="true"/>
        </w:trPr>
        <w:tc>
          <w:tcPr>
            <w:tcW w:w="2426"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6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6" w:type="dxa"/>
            <w:tcBorders/>
            <w:shd w:color="auto" w:fill="auto" w:val="clear"/>
          </w:tcPr>
          <w:p>
            <w:pPr>
              <w:pStyle w:val="TableContents"/>
              <w:keepNext w:val="true"/>
              <w:jc w:val="center"/>
              <w:rPr>
                <w:color w:val="000000"/>
              </w:rPr>
            </w:pPr>
            <w:r>
              <w:rPr>
                <w:color w:val="000000"/>
              </w:rPr>
              <w:t>Starting</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60" w:type="dxa"/>
            <w:tcBorders/>
            <w:shd w:color="auto" w:fill="auto" w:val="clear"/>
          </w:tcPr>
          <w:p>
            <w:pPr>
              <w:pStyle w:val="TableContents"/>
              <w:jc w:val="center"/>
              <w:rPr>
                <w:color w:val="000000"/>
              </w:rPr>
            </w:pPr>
            <w:r>
              <w:rPr>
                <w:color w:val="000000"/>
              </w:rPr>
              <w:t>283</w:t>
            </w:r>
          </w:p>
        </w:tc>
      </w:tr>
      <w:tr>
        <w:trPr/>
        <w:tc>
          <w:tcPr>
            <w:tcW w:w="2426" w:type="dxa"/>
            <w:tcBorders/>
            <w:shd w:color="auto" w:fill="auto" w:val="clear"/>
          </w:tcPr>
          <w:p>
            <w:pPr>
              <w:pStyle w:val="TableContents"/>
              <w:keepNext w:val="true"/>
              <w:jc w:val="center"/>
              <w:rPr>
                <w:color w:val="000000"/>
              </w:rPr>
            </w:pPr>
            <w:r>
              <w:rPr>
                <w:color w:val="000000"/>
              </w:rPr>
              <w:t>No Load</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60" w:type="dxa"/>
            <w:tcBorders/>
            <w:shd w:color="auto" w:fill="auto" w:val="clear"/>
          </w:tcPr>
          <w:p>
            <w:pPr>
              <w:pStyle w:val="TableContents"/>
              <w:jc w:val="center"/>
              <w:rPr>
                <w:color w:val="000000"/>
              </w:rPr>
            </w:pPr>
            <w:r>
              <w:rPr>
                <w:color w:val="000000"/>
              </w:rPr>
              <w:t>2.6</w:t>
            </w:r>
          </w:p>
        </w:tc>
      </w:tr>
      <w:tr>
        <w:trPr/>
        <w:tc>
          <w:tcPr>
            <w:tcW w:w="2426" w:type="dxa"/>
            <w:tcBorders/>
            <w:shd w:color="auto" w:fill="auto" w:val="clear"/>
          </w:tcPr>
          <w:p>
            <w:pPr>
              <w:pStyle w:val="TableContents"/>
              <w:keepNext w:val="true"/>
              <w:jc w:val="center"/>
              <w:rPr>
                <w:color w:val="000000"/>
              </w:rPr>
            </w:pPr>
            <w:r>
              <w:rPr>
                <w:color w:val="000000"/>
              </w:rPr>
              <w:t>Kettle Load (1600 W)</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60" w:type="dxa"/>
            <w:tcBorders/>
            <w:shd w:color="auto" w:fill="auto" w:val="clear"/>
          </w:tcPr>
          <w:p>
            <w:pPr>
              <w:pStyle w:val="TableContents"/>
              <w:jc w:val="center"/>
              <w:rPr>
                <w:color w:val="000000"/>
              </w:rPr>
            </w:pPr>
            <w:r>
              <w:rPr>
                <w:color w:val="000000"/>
              </w:rPr>
              <w:t>15.4</w:t>
            </w:r>
          </w:p>
        </w:tc>
      </w:tr>
      <w:tr>
        <w:trPr/>
        <w:tc>
          <w:tcPr>
            <w:tcW w:w="2426"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0" w:type="dxa"/>
            <w:tcBorders>
              <w:bottom w:val="single" w:sz="12" w:space="0" w:color="000000"/>
            </w:tcBorders>
            <w:shd w:color="auto" w:fill="auto" w:val="clear"/>
          </w:tcPr>
          <w:p>
            <w:pPr>
              <w:pStyle w:val="TableContents"/>
              <w:jc w:val="center"/>
              <w:rPr>
                <w:color w:val="000000"/>
              </w:rPr>
            </w:pPr>
            <w:r>
              <w:rPr>
                <w:color w:val="000000"/>
              </w:rPr>
              <w:t>220</w:t>
            </w:r>
          </w:p>
        </w:tc>
        <w:tc>
          <w:tcPr>
            <w:tcW w:w="1173"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60"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3"/>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4"/>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4"/>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4"/>
        </w:numPr>
        <w:rPr/>
      </w:pPr>
      <w:bookmarkStart w:id="13" w:name="__RefHeading___Toc6593_3320701940"/>
      <w:bookmarkEnd w:id="13"/>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A schematic of the circuit we designed is shown in </w:t>
      </w:r>
      <w:r>
        <w:rPr/>
        <w:fldChar w:fldCharType="begin"/>
      </w:r>
      <w:r>
        <w:rPr/>
        <w:instrText> REF Ref_Figure6_label_and_number \h </w:instrText>
      </w:r>
      <w:r>
        <w:rPr/>
        <w:fldChar w:fldCharType="separate"/>
      </w:r>
      <w:r>
        <w:rPr/>
        <w:t>Figure 3</w:t>
      </w:r>
      <w:r>
        <w:rPr/>
        <w:fldChar w:fldCharType="end"/>
      </w:r>
      <w:r>
        <w:rPr/>
        <w:t>.</w:t>
      </w:r>
    </w:p>
    <w:p>
      <w:pPr>
        <w:pStyle w:val="Normal"/>
        <w:keepNext w:val="true"/>
        <w:jc w:val="center"/>
        <w:rPr/>
      </w:pPr>
      <w:r>
        <w:rPr/>
        <w:drawing>
          <wp:inline distT="0" distB="0" distL="0" distR="0">
            <wp:extent cx="4122420" cy="40170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122420" cy="4017010"/>
                    </a:xfrm>
                    <a:prstGeom prst="rect">
                      <a:avLst/>
                    </a:prstGeom>
                  </pic:spPr>
                </pic:pic>
              </a:graphicData>
            </a:graphic>
          </wp:inline>
        </w:drawing>
      </w:r>
    </w:p>
    <w:p>
      <w:pPr>
        <w:pStyle w:val="Figure"/>
        <w:rPr/>
      </w:pPr>
      <w:bookmarkStart w:id="14" w:name="__DdeLink__1469_4136061711"/>
      <w:r>
        <w:rPr>
          <w:vanish/>
        </w:rPr>
        <w:br/>
      </w:r>
      <w:bookmarkStart w:id="15" w:name="Ref_Figure6_label_and_number"/>
      <w:r>
        <w:rPr/>
        <w:t xml:space="preserve">Figure </w:t>
      </w:r>
      <w:r>
        <w:rPr/>
        <w:fldChar w:fldCharType="begin"/>
      </w:r>
      <w:r>
        <w:rPr/>
        <w:instrText> SEQ Figure \* ARABIC </w:instrText>
      </w:r>
      <w:r>
        <w:rPr/>
        <w:fldChar w:fldCharType="separate"/>
      </w:r>
      <w:r>
        <w:rPr/>
        <w:t>3</w:t>
      </w:r>
      <w:r>
        <w:rPr/>
        <w:fldChar w:fldCharType="end"/>
      </w:r>
      <w:bookmarkEnd w:id="15"/>
      <w:r>
        <w:rPr/>
        <w:t>: TRIAC DC Motor Control Circuit</w:t>
      </w:r>
      <w:bookmarkEnd w:id="14"/>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Based on the selected BTA26 triac, the forward voltage was modeled as 1.3 V based on the datasheet maximum forward voltage drop for the triac. The triac was modeled with a resistance of 16 mΩ based on the dynamic resistance stated on the datasheet. The input resistance of the triac gate was modeled with a resistance of 1 kΩ since that gives a gate current pulse of 10-20 mA when the diac fires and seems to be in the right order of magnitude.</w:t>
      </w:r>
    </w:p>
    <w:p>
      <w:pPr>
        <w:pStyle w:val="TextBody"/>
        <w:rPr/>
      </w:pPr>
      <w:r>
        <w:rPr/>
        <w:t xml:space="preserve">A Simulink diac model was created by making the same counter-parallel connection as was done for the triac and then creating logic in the firing circuit such that the diac fires when the voltage across the device exceeds its characteristic turn-on voltage. </w:t>
      </w:r>
      <w:r>
        <w:rPr>
          <w:rFonts w:eastAsia="Noto Sans CJK SC Regular" w:cs="Lohit Devanagari"/>
          <w:color w:val="auto"/>
          <w:kern w:val="2"/>
          <w:sz w:val="24"/>
          <w:szCs w:val="24"/>
          <w:lang w:val="en-US" w:eastAsia="zh-CN" w:bidi="hi-IN"/>
        </w:rPr>
        <w:t>A</w:t>
      </w:r>
      <w:r>
        <w:rPr/>
        <w:t xml:space="preserve"> diac breakover voltage V</w:t>
      </w:r>
      <w:r>
        <w:rPr>
          <w:vertAlign w:val="subscript"/>
        </w:rPr>
        <w:t>bo</w:t>
      </w:r>
      <w:r>
        <w:rPr/>
        <w:t xml:space="preserve"> of 32 V </w:t>
      </w:r>
      <w:r>
        <w:rPr>
          <w:rFonts w:eastAsia="Noto Sans CJK SC Regular" w:cs="Lohit Devanagari"/>
          <w:color w:val="auto"/>
          <w:kern w:val="2"/>
          <w:sz w:val="24"/>
          <w:szCs w:val="24"/>
          <w:lang w:val="en-US" w:eastAsia="zh-CN" w:bidi="hi-IN"/>
        </w:rPr>
        <w:t>was used based on the selected DB3 diac. The DB3 has a minimum dynamic breakover voltage ΔV of 5V, so the diac was modeled with a forward voltage of 27 V.</w:t>
      </w:r>
    </w:p>
    <w:p>
      <w:pPr>
        <w:pStyle w:val="TextBody"/>
        <w:rPr/>
      </w:pPr>
      <w:r>
        <w:rPr/>
        <w:fldChar w:fldCharType="begin"/>
      </w:r>
      <w:r>
        <w:rPr/>
        <w:instrText> REF Ref_Figure7_label_and_number \h </w:instrText>
      </w:r>
      <w:r>
        <w:rPr/>
        <w:fldChar w:fldCharType="separate"/>
      </w:r>
      <w:r>
        <w:rPr/>
        <w:t>Figure 4</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16" w:name="Ref_Figure7_label_and_number"/>
      <w:bookmarkStart w:id="17" w:name="Ref_Figure6_label_and_number1"/>
      <w:r>
        <w:rPr/>
        <w:t xml:space="preserve">Figure </w:t>
      </w:r>
      <w:r>
        <w:rPr/>
        <w:fldChar w:fldCharType="begin"/>
      </w:r>
      <w:r>
        <w:rPr/>
        <w:instrText> SEQ Figure \* ARABIC </w:instrText>
      </w:r>
      <w:r>
        <w:rPr/>
        <w:fldChar w:fldCharType="separate"/>
      </w:r>
      <w:r>
        <w:rPr/>
        <w:t>4</w:t>
      </w:r>
      <w:r>
        <w:rPr/>
        <w:fldChar w:fldCharType="end"/>
      </w:r>
      <w:bookmarkEnd w:id="16"/>
      <w:bookmarkEnd w:id="17"/>
      <w:r>
        <w:rPr/>
        <w:t>: Triac-Diac Simulink Model</w:t>
      </w:r>
    </w:p>
    <w:p>
      <w:pPr>
        <w:pStyle w:val="Heading3"/>
        <w:numPr>
          <w:ilvl w:val="2"/>
          <w:numId w:val="2"/>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R1,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5</w:t>
      </w:r>
      <w:r>
        <w:rPr/>
        <w:fldChar w:fldCharType="end"/>
      </w:r>
      <w:r>
        <w:rPr/>
        <w:t>.</w:t>
      </w:r>
    </w:p>
    <w:p>
      <w:pPr>
        <w:pStyle w:val="Normal"/>
        <w:keepNext w:val="true"/>
        <w:jc w:val="center"/>
        <w:rPr/>
      </w:pPr>
      <w:r>
        <w:rPr/>
        <w:drawing>
          <wp:inline distT="0" distB="0" distL="0" distR="0">
            <wp:extent cx="3657600" cy="261493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657600" cy="2614930"/>
                    </a:xfrm>
                    <a:prstGeom prst="rect">
                      <a:avLst/>
                    </a:prstGeom>
                  </pic:spPr>
                </pic:pic>
              </a:graphicData>
            </a:graphic>
          </wp:inline>
        </w:drawing>
      </w:r>
    </w:p>
    <w:p>
      <w:pPr>
        <w:pStyle w:val="Figure"/>
        <w:rPr/>
      </w:pPr>
      <w:bookmarkStart w:id="18" w:name="__DdeLink__1493_278814706"/>
      <w:bookmarkStart w:id="19" w:name="Ref_Figure8_label_and_number"/>
      <w:bookmarkStart w:id="20" w:name="Ref_Figure6_label_and_number11"/>
      <w:r>
        <w:rPr/>
        <w:t xml:space="preserve">Figure </w:t>
      </w:r>
      <w:r>
        <w:rPr/>
        <w:fldChar w:fldCharType="begin"/>
      </w:r>
      <w:r>
        <w:rPr/>
        <w:instrText> SEQ Figure \* ARABIC </w:instrText>
      </w:r>
      <w:r>
        <w:rPr/>
        <w:fldChar w:fldCharType="separate"/>
      </w:r>
      <w:r>
        <w:rPr/>
        <w:t>5</w:t>
      </w:r>
      <w:r>
        <w:rPr/>
        <w:fldChar w:fldCharType="end"/>
      </w:r>
      <w:bookmarkEnd w:id="19"/>
      <w:bookmarkEnd w:id="20"/>
      <w:r>
        <w:rPr/>
        <w:t>: Triac-Diac Simulink Results with Small Resistive Load</w:t>
      </w:r>
      <w:bookmarkEnd w:id="18"/>
    </w:p>
    <w:p>
      <w:pPr>
        <w:pStyle w:val="TextBody"/>
        <w:rPr/>
      </w:pPr>
      <w:r>
        <w:rPr/>
        <w:t xml:space="preserve">As can be seen from </w:t>
      </w:r>
      <w:r>
        <w:rPr/>
        <w:fldChar w:fldCharType="begin"/>
      </w:r>
      <w:r>
        <w:rPr/>
        <w:instrText> REF Ref_Figure8_label_and_number \h </w:instrText>
      </w:r>
      <w:r>
        <w:rPr/>
        <w:fldChar w:fldCharType="separate"/>
      </w:r>
      <w:r>
        <w:rPr/>
        <w:t>Figure 5</w:t>
      </w:r>
      <w:r>
        <w:rPr/>
        <w:fldChar w:fldCharType="end"/>
      </w:r>
      <w:r>
        <w:rPr/>
        <w:t xml:space="preserve">, the diac firing circuit is limited in its ability to fire at angles near 0° and near 90°. </w:t>
      </w:r>
      <w:r>
        <w:rPr>
          <w:rFonts w:eastAsia="Noto Sans CJK SC Regular" w:cs="Lohit Devanagari"/>
          <w:color w:val="auto"/>
          <w:kern w:val="2"/>
          <w:sz w:val="24"/>
          <w:szCs w:val="24"/>
          <w:lang w:val="en-US" w:eastAsia="zh-CN" w:bidi="hi-IN"/>
        </w:rPr>
        <w:t>From what we have read about diac-triac circuits, this “snapping on” behavior is typical of this type of circuit, and we observed it during testing as well.</w:t>
      </w:r>
    </w:p>
    <w:p>
      <w:pPr>
        <w:pStyle w:val="Heading3"/>
        <w:numPr>
          <w:ilvl w:val="2"/>
          <w:numId w:val="2"/>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w:t>
      </w:r>
      <w:r>
        <w:rPr>
          <w:rFonts w:eastAsia="Noto Sans CJK SC Regular" w:cs="Lohit Devanagari"/>
          <w:color w:val="auto"/>
          <w:kern w:val="2"/>
          <w:sz w:val="24"/>
          <w:szCs w:val="24"/>
          <w:lang w:val="en-US" w:eastAsia="zh-CN" w:bidi="hi-IN"/>
        </w:rPr>
        <w:t>1</w:t>
      </w:r>
      <w:r>
        <w:rPr/>
        <w:t xml:space="preserve">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6</w:t>
      </w:r>
      <w:r>
        <w:rPr/>
        <w:fldChar w:fldCharType="end"/>
      </w:r>
      <w:r>
        <w:rPr/>
        <w:t xml:space="preserve"> </w:t>
      </w:r>
      <w:r>
        <w:rPr/>
        <w:t>shows the output voltage and current waveforms for the simulations of the triac-based control model.</w:t>
      </w:r>
    </w:p>
    <w:p>
      <w:pPr>
        <w:pStyle w:val="Normal"/>
        <w:jc w:val="center"/>
        <w:rPr/>
      </w:pPr>
      <w:bookmarkStart w:id="21" w:name="__DdeLink__1632_377958639"/>
      <w:r>
        <w:rPr/>
        <w:drawing>
          <wp:inline distT="0" distB="0" distL="0" distR="0">
            <wp:extent cx="3657600" cy="261493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657600" cy="2614930"/>
                    </a:xfrm>
                    <a:prstGeom prst="rect">
                      <a:avLst/>
                    </a:prstGeom>
                  </pic:spPr>
                </pic:pic>
              </a:graphicData>
            </a:graphic>
          </wp:inline>
        </w:drawing>
      </w:r>
    </w:p>
    <w:p>
      <w:pPr>
        <w:pStyle w:val="Figure"/>
        <w:rPr/>
      </w:pPr>
      <w:bookmarkStart w:id="22" w:name="Ref_Figure9_label_and_number"/>
      <w:bookmarkStart w:id="23" w:name="Ref_Figure6_label_and_number111"/>
      <w:r>
        <w:rPr/>
        <w:t xml:space="preserve">Figure </w:t>
      </w:r>
      <w:r>
        <w:rPr/>
        <w:fldChar w:fldCharType="begin"/>
      </w:r>
      <w:r>
        <w:rPr/>
        <w:instrText> SEQ Figure \* ARABIC </w:instrText>
      </w:r>
      <w:r>
        <w:rPr/>
        <w:fldChar w:fldCharType="separate"/>
      </w:r>
      <w:r>
        <w:rPr/>
        <w:t>6</w:t>
      </w:r>
      <w:r>
        <w:rPr/>
        <w:fldChar w:fldCharType="end"/>
      </w:r>
      <w:bookmarkEnd w:id="22"/>
      <w:bookmarkEnd w:id="23"/>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6</w:t>
      </w:r>
      <w:r>
        <w:rPr/>
        <w:fldChar w:fldCharType="end"/>
      </w:r>
      <w:r>
        <w:rPr/>
        <w:t>, we can see that the output current is continuous only for the starting case. In the other two load cases, current was discontinuous. This is largely due to the use of a single-phase AC voltage source rather than three-phase.</w:t>
      </w:r>
      <w:bookmarkEnd w:id="21"/>
    </w:p>
    <w:p>
      <w:pPr>
        <w:pStyle w:val="Normal"/>
        <w:jc w:val="center"/>
        <w:rPr/>
      </w:pPr>
      <w:r>
        <w:rPr/>
        <w:drawing>
          <wp:inline distT="0" distB="0" distL="0" distR="0">
            <wp:extent cx="3657600" cy="26149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657600" cy="2614930"/>
                    </a:xfrm>
                    <a:prstGeom prst="rect">
                      <a:avLst/>
                    </a:prstGeom>
                  </pic:spPr>
                </pic:pic>
              </a:graphicData>
            </a:graphic>
          </wp:inline>
        </w:drawing>
      </w:r>
    </w:p>
    <w:p>
      <w:pPr>
        <w:pStyle w:val="Figure"/>
        <w:rPr/>
      </w:pPr>
      <w:bookmarkStart w:id="24" w:name="Ref_Figure6_label_and_number1111"/>
      <w:bookmarkStart w:id="25" w:name="Ref_Figure9_label_and_number1"/>
      <w:bookmarkStart w:id="26" w:name="Ref_Figure6_label_and_number2"/>
      <w:r>
        <w:rPr/>
        <w:t xml:space="preserve">Figure </w:t>
      </w:r>
      <w:r>
        <w:rPr/>
        <w:fldChar w:fldCharType="begin"/>
      </w:r>
      <w:r>
        <w:rPr/>
        <w:instrText> SEQ Figure \* ARABIC </w:instrText>
      </w:r>
      <w:r>
        <w:rPr/>
        <w:fldChar w:fldCharType="separate"/>
      </w:r>
      <w:r>
        <w:rPr/>
        <w:t>7</w:t>
      </w:r>
      <w:r>
        <w:rPr/>
        <w:fldChar w:fldCharType="end"/>
      </w:r>
      <w:bookmarkEnd w:id="24"/>
      <w:bookmarkEnd w:id="25"/>
      <w:bookmarkEnd w:id="26"/>
      <w:r>
        <w:rPr/>
        <w:t>: Triac-Diac Control Voltage &amp; Current</w:t>
      </w:r>
    </w:p>
    <w:p>
      <w:pPr>
        <w:pStyle w:val="TextBody"/>
        <w:rPr/>
      </w:pPr>
      <w:r>
        <w:rPr/>
        <w:t xml:space="preserve">In </w:t>
      </w:r>
      <w:r>
        <w:rPr/>
        <w:fldChar w:fldCharType="begin"/>
      </w:r>
      <w:r>
        <w:rPr/>
        <w:instrText> REF Ref_Figure6_label_and_number \h </w:instrText>
      </w:r>
      <w:r>
        <w:rPr/>
        <w:fldChar w:fldCharType="separate"/>
      </w:r>
      <w:r>
        <w:rPr/>
        <w:t>Figure 3</w:t>
      </w:r>
      <w:r>
        <w:rPr/>
        <w:fldChar w:fldCharType="end"/>
      </w:r>
      <w:r>
        <w:rPr/>
        <w:t>, the diac control voltage and current are shown for the kettle load simulation. This is provided for comparison against oscillography recorded during testing.</w:t>
      </w:r>
    </w:p>
    <w:p>
      <w:pPr>
        <w:pStyle w:val="TextBody"/>
        <w:rPr/>
      </w:pPr>
      <w:bookmarkStart w:id="27" w:name="__RefHeading___Toc6595_3320701940"/>
      <w:bookmarkEnd w:id="27"/>
      <w:r>
        <w:rPr/>
        <w:t xml:space="preserve">Tables </w:t>
      </w:r>
      <w:r>
        <w:rPr/>
        <w:fldChar w:fldCharType="begin"/>
      </w:r>
      <w:r>
        <w:rPr/>
        <w:instrText> REF Ref_Table8_number_only \h </w:instrText>
      </w:r>
      <w:r>
        <w:rPr/>
        <w:fldChar w:fldCharType="separate"/>
      </w:r>
      <w:r>
        <w:rPr/>
        <w:t>3</w:t>
      </w:r>
      <w:r>
        <w:rPr/>
        <w:fldChar w:fldCharType="end"/>
      </w:r>
      <w:r>
        <w:rPr/>
        <w:t xml:space="preserve"> and </w:t>
      </w:r>
      <w:r>
        <w:rPr/>
        <w:fldChar w:fldCharType="begin"/>
      </w:r>
      <w:r>
        <w:rPr/>
        <w:instrText> REF Ref_Table10_number_only \h </w:instrText>
      </w:r>
      <w:r>
        <w:rPr/>
        <w:fldChar w:fldCharType="separate"/>
      </w:r>
      <w:r>
        <w:rPr/>
        <w:t>4</w:t>
      </w:r>
      <w:r>
        <w:rPr/>
        <w:fldChar w:fldCharType="end"/>
      </w:r>
      <w:r>
        <w:rPr/>
        <w:t xml:space="preserve"> show summary values of the input and output side voltages and currents from the simulations.</w:t>
      </w:r>
    </w:p>
    <w:p>
      <w:pPr>
        <w:pStyle w:val="Table"/>
        <w:keepNext w:val="true"/>
        <w:rPr/>
      </w:pPr>
      <w:bookmarkStart w:id="28" w:name="_Ref263082311"/>
      <w:r>
        <w:rPr/>
        <w:t xml:space="preserve">Table </w:t>
      </w:r>
      <w:bookmarkStart w:id="29" w:name="Ref_Table8_number_only"/>
      <w:bookmarkStart w:id="30" w:name="Ref_Table5_number_only1"/>
      <w:r>
        <w:rPr/>
        <w:fldChar w:fldCharType="begin"/>
      </w:r>
      <w:r>
        <w:rPr/>
        <w:instrText> SEQ Table \* ARABIC </w:instrText>
      </w:r>
      <w:r>
        <w:rPr/>
        <w:fldChar w:fldCharType="separate"/>
      </w:r>
      <w:r>
        <w:rPr/>
        <w:t>3</w:t>
      </w:r>
      <w:r>
        <w:rPr/>
        <w:fldChar w:fldCharType="end"/>
      </w:r>
      <w:bookmarkEnd w:id="28"/>
      <w:bookmarkEnd w:id="29"/>
      <w:bookmarkEnd w:id="30"/>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5"/>
        <w:gridCol w:w="984"/>
        <w:gridCol w:w="999"/>
        <w:gridCol w:w="982"/>
        <w:gridCol w:w="874"/>
        <w:gridCol w:w="999"/>
        <w:gridCol w:w="1005"/>
        <w:gridCol w:w="1184"/>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5"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2"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4"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9"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4"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5" w:type="dxa"/>
            <w:tcBorders/>
            <w:shd w:color="auto" w:fill="auto" w:val="clear"/>
          </w:tcPr>
          <w:p>
            <w:pPr>
              <w:pStyle w:val="TableContents"/>
              <w:jc w:val="center"/>
              <w:rPr/>
            </w:pPr>
            <w:r>
              <w:rPr/>
              <w:t>137</w:t>
            </w:r>
          </w:p>
        </w:tc>
        <w:tc>
          <w:tcPr>
            <w:tcW w:w="984" w:type="dxa"/>
            <w:tcBorders/>
            <w:shd w:color="auto" w:fill="auto" w:val="clear"/>
          </w:tcPr>
          <w:p>
            <w:pPr>
              <w:pStyle w:val="TableContents"/>
              <w:jc w:val="center"/>
              <w:rPr/>
            </w:pPr>
            <w:r>
              <w:rPr/>
              <w:t>219.8</w:t>
            </w:r>
          </w:p>
        </w:tc>
        <w:tc>
          <w:tcPr>
            <w:tcW w:w="999" w:type="dxa"/>
            <w:tcBorders/>
            <w:shd w:color="auto" w:fill="auto" w:val="clear"/>
          </w:tcPr>
          <w:p>
            <w:pPr>
              <w:pStyle w:val="TableContents"/>
              <w:jc w:val="center"/>
              <w:rPr/>
            </w:pPr>
            <w:r>
              <w:rPr/>
              <w:t>6.48</w:t>
            </w:r>
          </w:p>
        </w:tc>
        <w:tc>
          <w:tcPr>
            <w:tcW w:w="982" w:type="dxa"/>
            <w:tcBorders/>
            <w:shd w:color="auto" w:fill="auto" w:val="clear"/>
          </w:tcPr>
          <w:p>
            <w:pPr>
              <w:pStyle w:val="TableContents"/>
              <w:jc w:val="center"/>
              <w:rPr/>
            </w:pPr>
            <w:r>
              <w:rPr/>
              <w:t>179.1</w:t>
            </w:r>
          </w:p>
        </w:tc>
        <w:tc>
          <w:tcPr>
            <w:tcW w:w="874" w:type="dxa"/>
            <w:tcBorders/>
            <w:shd w:color="auto" w:fill="auto" w:val="clear"/>
          </w:tcPr>
          <w:p>
            <w:pPr>
              <w:pStyle w:val="TableContents"/>
              <w:jc w:val="center"/>
              <w:rPr/>
            </w:pPr>
            <w:r>
              <w:rPr/>
              <w:t>1414</w:t>
            </w:r>
          </w:p>
        </w:tc>
        <w:tc>
          <w:tcPr>
            <w:tcW w:w="999" w:type="dxa"/>
            <w:tcBorders/>
            <w:shd w:color="auto" w:fill="auto" w:val="clear"/>
          </w:tcPr>
          <w:p>
            <w:pPr>
              <w:pStyle w:val="TableContents"/>
              <w:jc w:val="center"/>
              <w:rPr/>
            </w:pPr>
            <w:r>
              <w:rPr/>
              <w:t>1425</w:t>
            </w:r>
          </w:p>
        </w:tc>
        <w:tc>
          <w:tcPr>
            <w:tcW w:w="1005" w:type="dxa"/>
            <w:tcBorders/>
            <w:shd w:color="auto" w:fill="auto" w:val="clear"/>
          </w:tcPr>
          <w:p>
            <w:pPr>
              <w:pStyle w:val="TableContents"/>
              <w:jc w:val="center"/>
              <w:rPr/>
            </w:pPr>
            <w:r>
              <w:rPr/>
              <w:t>0.13</w:t>
            </w:r>
          </w:p>
        </w:tc>
        <w:tc>
          <w:tcPr>
            <w:tcW w:w="1184" w:type="dxa"/>
            <w:tcBorders/>
            <w:shd w:color="auto" w:fill="auto" w:val="clear"/>
          </w:tcPr>
          <w:p>
            <w:pPr>
              <w:pStyle w:val="TableContents"/>
              <w:jc w:val="center"/>
              <w:rPr/>
            </w:pPr>
            <w:r>
              <w:rPr/>
              <w:t>135.2</w:t>
            </w:r>
          </w:p>
        </w:tc>
      </w:tr>
      <w:tr>
        <w:trPr/>
        <w:tc>
          <w:tcPr>
            <w:tcW w:w="1433" w:type="dxa"/>
            <w:tcBorders/>
            <w:shd w:color="auto" w:fill="auto" w:val="clear"/>
          </w:tcPr>
          <w:p>
            <w:pPr>
              <w:pStyle w:val="TableContents"/>
              <w:keepNext w:val="true"/>
              <w:jc w:val="center"/>
              <w:rPr/>
            </w:pPr>
            <w:r>
              <w:rPr/>
              <w:t>No Load</w:t>
            </w:r>
          </w:p>
        </w:tc>
        <w:tc>
          <w:tcPr>
            <w:tcW w:w="725" w:type="dxa"/>
            <w:tcBorders/>
            <w:shd w:color="auto" w:fill="auto" w:val="clear"/>
          </w:tcPr>
          <w:p>
            <w:pPr>
              <w:pStyle w:val="TableContents"/>
              <w:jc w:val="center"/>
              <w:rPr/>
            </w:pPr>
            <w:r>
              <w:rPr/>
              <w:t>21</w:t>
            </w:r>
          </w:p>
        </w:tc>
        <w:tc>
          <w:tcPr>
            <w:tcW w:w="984" w:type="dxa"/>
            <w:tcBorders/>
            <w:shd w:color="auto" w:fill="auto" w:val="clear"/>
          </w:tcPr>
          <w:p>
            <w:pPr>
              <w:pStyle w:val="TableContents"/>
              <w:jc w:val="center"/>
              <w:rPr/>
            </w:pPr>
            <w:r>
              <w:rPr/>
              <w:t>219.5</w:t>
            </w:r>
          </w:p>
        </w:tc>
        <w:tc>
          <w:tcPr>
            <w:tcW w:w="999" w:type="dxa"/>
            <w:tcBorders/>
            <w:shd w:color="auto" w:fill="auto" w:val="clear"/>
          </w:tcPr>
          <w:p>
            <w:pPr>
              <w:pStyle w:val="TableContents"/>
              <w:jc w:val="center"/>
              <w:rPr/>
            </w:pPr>
            <w:r>
              <w:rPr/>
              <w:t>8.22</w:t>
            </w:r>
          </w:p>
        </w:tc>
        <w:tc>
          <w:tcPr>
            <w:tcW w:w="982" w:type="dxa"/>
            <w:tcBorders/>
            <w:shd w:color="auto" w:fill="auto" w:val="clear"/>
          </w:tcPr>
          <w:p>
            <w:pPr>
              <w:pStyle w:val="TableContents"/>
              <w:jc w:val="center"/>
              <w:rPr/>
            </w:pPr>
            <w:r>
              <w:rPr/>
              <w:t>961.8</w:t>
            </w:r>
          </w:p>
        </w:tc>
        <w:tc>
          <w:tcPr>
            <w:tcW w:w="874" w:type="dxa"/>
            <w:tcBorders/>
            <w:shd w:color="auto" w:fill="auto" w:val="clear"/>
          </w:tcPr>
          <w:p>
            <w:pPr>
              <w:pStyle w:val="TableContents"/>
              <w:jc w:val="center"/>
              <w:rPr/>
            </w:pPr>
            <w:r>
              <w:rPr/>
              <w:t>1526</w:t>
            </w:r>
          </w:p>
        </w:tc>
        <w:tc>
          <w:tcPr>
            <w:tcW w:w="999" w:type="dxa"/>
            <w:tcBorders/>
            <w:shd w:color="auto" w:fill="auto" w:val="clear"/>
          </w:tcPr>
          <w:p>
            <w:pPr>
              <w:pStyle w:val="TableContents"/>
              <w:jc w:val="center"/>
              <w:rPr/>
            </w:pPr>
            <w:r>
              <w:rPr/>
              <w:t>1804</w:t>
            </w:r>
          </w:p>
        </w:tc>
        <w:tc>
          <w:tcPr>
            <w:tcW w:w="1005" w:type="dxa"/>
            <w:tcBorders/>
            <w:shd w:color="auto" w:fill="auto" w:val="clear"/>
          </w:tcPr>
          <w:p>
            <w:pPr>
              <w:pStyle w:val="TableContents"/>
              <w:jc w:val="center"/>
              <w:rPr/>
            </w:pPr>
            <w:r>
              <w:rPr/>
              <w:t>0.53</w:t>
            </w:r>
          </w:p>
        </w:tc>
        <w:tc>
          <w:tcPr>
            <w:tcW w:w="1184" w:type="dxa"/>
            <w:tcBorders/>
            <w:shd w:color="auto" w:fill="auto" w:val="clear"/>
          </w:tcPr>
          <w:p>
            <w:pPr>
              <w:pStyle w:val="TableContents"/>
              <w:jc w:val="center"/>
              <w:rPr/>
            </w:pPr>
            <w:r>
              <w:rPr/>
              <w:t>64.06</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5" w:type="dxa"/>
            <w:tcBorders>
              <w:bottom w:val="single" w:sz="12" w:space="0" w:color="000000"/>
            </w:tcBorders>
            <w:shd w:color="auto" w:fill="auto" w:val="clear"/>
          </w:tcPr>
          <w:p>
            <w:pPr>
              <w:pStyle w:val="TableContents"/>
              <w:jc w:val="center"/>
              <w:rPr/>
            </w:pPr>
            <w:r>
              <w:rPr/>
              <w:t>17</w:t>
            </w:r>
          </w:p>
        </w:tc>
        <w:tc>
          <w:tcPr>
            <w:tcW w:w="984" w:type="dxa"/>
            <w:tcBorders>
              <w:bottom w:val="single" w:sz="12" w:space="0" w:color="000000"/>
            </w:tcBorders>
            <w:shd w:color="auto" w:fill="auto" w:val="clear"/>
          </w:tcPr>
          <w:p>
            <w:pPr>
              <w:pStyle w:val="TableContents"/>
              <w:jc w:val="center"/>
              <w:rPr/>
            </w:pPr>
            <w:r>
              <w:rPr/>
              <w:t>218.8</w:t>
            </w:r>
          </w:p>
        </w:tc>
        <w:tc>
          <w:tcPr>
            <w:tcW w:w="999" w:type="dxa"/>
            <w:tcBorders>
              <w:bottom w:val="single" w:sz="12" w:space="0" w:color="000000"/>
            </w:tcBorders>
            <w:shd w:color="auto" w:fill="auto" w:val="clear"/>
          </w:tcPr>
          <w:p>
            <w:pPr>
              <w:pStyle w:val="TableContents"/>
              <w:jc w:val="center"/>
              <w:rPr/>
            </w:pPr>
            <w:r>
              <w:rPr/>
              <w:t>17.95</w:t>
            </w:r>
          </w:p>
        </w:tc>
        <w:tc>
          <w:tcPr>
            <w:tcW w:w="982" w:type="dxa"/>
            <w:tcBorders>
              <w:bottom w:val="single" w:sz="12" w:space="0" w:color="000000"/>
            </w:tcBorders>
            <w:shd w:color="auto" w:fill="auto" w:val="clear"/>
          </w:tcPr>
          <w:p>
            <w:pPr>
              <w:pStyle w:val="TableContents"/>
              <w:jc w:val="center"/>
              <w:rPr/>
            </w:pPr>
            <w:r>
              <w:rPr/>
              <w:t>2582</w:t>
            </w:r>
          </w:p>
        </w:tc>
        <w:tc>
          <w:tcPr>
            <w:tcW w:w="874" w:type="dxa"/>
            <w:tcBorders>
              <w:bottom w:val="single" w:sz="12" w:space="0" w:color="000000"/>
            </w:tcBorders>
            <w:shd w:color="auto" w:fill="auto" w:val="clear"/>
          </w:tcPr>
          <w:p>
            <w:pPr>
              <w:pStyle w:val="TableContents"/>
              <w:jc w:val="center"/>
              <w:rPr/>
            </w:pPr>
            <w:r>
              <w:rPr/>
              <w:t>2958</w:t>
            </w:r>
          </w:p>
        </w:tc>
        <w:tc>
          <w:tcPr>
            <w:tcW w:w="999" w:type="dxa"/>
            <w:tcBorders>
              <w:bottom w:val="single" w:sz="12" w:space="0" w:color="000000"/>
            </w:tcBorders>
            <w:shd w:color="auto" w:fill="auto" w:val="clear"/>
          </w:tcPr>
          <w:p>
            <w:pPr>
              <w:pStyle w:val="TableContents"/>
              <w:jc w:val="center"/>
              <w:rPr/>
            </w:pPr>
            <w:r>
              <w:rPr/>
              <w:t>3926</w:t>
            </w:r>
          </w:p>
        </w:tc>
        <w:tc>
          <w:tcPr>
            <w:tcW w:w="1005" w:type="dxa"/>
            <w:tcBorders>
              <w:bottom w:val="single" w:sz="12" w:space="0" w:color="000000"/>
            </w:tcBorders>
            <w:shd w:color="auto" w:fill="auto" w:val="clear"/>
          </w:tcPr>
          <w:p>
            <w:pPr>
              <w:pStyle w:val="TableContents"/>
              <w:jc w:val="center"/>
              <w:rPr/>
            </w:pPr>
            <w:r>
              <w:rPr/>
              <w:t>0.66</w:t>
            </w:r>
          </w:p>
        </w:tc>
        <w:tc>
          <w:tcPr>
            <w:tcW w:w="1184" w:type="dxa"/>
            <w:tcBorders>
              <w:bottom w:val="single" w:sz="12" w:space="0" w:color="000000"/>
            </w:tcBorders>
            <w:shd w:color="auto" w:fill="auto" w:val="clear"/>
          </w:tcPr>
          <w:p>
            <w:pPr>
              <w:pStyle w:val="TableContents"/>
              <w:jc w:val="center"/>
              <w:rPr/>
            </w:pPr>
            <w:r>
              <w:rPr/>
              <w:t>39.31</w:t>
            </w:r>
          </w:p>
        </w:tc>
      </w:tr>
    </w:tbl>
    <w:p>
      <w:pPr>
        <w:pStyle w:val="Table"/>
        <w:keepNext w:val="true"/>
        <w:rPr/>
      </w:pPr>
      <w:r>
        <w:rPr/>
      </w:r>
    </w:p>
    <w:p>
      <w:pPr>
        <w:pStyle w:val="Table"/>
        <w:keepNext w:val="true"/>
        <w:rPr/>
      </w:pPr>
      <w:bookmarkStart w:id="31" w:name="_Ref263095321"/>
      <w:r>
        <w:rPr/>
        <w:t xml:space="preserve">Table </w:t>
      </w:r>
      <w:bookmarkStart w:id="32" w:name="Ref_Table10_number_only"/>
      <w:bookmarkStart w:id="33" w:name="Ref_Table7_number_only1"/>
      <w:r>
        <w:rPr/>
        <w:fldChar w:fldCharType="begin"/>
      </w:r>
      <w:r>
        <w:rPr/>
        <w:instrText> SEQ Table \* ARABIC </w:instrText>
      </w:r>
      <w:r>
        <w:rPr/>
        <w:fldChar w:fldCharType="separate"/>
      </w:r>
      <w:r>
        <w:rPr/>
        <w:t>4</w:t>
      </w:r>
      <w:r>
        <w:rPr/>
        <w:fldChar w:fldCharType="end"/>
      </w:r>
      <w:bookmarkEnd w:id="31"/>
      <w:bookmarkEnd w:id="32"/>
      <w:bookmarkEnd w:id="33"/>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10.46</w:t>
            </w:r>
          </w:p>
        </w:tc>
        <w:tc>
          <w:tcPr>
            <w:tcW w:w="998" w:type="dxa"/>
            <w:tcBorders/>
            <w:shd w:color="auto" w:fill="auto" w:val="clear"/>
          </w:tcPr>
          <w:p>
            <w:pPr>
              <w:pStyle w:val="TableContents"/>
              <w:jc w:val="center"/>
              <w:rPr/>
            </w:pPr>
            <w:r>
              <w:rPr/>
              <w:t>152.3</w:t>
            </w:r>
          </w:p>
        </w:tc>
        <w:tc>
          <w:tcPr>
            <w:tcW w:w="1005" w:type="dxa"/>
            <w:tcBorders/>
            <w:shd w:color="auto" w:fill="auto" w:val="clear"/>
          </w:tcPr>
          <w:p>
            <w:pPr>
              <w:pStyle w:val="TableContents"/>
              <w:jc w:val="center"/>
              <w:rPr/>
            </w:pPr>
            <w:r>
              <w:rPr/>
              <w:t>13.21</w:t>
            </w:r>
          </w:p>
        </w:tc>
        <w:tc>
          <w:tcPr>
            <w:tcW w:w="1004" w:type="dxa"/>
            <w:tcBorders/>
            <w:shd w:color="auto" w:fill="auto" w:val="clear"/>
          </w:tcPr>
          <w:p>
            <w:pPr>
              <w:pStyle w:val="TableContents"/>
              <w:jc w:val="center"/>
              <w:rPr/>
            </w:pPr>
            <w:r>
              <w:rPr/>
              <w:t>8.67</w:t>
            </w:r>
          </w:p>
        </w:tc>
        <w:tc>
          <w:tcPr>
            <w:tcW w:w="1077" w:type="dxa"/>
            <w:tcBorders/>
            <w:shd w:color="auto" w:fill="auto" w:val="clear"/>
          </w:tcPr>
          <w:p>
            <w:pPr>
              <w:pStyle w:val="TableContents"/>
              <w:jc w:val="center"/>
              <w:rPr/>
            </w:pPr>
            <w:r>
              <w:rPr/>
              <w:t>143</w:t>
            </w:r>
          </w:p>
        </w:tc>
        <w:tc>
          <w:tcPr>
            <w:tcW w:w="1281" w:type="dxa"/>
            <w:tcBorders/>
            <w:shd w:color="auto" w:fill="auto" w:val="clear"/>
          </w:tcPr>
          <w:p>
            <w:pPr>
              <w:pStyle w:val="TableContents"/>
              <w:jc w:val="center"/>
              <w:rPr/>
            </w:pPr>
            <w:r>
              <w:rPr/>
              <w:t>79.87</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175.1</w:t>
            </w:r>
          </w:p>
        </w:tc>
        <w:tc>
          <w:tcPr>
            <w:tcW w:w="998" w:type="dxa"/>
            <w:tcBorders/>
            <w:shd w:color="auto" w:fill="auto" w:val="clear"/>
          </w:tcPr>
          <w:p>
            <w:pPr>
              <w:pStyle w:val="TableContents"/>
              <w:jc w:val="center"/>
              <w:rPr/>
            </w:pPr>
            <w:r>
              <w:rPr/>
              <w:t>309</w:t>
            </w:r>
          </w:p>
        </w:tc>
        <w:tc>
          <w:tcPr>
            <w:tcW w:w="1005" w:type="dxa"/>
            <w:tcBorders/>
            <w:shd w:color="auto" w:fill="auto" w:val="clear"/>
          </w:tcPr>
          <w:p>
            <w:pPr>
              <w:pStyle w:val="TableContents"/>
              <w:jc w:val="center"/>
              <w:rPr/>
            </w:pPr>
            <w:r>
              <w:rPr/>
              <w:t>5.19</w:t>
            </w:r>
          </w:p>
        </w:tc>
        <w:tc>
          <w:tcPr>
            <w:tcW w:w="1004" w:type="dxa"/>
            <w:tcBorders/>
            <w:shd w:color="auto" w:fill="auto" w:val="clear"/>
          </w:tcPr>
          <w:p>
            <w:pPr>
              <w:pStyle w:val="TableContents"/>
              <w:jc w:val="center"/>
              <w:rPr/>
            </w:pPr>
            <w:r>
              <w:rPr/>
              <w:t>16.41</w:t>
            </w:r>
          </w:p>
        </w:tc>
        <w:tc>
          <w:tcPr>
            <w:tcW w:w="1077" w:type="dxa"/>
            <w:tcBorders/>
            <w:shd w:color="auto" w:fill="auto" w:val="clear"/>
          </w:tcPr>
          <w:p>
            <w:pPr>
              <w:pStyle w:val="TableContents"/>
              <w:jc w:val="center"/>
              <w:rPr/>
            </w:pPr>
            <w:r>
              <w:rPr/>
              <w:t>941</w:t>
            </w:r>
          </w:p>
        </w:tc>
        <w:tc>
          <w:tcPr>
            <w:tcW w:w="1281" w:type="dxa"/>
            <w:tcBorders/>
            <w:shd w:color="auto" w:fill="auto" w:val="clear"/>
          </w:tcPr>
          <w:p>
            <w:pPr>
              <w:pStyle w:val="TableContents"/>
              <w:jc w:val="center"/>
              <w:rPr/>
            </w:pPr>
            <w:r>
              <w:rPr/>
              <w:t>97.84</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175.1</w:t>
            </w:r>
          </w:p>
        </w:tc>
        <w:tc>
          <w:tcPr>
            <w:tcW w:w="998" w:type="dxa"/>
            <w:tcBorders>
              <w:bottom w:val="single" w:sz="12" w:space="0" w:color="000000"/>
            </w:tcBorders>
            <w:shd w:color="auto" w:fill="auto" w:val="clear"/>
          </w:tcPr>
          <w:p>
            <w:pPr>
              <w:pStyle w:val="TableContents"/>
              <w:jc w:val="center"/>
              <w:rPr/>
            </w:pPr>
            <w:r>
              <w:rPr/>
              <w:t>307.4</w:t>
            </w:r>
          </w:p>
        </w:tc>
        <w:tc>
          <w:tcPr>
            <w:tcW w:w="1005" w:type="dxa"/>
            <w:tcBorders>
              <w:bottom w:val="single" w:sz="12" w:space="0" w:color="000000"/>
            </w:tcBorders>
            <w:shd w:color="auto" w:fill="auto" w:val="clear"/>
          </w:tcPr>
          <w:p>
            <w:pPr>
              <w:pStyle w:val="TableContents"/>
              <w:jc w:val="center"/>
              <w:rPr/>
            </w:pPr>
            <w:r>
              <w:rPr/>
              <w:t>13.77</w:t>
            </w:r>
          </w:p>
        </w:tc>
        <w:tc>
          <w:tcPr>
            <w:tcW w:w="1004" w:type="dxa"/>
            <w:tcBorders>
              <w:bottom w:val="single" w:sz="12" w:space="0" w:color="000000"/>
            </w:tcBorders>
            <w:shd w:color="auto" w:fill="auto" w:val="clear"/>
          </w:tcPr>
          <w:p>
            <w:pPr>
              <w:pStyle w:val="TableContents"/>
              <w:jc w:val="center"/>
              <w:rPr/>
            </w:pPr>
            <w:r>
              <w:rPr/>
              <w:t>30.61</w:t>
            </w:r>
          </w:p>
        </w:tc>
        <w:tc>
          <w:tcPr>
            <w:tcW w:w="1077" w:type="dxa"/>
            <w:tcBorders>
              <w:bottom w:val="single" w:sz="12" w:space="0" w:color="000000"/>
            </w:tcBorders>
            <w:shd w:color="auto" w:fill="auto" w:val="clear"/>
          </w:tcPr>
          <w:p>
            <w:pPr>
              <w:pStyle w:val="TableContents"/>
              <w:jc w:val="center"/>
              <w:rPr/>
            </w:pPr>
            <w:r>
              <w:rPr/>
              <w:t>2523</w:t>
            </w:r>
          </w:p>
        </w:tc>
        <w:tc>
          <w:tcPr>
            <w:tcW w:w="1281" w:type="dxa"/>
            <w:tcBorders>
              <w:bottom w:val="single" w:sz="12" w:space="0" w:color="000000"/>
            </w:tcBorders>
            <w:shd w:color="auto" w:fill="auto" w:val="clear"/>
          </w:tcPr>
          <w:p>
            <w:pPr>
              <w:pStyle w:val="TableContents"/>
              <w:jc w:val="center"/>
              <w:rPr/>
            </w:pPr>
            <w:r>
              <w:rPr/>
              <w:t>97.71</w:t>
            </w:r>
          </w:p>
        </w:tc>
      </w:tr>
    </w:tbl>
    <w:p>
      <w:pPr>
        <w:pStyle w:val="TextBody"/>
        <w:rPr/>
      </w:pPr>
      <w:r>
        <w:rPr>
          <w:rFonts w:eastAsia="Noto Sans CJK SC Regular" w:cs="Lohit Devanagari"/>
          <w:color w:val="auto"/>
          <w:kern w:val="2"/>
          <w:sz w:val="24"/>
          <w:szCs w:val="24"/>
          <w:lang w:val="en-US" w:eastAsia="zh-CN" w:bidi="hi-IN"/>
        </w:rPr>
        <w:t>A</w:t>
      </w:r>
      <w:r>
        <w:rPr/>
        <w:t xml:space="preserve">dditional key information about components was extracted from the simulations and is shown in Tables </w:t>
      </w:r>
      <w:r>
        <w:rPr/>
        <w:fldChar w:fldCharType="begin"/>
      </w:r>
      <w:r>
        <w:rPr/>
        <w:instrText> REF Ref_Table9_number_only \h </w:instrText>
      </w:r>
      <w:r>
        <w:rPr/>
        <w:fldChar w:fldCharType="separate"/>
      </w:r>
      <w:r>
        <w:rPr/>
        <w:t>5</w:t>
      </w:r>
      <w:r>
        <w:rPr/>
        <w:fldChar w:fldCharType="end"/>
      </w:r>
      <w:r>
        <w:rPr/>
        <w:t xml:space="preserve">, </w:t>
      </w:r>
      <w:r>
        <w:rPr/>
        <w:fldChar w:fldCharType="begin"/>
      </w:r>
      <w:r>
        <w:rPr/>
        <w:instrText> REF Ref_Table11_number_only \h </w:instrText>
      </w:r>
      <w:r>
        <w:rPr/>
        <w:fldChar w:fldCharType="separate"/>
      </w:r>
      <w:r>
        <w:rPr/>
        <w:t>6</w:t>
      </w:r>
      <w:r>
        <w:rPr/>
        <w:fldChar w:fldCharType="end"/>
      </w:r>
      <w:r>
        <w:rPr/>
        <w:t xml:space="preserve">, </w:t>
      </w:r>
      <w:r>
        <w:rPr/>
        <w:fldChar w:fldCharType="begin"/>
      </w:r>
      <w:r>
        <w:rPr/>
        <w:instrText> REF Ref_Table12_number_only \h </w:instrText>
      </w:r>
      <w:r>
        <w:rPr/>
        <w:fldChar w:fldCharType="separate"/>
      </w:r>
      <w:r>
        <w:rPr/>
        <w:t>7</w:t>
      </w:r>
      <w:r>
        <w:rPr/>
        <w:fldChar w:fldCharType="end"/>
      </w:r>
      <w:r>
        <w:rPr/>
        <w:t xml:space="preserve">, and </w:t>
      </w:r>
      <w:r>
        <w:rPr/>
        <w:fldChar w:fldCharType="begin"/>
      </w:r>
      <w:r>
        <w:rPr/>
        <w:instrText> REF Ref_Table13_number_only \h </w:instrText>
      </w:r>
      <w:r>
        <w:rPr/>
        <w:fldChar w:fldCharType="separate"/>
      </w:r>
      <w:r>
        <w:rPr/>
        <w:t>8</w:t>
      </w:r>
      <w:r>
        <w:rPr/>
        <w:fldChar w:fldCharType="end"/>
      </w:r>
      <w:r>
        <w:rPr/>
        <w:t xml:space="preserve">. </w:t>
      </w:r>
      <w:r>
        <w:rPr>
          <w:rFonts w:eastAsia="Noto Sans CJK SC Regular" w:cs="Lohit Devanagari"/>
          <w:color w:val="auto"/>
          <w:kern w:val="2"/>
          <w:sz w:val="24"/>
          <w:szCs w:val="24"/>
          <w:lang w:val="en-US" w:eastAsia="zh-CN" w:bidi="hi-IN"/>
        </w:rPr>
        <w:t>The values from preliminary simulations presented in the previously submitted simulation report were used for component selection. The values shown here are from subsequent simulations utilizing updated model parameters based on the selected components and are verified against the selected component ratings to verify adequecy.</w:t>
      </w:r>
    </w:p>
    <w:p>
      <w:pPr>
        <w:pStyle w:val="Table"/>
        <w:keepNext w:val="true"/>
        <w:rPr/>
      </w:pPr>
      <w:bookmarkStart w:id="34" w:name="_Ref2630953211"/>
      <w:r>
        <w:rPr/>
        <w:t xml:space="preserve">Table </w:t>
      </w:r>
      <w:bookmarkStart w:id="35" w:name="Ref_Table9_number_only"/>
      <w:bookmarkStart w:id="36" w:name="Ref_Table7_number_only11"/>
      <w:r>
        <w:rPr/>
        <w:fldChar w:fldCharType="begin"/>
      </w:r>
      <w:r>
        <w:rPr/>
        <w:instrText> SEQ Table \* ARABIC </w:instrText>
      </w:r>
      <w:r>
        <w:rPr/>
        <w:fldChar w:fldCharType="separate"/>
      </w:r>
      <w:r>
        <w:rPr/>
        <w:t>5</w:t>
      </w:r>
      <w:r>
        <w:rPr/>
        <w:fldChar w:fldCharType="end"/>
      </w:r>
      <w:bookmarkEnd w:id="34"/>
      <w:bookmarkEnd w:id="35"/>
      <w:bookmarkEnd w:id="36"/>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6.6</w:t>
            </w:r>
          </w:p>
        </w:tc>
        <w:tc>
          <w:tcPr>
            <w:tcW w:w="836" w:type="dxa"/>
            <w:tcBorders/>
            <w:shd w:color="auto" w:fill="auto" w:val="clear"/>
          </w:tcPr>
          <w:p>
            <w:pPr>
              <w:pStyle w:val="TableContents"/>
              <w:jc w:val="center"/>
              <w:rPr/>
            </w:pPr>
            <w:r>
              <w:rPr/>
              <w:t>7.5</w:t>
            </w:r>
          </w:p>
        </w:tc>
        <w:tc>
          <w:tcPr>
            <w:tcW w:w="841" w:type="dxa"/>
            <w:tcBorders/>
            <w:shd w:color="auto" w:fill="auto" w:val="clear"/>
          </w:tcPr>
          <w:p>
            <w:pPr>
              <w:pStyle w:val="TableContents"/>
              <w:jc w:val="center"/>
              <w:rPr/>
            </w:pPr>
            <w:r>
              <w:rPr/>
              <w:t>151</w:t>
            </w:r>
          </w:p>
        </w:tc>
        <w:tc>
          <w:tcPr>
            <w:tcW w:w="1831" w:type="dxa"/>
            <w:tcBorders/>
            <w:shd w:color="auto" w:fill="auto" w:val="clear"/>
          </w:tcPr>
          <w:p>
            <w:pPr>
              <w:pStyle w:val="TableContents"/>
              <w:jc w:val="center"/>
              <w:rPr/>
            </w:pPr>
            <w:r>
              <w:rPr/>
              <w:t>7.8</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2.6</w:t>
            </w:r>
          </w:p>
        </w:tc>
        <w:tc>
          <w:tcPr>
            <w:tcW w:w="836" w:type="dxa"/>
            <w:tcBorders/>
            <w:shd w:color="auto" w:fill="auto" w:val="clear"/>
          </w:tcPr>
          <w:p>
            <w:pPr>
              <w:pStyle w:val="TableContents"/>
              <w:jc w:val="center"/>
              <w:rPr/>
            </w:pPr>
            <w:r>
              <w:rPr/>
              <w:t>5.8</w:t>
            </w:r>
          </w:p>
        </w:tc>
        <w:tc>
          <w:tcPr>
            <w:tcW w:w="841" w:type="dxa"/>
            <w:tcBorders/>
            <w:shd w:color="auto" w:fill="auto" w:val="clear"/>
          </w:tcPr>
          <w:p>
            <w:pPr>
              <w:pStyle w:val="TableContents"/>
              <w:jc w:val="center"/>
              <w:rPr/>
            </w:pPr>
            <w:r>
              <w:rPr/>
              <w:t>305</w:t>
            </w:r>
          </w:p>
        </w:tc>
        <w:tc>
          <w:tcPr>
            <w:tcW w:w="1831" w:type="dxa"/>
            <w:tcBorders/>
            <w:shd w:color="auto" w:fill="auto" w:val="clear"/>
          </w:tcPr>
          <w:p>
            <w:pPr>
              <w:pStyle w:val="TableContents"/>
              <w:jc w:val="center"/>
              <w:rPr/>
            </w:pPr>
            <w:r>
              <w:rPr/>
              <w:t>3.2</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6.9</w:t>
            </w:r>
          </w:p>
        </w:tc>
        <w:tc>
          <w:tcPr>
            <w:tcW w:w="836" w:type="dxa"/>
            <w:tcBorders>
              <w:bottom w:val="single" w:sz="12" w:space="0" w:color="000000"/>
            </w:tcBorders>
            <w:shd w:color="auto" w:fill="auto" w:val="clear"/>
          </w:tcPr>
          <w:p>
            <w:pPr>
              <w:pStyle w:val="TableContents"/>
              <w:jc w:val="center"/>
              <w:rPr/>
            </w:pPr>
            <w:r>
              <w:rPr/>
              <w:t>12.7</w:t>
            </w:r>
          </w:p>
        </w:tc>
        <w:tc>
          <w:tcPr>
            <w:tcW w:w="841" w:type="dxa"/>
            <w:tcBorders>
              <w:bottom w:val="single" w:sz="12" w:space="0" w:color="000000"/>
            </w:tcBorders>
            <w:shd w:color="auto" w:fill="auto" w:val="clear"/>
          </w:tcPr>
          <w:p>
            <w:pPr>
              <w:pStyle w:val="TableContents"/>
              <w:jc w:val="center"/>
              <w:rPr/>
            </w:pPr>
            <w:r>
              <w:rPr/>
              <w:t>306</w:t>
            </w:r>
          </w:p>
        </w:tc>
        <w:tc>
          <w:tcPr>
            <w:tcW w:w="1831" w:type="dxa"/>
            <w:tcBorders>
              <w:bottom w:val="single" w:sz="12" w:space="0" w:color="000000"/>
            </w:tcBorders>
            <w:shd w:color="auto" w:fill="auto" w:val="clear"/>
          </w:tcPr>
          <w:p>
            <w:pPr>
              <w:pStyle w:val="TableContents"/>
              <w:jc w:val="center"/>
              <w:rPr/>
            </w:pPr>
            <w:r>
              <w:rPr/>
              <w:t>9.2</w:t>
            </w:r>
          </w:p>
        </w:tc>
      </w:tr>
    </w:tbl>
    <w:p>
      <w:pPr>
        <w:pStyle w:val="TextBody"/>
        <w:rPr/>
      </w:pPr>
      <w:r>
        <w:rPr/>
      </w:r>
    </w:p>
    <w:p>
      <w:pPr>
        <w:pStyle w:val="Table"/>
        <w:keepNext w:val="true"/>
        <w:rPr/>
      </w:pPr>
      <w:bookmarkStart w:id="37" w:name="_Ref26309532112"/>
      <w:r>
        <w:rPr/>
        <w:t xml:space="preserve">Table </w:t>
      </w:r>
      <w:bookmarkStart w:id="38" w:name="Ref_Table7_number_only112"/>
      <w:bookmarkStart w:id="39" w:name="Ref_Table11_number_only"/>
      <w:r>
        <w:rPr/>
        <w:fldChar w:fldCharType="begin"/>
      </w:r>
      <w:r>
        <w:rPr/>
        <w:instrText> SEQ Table \* ARABIC </w:instrText>
      </w:r>
      <w:r>
        <w:rPr/>
        <w:fldChar w:fldCharType="separate"/>
      </w:r>
      <w:r>
        <w:rPr/>
        <w:t>6</w:t>
      </w:r>
      <w:r>
        <w:rPr/>
        <w:fldChar w:fldCharType="end"/>
      </w:r>
      <w:bookmarkEnd w:id="37"/>
      <w:bookmarkEnd w:id="38"/>
      <w:bookmarkEnd w:id="39"/>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2.8</w:t>
            </w:r>
          </w:p>
        </w:tc>
        <w:tc>
          <w:tcPr>
            <w:tcW w:w="836" w:type="dxa"/>
            <w:tcBorders/>
            <w:shd w:color="auto" w:fill="auto" w:val="clear"/>
          </w:tcPr>
          <w:p>
            <w:pPr>
              <w:pStyle w:val="TableContents"/>
              <w:jc w:val="center"/>
              <w:rPr/>
            </w:pPr>
            <w:r>
              <w:rPr/>
              <w:t>6.5</w:t>
            </w:r>
          </w:p>
        </w:tc>
        <w:tc>
          <w:tcPr>
            <w:tcW w:w="841" w:type="dxa"/>
            <w:tcBorders/>
            <w:shd w:color="auto" w:fill="auto" w:val="clear"/>
          </w:tcPr>
          <w:p>
            <w:pPr>
              <w:pStyle w:val="TableContents"/>
              <w:jc w:val="center"/>
              <w:rPr/>
            </w:pPr>
            <w:r>
              <w:rPr/>
              <w:t>311</w:t>
            </w:r>
          </w:p>
        </w:tc>
        <w:tc>
          <w:tcPr>
            <w:tcW w:w="1831" w:type="dxa"/>
            <w:tcBorders/>
            <w:shd w:color="auto" w:fill="auto" w:val="clear"/>
          </w:tcPr>
          <w:p>
            <w:pPr>
              <w:pStyle w:val="TableContents"/>
              <w:jc w:val="center"/>
              <w:rPr/>
            </w:pPr>
            <w:r>
              <w:rPr/>
              <w:t>4.3</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5.2</w:t>
            </w:r>
          </w:p>
        </w:tc>
        <w:tc>
          <w:tcPr>
            <w:tcW w:w="836" w:type="dxa"/>
            <w:tcBorders/>
            <w:shd w:color="auto" w:fill="auto" w:val="clear"/>
          </w:tcPr>
          <w:p>
            <w:pPr>
              <w:pStyle w:val="TableContents"/>
              <w:jc w:val="center"/>
              <w:rPr/>
            </w:pPr>
            <w:r>
              <w:rPr/>
              <w:t>8.2</w:t>
            </w:r>
          </w:p>
        </w:tc>
        <w:tc>
          <w:tcPr>
            <w:tcW w:w="841" w:type="dxa"/>
            <w:tcBorders/>
            <w:shd w:color="auto" w:fill="auto" w:val="clear"/>
          </w:tcPr>
          <w:p>
            <w:pPr>
              <w:pStyle w:val="TableContents"/>
              <w:jc w:val="center"/>
              <w:rPr/>
            </w:pPr>
            <w:r>
              <w:rPr/>
              <w:t>138</w:t>
            </w:r>
          </w:p>
        </w:tc>
        <w:tc>
          <w:tcPr>
            <w:tcW w:w="1831" w:type="dxa"/>
            <w:tcBorders/>
            <w:shd w:color="auto" w:fill="auto" w:val="clear"/>
          </w:tcPr>
          <w:p>
            <w:pPr>
              <w:pStyle w:val="TableContents"/>
              <w:jc w:val="center"/>
              <w:rPr/>
            </w:pPr>
            <w:r>
              <w:rPr/>
              <w:t>7.8</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13.1</w:t>
            </w:r>
          </w:p>
        </w:tc>
        <w:tc>
          <w:tcPr>
            <w:tcW w:w="836" w:type="dxa"/>
            <w:tcBorders>
              <w:bottom w:val="single" w:sz="12" w:space="0" w:color="000000"/>
            </w:tcBorders>
            <w:shd w:color="auto" w:fill="auto" w:val="clear"/>
          </w:tcPr>
          <w:p>
            <w:pPr>
              <w:pStyle w:val="TableContents"/>
              <w:jc w:val="center"/>
              <w:rPr/>
            </w:pPr>
            <w:r>
              <w:rPr/>
              <w:t>18.0</w:t>
            </w:r>
          </w:p>
        </w:tc>
        <w:tc>
          <w:tcPr>
            <w:tcW w:w="841" w:type="dxa"/>
            <w:tcBorders>
              <w:bottom w:val="single" w:sz="12" w:space="0" w:color="000000"/>
            </w:tcBorders>
            <w:shd w:color="auto" w:fill="auto" w:val="clear"/>
          </w:tcPr>
          <w:p>
            <w:pPr>
              <w:pStyle w:val="TableContents"/>
              <w:jc w:val="center"/>
              <w:rPr/>
            </w:pPr>
            <w:r>
              <w:rPr/>
              <w:t>126</w:t>
            </w:r>
          </w:p>
        </w:tc>
        <w:tc>
          <w:tcPr>
            <w:tcW w:w="1831" w:type="dxa"/>
            <w:tcBorders>
              <w:bottom w:val="single" w:sz="12" w:space="0" w:color="000000"/>
            </w:tcBorders>
            <w:shd w:color="auto" w:fill="auto" w:val="clear"/>
          </w:tcPr>
          <w:p>
            <w:pPr>
              <w:pStyle w:val="TableContents"/>
              <w:jc w:val="center"/>
              <w:rPr/>
            </w:pPr>
            <w:r>
              <w:rPr/>
              <w:t>22.2</w:t>
            </w:r>
          </w:p>
        </w:tc>
      </w:tr>
    </w:tbl>
    <w:p>
      <w:pPr>
        <w:pStyle w:val="TextBody"/>
        <w:rPr/>
      </w:pPr>
      <w:r>
        <w:rPr/>
      </w:r>
    </w:p>
    <w:p>
      <w:pPr>
        <w:pStyle w:val="Table"/>
        <w:keepNext w:val="true"/>
        <w:rPr/>
      </w:pPr>
      <w:bookmarkStart w:id="40" w:name="_Ref263095321121"/>
      <w:r>
        <w:rPr/>
        <w:t xml:space="preserve">Table </w:t>
      </w:r>
      <w:bookmarkStart w:id="41" w:name="Ref_Table12_number_only"/>
      <w:bookmarkStart w:id="42" w:name="Ref_Table7_number_only1121"/>
      <w:r>
        <w:rPr/>
        <w:fldChar w:fldCharType="begin"/>
      </w:r>
      <w:r>
        <w:rPr/>
        <w:instrText> SEQ Table \* ARABIC </w:instrText>
      </w:r>
      <w:r>
        <w:rPr/>
        <w:fldChar w:fldCharType="separate"/>
      </w:r>
      <w:r>
        <w:rPr/>
        <w:t>7</w:t>
      </w:r>
      <w:r>
        <w:rPr/>
        <w:fldChar w:fldCharType="end"/>
      </w:r>
      <w:bookmarkEnd w:id="40"/>
      <w:bookmarkEnd w:id="41"/>
      <w:bookmarkEnd w:id="42"/>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20"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1269"/>
        <w:gridCol w:w="804"/>
        <w:gridCol w:w="1436"/>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w:t>
            </w:r>
            <w:r>
              <w:rPr/>
              <w:t>m</w:t>
            </w:r>
            <w:r>
              <w:rPr/>
              <w:t>A)</w:t>
            </w:r>
          </w:p>
        </w:tc>
        <w:tc>
          <w:tcPr>
            <w:tcW w:w="1269"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04"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w:t>
            </w:r>
            <w:r>
              <w:rPr/>
              <w:t>m</w:t>
            </w:r>
            <w:r>
              <w:rPr/>
              <w:t>A)</w:t>
            </w:r>
          </w:p>
        </w:tc>
        <w:tc>
          <w:tcPr>
            <w:tcW w:w="1436"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0.9</w:t>
            </w:r>
          </w:p>
        </w:tc>
        <w:tc>
          <w:tcPr>
            <w:tcW w:w="1269" w:type="dxa"/>
            <w:tcBorders/>
            <w:shd w:color="auto" w:fill="auto" w:val="clear"/>
          </w:tcPr>
          <w:p>
            <w:pPr>
              <w:pStyle w:val="TableContents"/>
              <w:jc w:val="center"/>
              <w:rPr/>
            </w:pPr>
            <w:r>
              <w:rPr/>
              <w:t>41.3</w:t>
            </w:r>
          </w:p>
        </w:tc>
        <w:tc>
          <w:tcPr>
            <w:tcW w:w="804" w:type="dxa"/>
            <w:tcBorders/>
            <w:shd w:color="auto" w:fill="auto" w:val="clear"/>
          </w:tcPr>
          <w:p>
            <w:pPr>
              <w:pStyle w:val="TableContents"/>
              <w:jc w:val="center"/>
              <w:rPr/>
            </w:pPr>
            <w:r>
              <w:rPr/>
              <w:t>0.9</w:t>
            </w:r>
          </w:p>
        </w:tc>
        <w:tc>
          <w:tcPr>
            <w:tcW w:w="1436" w:type="dxa"/>
            <w:tcBorders/>
            <w:shd w:color="auto" w:fill="auto" w:val="clear"/>
          </w:tcPr>
          <w:p>
            <w:pPr>
              <w:pStyle w:val="TableContents"/>
              <w:jc w:val="center"/>
              <w:rPr/>
            </w:pPr>
            <w:r>
              <w:rPr/>
              <w:t>32.0</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1.6</w:t>
            </w:r>
          </w:p>
        </w:tc>
        <w:tc>
          <w:tcPr>
            <w:tcW w:w="1269" w:type="dxa"/>
            <w:tcBorders/>
            <w:shd w:color="auto" w:fill="auto" w:val="clear"/>
          </w:tcPr>
          <w:p>
            <w:pPr>
              <w:pStyle w:val="TableContents"/>
              <w:jc w:val="center"/>
              <w:rPr/>
            </w:pPr>
            <w:r>
              <w:rPr/>
              <w:t>60.2</w:t>
            </w:r>
          </w:p>
        </w:tc>
        <w:tc>
          <w:tcPr>
            <w:tcW w:w="804" w:type="dxa"/>
            <w:tcBorders/>
            <w:shd w:color="auto" w:fill="auto" w:val="clear"/>
          </w:tcPr>
          <w:p>
            <w:pPr>
              <w:pStyle w:val="TableContents"/>
              <w:jc w:val="center"/>
              <w:rPr/>
            </w:pPr>
            <w:r>
              <w:rPr/>
              <w:t>1.0</w:t>
            </w:r>
          </w:p>
        </w:tc>
        <w:tc>
          <w:tcPr>
            <w:tcW w:w="1436" w:type="dxa"/>
            <w:tcBorders/>
            <w:shd w:color="auto" w:fill="auto" w:val="clear"/>
          </w:tcPr>
          <w:p>
            <w:pPr>
              <w:pStyle w:val="TableContents"/>
              <w:jc w:val="center"/>
              <w:rPr/>
            </w:pPr>
            <w:r>
              <w:rPr/>
              <w:t>32.0</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1.5</w:t>
            </w:r>
          </w:p>
        </w:tc>
        <w:tc>
          <w:tcPr>
            <w:tcW w:w="1269" w:type="dxa"/>
            <w:tcBorders>
              <w:bottom w:val="single" w:sz="12" w:space="0" w:color="000000"/>
            </w:tcBorders>
            <w:shd w:color="auto" w:fill="auto" w:val="clear"/>
          </w:tcPr>
          <w:p>
            <w:pPr>
              <w:pStyle w:val="TableContents"/>
              <w:jc w:val="center"/>
              <w:rPr/>
            </w:pPr>
            <w:r>
              <w:rPr/>
              <w:t>55.4</w:t>
            </w:r>
          </w:p>
        </w:tc>
        <w:tc>
          <w:tcPr>
            <w:tcW w:w="804" w:type="dxa"/>
            <w:tcBorders>
              <w:bottom w:val="single" w:sz="12" w:space="0" w:color="000000"/>
            </w:tcBorders>
            <w:shd w:color="auto" w:fill="auto" w:val="clear"/>
          </w:tcPr>
          <w:p>
            <w:pPr>
              <w:pStyle w:val="TableContents"/>
              <w:jc w:val="center"/>
              <w:rPr/>
            </w:pPr>
            <w:r>
              <w:rPr/>
              <w:t>1.0</w:t>
            </w:r>
          </w:p>
        </w:tc>
        <w:tc>
          <w:tcPr>
            <w:tcW w:w="1436" w:type="dxa"/>
            <w:tcBorders>
              <w:bottom w:val="single" w:sz="12" w:space="0" w:color="000000"/>
            </w:tcBorders>
            <w:shd w:color="auto" w:fill="auto" w:val="clear"/>
          </w:tcPr>
          <w:p>
            <w:pPr>
              <w:pStyle w:val="TableContents"/>
              <w:jc w:val="center"/>
              <w:rPr/>
            </w:pPr>
            <w:r>
              <w:rPr/>
              <w:t>32.0</w:t>
            </w:r>
          </w:p>
        </w:tc>
      </w:tr>
    </w:tbl>
    <w:p>
      <w:pPr>
        <w:pStyle w:val="TextBody"/>
        <w:rPr/>
      </w:pPr>
      <w:r>
        <w:rPr/>
      </w:r>
    </w:p>
    <w:p>
      <w:pPr>
        <w:pStyle w:val="Table"/>
        <w:keepNext w:val="true"/>
        <w:rPr/>
      </w:pPr>
      <w:bookmarkStart w:id="43" w:name="_Ref2630953212"/>
      <w:r>
        <w:rPr/>
        <w:t xml:space="preserve">Table </w:t>
      </w:r>
      <w:bookmarkStart w:id="44" w:name="Ref_Table13_number_only"/>
      <w:bookmarkStart w:id="45" w:name="Ref_Table7_number_only12"/>
      <w:r>
        <w:rPr/>
        <w:fldChar w:fldCharType="begin"/>
      </w:r>
      <w:r>
        <w:rPr/>
        <w:instrText> SEQ Table \* ARABIC </w:instrText>
      </w:r>
      <w:r>
        <w:rPr/>
        <w:fldChar w:fldCharType="separate"/>
      </w:r>
      <w:r>
        <w:rPr/>
        <w:t>8</w:t>
      </w:r>
      <w:r>
        <w:rPr/>
        <w:fldChar w:fldCharType="end"/>
      </w:r>
      <w:bookmarkEnd w:id="43"/>
      <w:bookmarkEnd w:id="44"/>
      <w:bookmarkEnd w:id="4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998"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5"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(mA)</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1.5</w:t>
            </w:r>
          </w:p>
        </w:tc>
        <w:tc>
          <w:tcPr>
            <w:tcW w:w="998" w:type="dxa"/>
            <w:tcBorders/>
            <w:shd w:color="auto" w:fill="auto" w:val="clear"/>
          </w:tcPr>
          <w:p>
            <w:pPr>
              <w:pStyle w:val="TableContents"/>
              <w:jc w:val="center"/>
              <w:rPr/>
            </w:pPr>
            <w:r>
              <w:rPr/>
              <w:t>2.3</w:t>
            </w:r>
          </w:p>
        </w:tc>
        <w:tc>
          <w:tcPr>
            <w:tcW w:w="1005" w:type="dxa"/>
            <w:tcBorders/>
            <w:shd w:color="auto" w:fill="auto" w:val="clear"/>
          </w:tcPr>
          <w:p>
            <w:pPr>
              <w:pStyle w:val="TableContents"/>
              <w:jc w:val="center"/>
              <w:rPr/>
            </w:pPr>
            <w:r>
              <w:rPr/>
              <w:t>1.5</w:t>
            </w:r>
          </w:p>
        </w:tc>
        <w:tc>
          <w:tcPr>
            <w:tcW w:w="1004" w:type="dxa"/>
            <w:tcBorders/>
            <w:shd w:color="auto" w:fill="auto" w:val="clear"/>
          </w:tcPr>
          <w:p>
            <w:pPr>
              <w:pStyle w:val="TableContents"/>
              <w:jc w:val="center"/>
              <w:rPr/>
            </w:pPr>
            <w:r>
              <w:rPr/>
              <w:t>309</w:t>
            </w:r>
          </w:p>
        </w:tc>
        <w:tc>
          <w:tcPr>
            <w:tcW w:w="1077" w:type="dxa"/>
            <w:tcBorders/>
            <w:shd w:color="auto" w:fill="auto" w:val="clear"/>
          </w:tcPr>
          <w:p>
            <w:pPr>
              <w:pStyle w:val="TableContents"/>
              <w:jc w:val="center"/>
              <w:rPr/>
            </w:pPr>
            <w:r>
              <w:rPr/>
              <w:t>0.7</w:t>
            </w:r>
          </w:p>
        </w:tc>
        <w:tc>
          <w:tcPr>
            <w:tcW w:w="1281" w:type="dxa"/>
            <w:tcBorders/>
            <w:shd w:color="auto" w:fill="auto" w:val="clear"/>
          </w:tcPr>
          <w:p>
            <w:pPr>
              <w:pStyle w:val="TableContents"/>
              <w:jc w:val="center"/>
              <w:rPr/>
            </w:pPr>
            <w:r>
              <w:rPr/>
              <w:t>8</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2.2</w:t>
            </w:r>
          </w:p>
        </w:tc>
        <w:tc>
          <w:tcPr>
            <w:tcW w:w="998" w:type="dxa"/>
            <w:tcBorders/>
            <w:shd w:color="auto" w:fill="auto" w:val="clear"/>
          </w:tcPr>
          <w:p>
            <w:pPr>
              <w:pStyle w:val="TableContents"/>
              <w:jc w:val="center"/>
              <w:rPr/>
            </w:pPr>
            <w:r>
              <w:rPr/>
              <w:t>4.7</w:t>
            </w:r>
          </w:p>
        </w:tc>
        <w:tc>
          <w:tcPr>
            <w:tcW w:w="1005" w:type="dxa"/>
            <w:tcBorders/>
            <w:shd w:color="auto" w:fill="auto" w:val="clear"/>
          </w:tcPr>
          <w:p>
            <w:pPr>
              <w:pStyle w:val="TableContents"/>
              <w:jc w:val="center"/>
              <w:rPr/>
            </w:pPr>
            <w:r>
              <w:rPr/>
              <w:t>2.2</w:t>
            </w:r>
          </w:p>
        </w:tc>
        <w:tc>
          <w:tcPr>
            <w:tcW w:w="1004" w:type="dxa"/>
            <w:tcBorders/>
            <w:shd w:color="auto" w:fill="auto" w:val="clear"/>
          </w:tcPr>
          <w:p>
            <w:pPr>
              <w:pStyle w:val="TableContents"/>
              <w:jc w:val="center"/>
              <w:rPr/>
            </w:pPr>
            <w:r>
              <w:rPr/>
              <w:t>98</w:t>
            </w:r>
          </w:p>
        </w:tc>
        <w:tc>
          <w:tcPr>
            <w:tcW w:w="1077" w:type="dxa"/>
            <w:tcBorders/>
            <w:shd w:color="auto" w:fill="auto" w:val="clear"/>
          </w:tcPr>
          <w:p>
            <w:pPr>
              <w:pStyle w:val="TableContents"/>
              <w:jc w:val="center"/>
              <w:rPr/>
            </w:pPr>
            <w:r>
              <w:rPr/>
              <w:t>0.9</w:t>
            </w:r>
          </w:p>
        </w:tc>
        <w:tc>
          <w:tcPr>
            <w:tcW w:w="1281" w:type="dxa"/>
            <w:tcBorders/>
            <w:shd w:color="auto" w:fill="auto" w:val="clear"/>
          </w:tcPr>
          <w:p>
            <w:pPr>
              <w:pStyle w:val="TableContents"/>
              <w:jc w:val="center"/>
              <w:rPr/>
            </w:pPr>
            <w:r>
              <w:rPr/>
              <w:t>13</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2.0</w:t>
            </w:r>
          </w:p>
        </w:tc>
        <w:tc>
          <w:tcPr>
            <w:tcW w:w="998" w:type="dxa"/>
            <w:tcBorders>
              <w:bottom w:val="single" w:sz="12" w:space="0" w:color="000000"/>
            </w:tcBorders>
            <w:shd w:color="auto" w:fill="auto" w:val="clear"/>
          </w:tcPr>
          <w:p>
            <w:pPr>
              <w:pStyle w:val="TableContents"/>
              <w:jc w:val="center"/>
              <w:rPr/>
            </w:pPr>
            <w:r>
              <w:rPr/>
              <w:t>4.1</w:t>
            </w:r>
          </w:p>
        </w:tc>
        <w:tc>
          <w:tcPr>
            <w:tcW w:w="1005" w:type="dxa"/>
            <w:tcBorders>
              <w:bottom w:val="single" w:sz="12" w:space="0" w:color="000000"/>
            </w:tcBorders>
            <w:shd w:color="auto" w:fill="auto" w:val="clear"/>
          </w:tcPr>
          <w:p>
            <w:pPr>
              <w:pStyle w:val="TableContents"/>
              <w:jc w:val="center"/>
              <w:rPr/>
            </w:pPr>
            <w:r>
              <w:rPr/>
              <w:t>2.0</w:t>
            </w:r>
          </w:p>
        </w:tc>
        <w:tc>
          <w:tcPr>
            <w:tcW w:w="1004" w:type="dxa"/>
            <w:tcBorders>
              <w:bottom w:val="single" w:sz="12" w:space="0" w:color="000000"/>
            </w:tcBorders>
            <w:shd w:color="auto" w:fill="auto" w:val="clear"/>
          </w:tcPr>
          <w:p>
            <w:pPr>
              <w:pStyle w:val="TableContents"/>
              <w:jc w:val="center"/>
              <w:rPr/>
            </w:pPr>
            <w:r>
              <w:rPr/>
              <w:t>69</w:t>
            </w:r>
          </w:p>
        </w:tc>
        <w:tc>
          <w:tcPr>
            <w:tcW w:w="1077" w:type="dxa"/>
            <w:tcBorders>
              <w:bottom w:val="single" w:sz="12" w:space="0" w:color="000000"/>
            </w:tcBorders>
            <w:shd w:color="auto" w:fill="auto" w:val="clear"/>
          </w:tcPr>
          <w:p>
            <w:pPr>
              <w:pStyle w:val="TableContents"/>
              <w:jc w:val="center"/>
              <w:rPr/>
            </w:pPr>
            <w:r>
              <w:rPr/>
              <w:t>0.8</w:t>
            </w:r>
          </w:p>
        </w:tc>
        <w:tc>
          <w:tcPr>
            <w:tcW w:w="1281" w:type="dxa"/>
            <w:tcBorders>
              <w:bottom w:val="single" w:sz="12" w:space="0" w:color="000000"/>
            </w:tcBorders>
            <w:shd w:color="auto" w:fill="auto" w:val="clear"/>
          </w:tcPr>
          <w:p>
            <w:pPr>
              <w:pStyle w:val="TableContents"/>
              <w:jc w:val="center"/>
              <w:rPr/>
            </w:pPr>
            <w:r>
              <w:rPr/>
              <w:t>10</w:t>
            </w:r>
          </w:p>
        </w:tc>
      </w:tr>
    </w:tbl>
    <w:p>
      <w:pPr>
        <w:pStyle w:val="Heading1"/>
        <w:numPr>
          <w:ilvl w:val="0"/>
          <w:numId w:val="5"/>
        </w:numPr>
        <w:spacing w:before="240" w:after="120"/>
        <w:rPr/>
      </w:pPr>
      <w:r>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Application>LibreOffice/6.3.4.2$Linux_X86_64 LibreOffice_project/30$Build-2</Application>
  <Pages>14</Pages>
  <Words>2629</Words>
  <Characters>12009</Characters>
  <CharactersWithSpaces>14414</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2020-01-13T08:31:12Z</dcterms:modified>
  <cp:revision>113</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