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6D0" w:rsidRPr="00B71632" w:rsidRDefault="00B71632" w:rsidP="00B71632">
      <w:pPr>
        <w:autoSpaceDE w:val="0"/>
        <w:autoSpaceDN w:val="0"/>
        <w:adjustRightInd w:val="0"/>
        <w:spacing w:after="0" w:line="240" w:lineRule="auto"/>
        <w:jc w:val="center"/>
        <w:rPr>
          <w:rFonts w:cs="CenturyGothic-Bold"/>
          <w:b/>
          <w:bCs/>
          <w:color w:val="12349B"/>
          <w:sz w:val="24"/>
          <w:szCs w:val="24"/>
        </w:rPr>
      </w:pPr>
      <w:r w:rsidRPr="00B71632">
        <w:rPr>
          <w:rFonts w:cs="CenturyGothic-Bold"/>
          <w:b/>
          <w:bCs/>
          <w:color w:val="12349B"/>
          <w:sz w:val="24"/>
          <w:szCs w:val="24"/>
        </w:rPr>
        <w:t>Chapter 15 Summary</w:t>
      </w:r>
    </w:p>
    <w:p w:rsidR="003926D0" w:rsidRPr="00B71632" w:rsidRDefault="003926D0" w:rsidP="003926D0">
      <w:pPr>
        <w:autoSpaceDE w:val="0"/>
        <w:autoSpaceDN w:val="0"/>
        <w:adjustRightInd w:val="0"/>
        <w:spacing w:after="0" w:line="240" w:lineRule="auto"/>
        <w:rPr>
          <w:rFonts w:cs="WarnockPro-Regular"/>
          <w:sz w:val="24"/>
          <w:szCs w:val="24"/>
        </w:rPr>
      </w:pPr>
    </w:p>
    <w:p w:rsidR="003926D0" w:rsidRPr="00B71632" w:rsidRDefault="003926D0" w:rsidP="003926D0">
      <w:pPr>
        <w:autoSpaceDE w:val="0"/>
        <w:autoSpaceDN w:val="0"/>
        <w:adjustRightInd w:val="0"/>
        <w:spacing w:after="0" w:line="240" w:lineRule="auto"/>
        <w:rPr>
          <w:rFonts w:cs="WarnockPro-Regular"/>
          <w:sz w:val="24"/>
          <w:szCs w:val="24"/>
        </w:rPr>
      </w:pPr>
      <w:r w:rsidRPr="00B71632">
        <w:rPr>
          <w:rFonts w:cs="WarnockPro-Regular"/>
          <w:sz w:val="24"/>
          <w:szCs w:val="24"/>
        </w:rPr>
        <w:t>A distinguishing feature of financial time series such as stock prices, inflation rates, and exchange rates is that they often exhibit volatility clustering – that is, periods in which their prices or the return on them show wide swings for extended time periods and periods over which there is relative calm. This results in correlation in error variance over time. To take into account such correlation, financial econometricians have developed several models, beginning with ARCH (autoregressive conditional</w:t>
      </w:r>
      <w:r w:rsidR="00B71632">
        <w:rPr>
          <w:rFonts w:cs="WarnockPro-Regular"/>
          <w:sz w:val="24"/>
          <w:szCs w:val="24"/>
        </w:rPr>
        <w:t xml:space="preserve"> </w:t>
      </w:r>
      <w:proofErr w:type="spellStart"/>
      <w:r w:rsidRPr="00B71632">
        <w:rPr>
          <w:rFonts w:cs="WarnockPro-Regular"/>
          <w:sz w:val="24"/>
          <w:szCs w:val="24"/>
        </w:rPr>
        <w:t>heteroscedasticity</w:t>
      </w:r>
      <w:proofErr w:type="spellEnd"/>
      <w:r w:rsidRPr="00B71632">
        <w:rPr>
          <w:rFonts w:cs="WarnockPro-Regular"/>
          <w:sz w:val="24"/>
          <w:szCs w:val="24"/>
        </w:rPr>
        <w:t>). With daily data on the dollar/euro exchange rate over an extended time period, we showed how the ARCH model takes into account volatility in asset prices and asset returns.</w:t>
      </w:r>
    </w:p>
    <w:p w:rsidR="003926D0" w:rsidRPr="00B71632" w:rsidRDefault="003926D0" w:rsidP="003926D0">
      <w:pPr>
        <w:autoSpaceDE w:val="0"/>
        <w:autoSpaceDN w:val="0"/>
        <w:adjustRightInd w:val="0"/>
        <w:spacing w:after="0" w:line="240" w:lineRule="auto"/>
        <w:rPr>
          <w:rFonts w:cs="WarnockPro-Regular"/>
          <w:sz w:val="24"/>
          <w:szCs w:val="24"/>
        </w:rPr>
      </w:pPr>
    </w:p>
    <w:p w:rsidR="00BF2170" w:rsidRPr="00B71632" w:rsidRDefault="003926D0" w:rsidP="003926D0">
      <w:pPr>
        <w:autoSpaceDE w:val="0"/>
        <w:autoSpaceDN w:val="0"/>
        <w:adjustRightInd w:val="0"/>
        <w:spacing w:after="0" w:line="240" w:lineRule="auto"/>
        <w:rPr>
          <w:rFonts w:cs="WarnockPro-Regular"/>
          <w:sz w:val="24"/>
          <w:szCs w:val="24"/>
        </w:rPr>
      </w:pPr>
      <w:r w:rsidRPr="00B71632">
        <w:rPr>
          <w:rFonts w:cs="WarnockPro-Regular"/>
          <w:sz w:val="24"/>
          <w:szCs w:val="24"/>
        </w:rPr>
        <w:t>Later incarnations of the ARCH model include GARCH, GARCH-M (GARCH in mean), TGARCH (threshold GARCH), and EGARCH (exponential GARCH), each introducing more versatility (and complexity) in the estimation of volatility. Fortunately, software packages exist which can estimate these models with comparative ease.</w:t>
      </w:r>
    </w:p>
    <w:p w:rsidR="003926D0" w:rsidRPr="00B71632" w:rsidRDefault="003926D0" w:rsidP="003926D0">
      <w:pPr>
        <w:autoSpaceDE w:val="0"/>
        <w:autoSpaceDN w:val="0"/>
        <w:adjustRightInd w:val="0"/>
        <w:spacing w:after="0" w:line="240" w:lineRule="auto"/>
        <w:rPr>
          <w:rFonts w:cs="WarnockPro-Regular"/>
          <w:sz w:val="24"/>
          <w:szCs w:val="24"/>
        </w:rPr>
      </w:pPr>
    </w:p>
    <w:p w:rsidR="003926D0" w:rsidRPr="00B71632" w:rsidRDefault="003926D0" w:rsidP="003926D0">
      <w:pPr>
        <w:autoSpaceDE w:val="0"/>
        <w:autoSpaceDN w:val="0"/>
        <w:adjustRightInd w:val="0"/>
        <w:spacing w:after="0" w:line="240" w:lineRule="auto"/>
        <w:rPr>
          <w:rFonts w:cs="WarnockPro-Regular"/>
          <w:sz w:val="24"/>
          <w:szCs w:val="24"/>
        </w:rPr>
      </w:pPr>
      <w:r w:rsidRPr="00B71632">
        <w:rPr>
          <w:rFonts w:cs="WarnockPro-Regular"/>
          <w:sz w:val="24"/>
          <w:szCs w:val="24"/>
        </w:rPr>
        <w:t>Apart from the technical aspect of volatility, the topic is of practical interest to investors at all levels, for an investor is not only interested in obtaining a higher rate of return, but also a steady (i.e. less volatile) rate of return.</w:t>
      </w:r>
    </w:p>
    <w:sectPr w:rsidR="003926D0" w:rsidRPr="00B7163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632" w:rsidRDefault="00B71632" w:rsidP="00B71632">
      <w:pPr>
        <w:spacing w:after="0" w:line="240" w:lineRule="auto"/>
      </w:pPr>
      <w:r>
        <w:separator/>
      </w:r>
    </w:p>
  </w:endnote>
  <w:endnote w:type="continuationSeparator" w:id="0">
    <w:p w:rsidR="00B71632" w:rsidRDefault="00B71632" w:rsidP="00B71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enturyGothic-Bold">
    <w:panose1 w:val="00000000000000000000"/>
    <w:charset w:val="00"/>
    <w:family w:val="swiss"/>
    <w:notTrueType/>
    <w:pitch w:val="default"/>
    <w:sig w:usb0="00000003" w:usb1="00000000" w:usb2="00000000" w:usb3="00000000" w:csb0="00000001" w:csb1="00000000"/>
  </w:font>
  <w:font w:name="WarnockPro-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632" w:rsidRDefault="00B716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632" w:rsidRPr="00033297" w:rsidRDefault="00B71632" w:rsidP="00B71632">
    <w:pPr>
      <w:pStyle w:val="Header"/>
      <w:rPr>
        <w:rFonts w:cs="Arial"/>
        <w:i/>
        <w:sz w:val="18"/>
        <w:szCs w:val="18"/>
      </w:rPr>
    </w:pPr>
    <w:r>
      <w:rPr>
        <w:rFonts w:cs="Arial"/>
        <w:i/>
        <w:sz w:val="18"/>
        <w:szCs w:val="18"/>
      </w:rPr>
      <w:t>Econometrics by Example</w:t>
    </w:r>
    <w:r>
      <w:rPr>
        <w:rFonts w:eastAsiaTheme="majorEastAsia" w:cs="Arial"/>
        <w:sz w:val="18"/>
        <w:szCs w:val="18"/>
      </w:rPr>
      <w:t xml:space="preserve">, second edition, © </w:t>
    </w:r>
    <w:proofErr w:type="spellStart"/>
    <w:r>
      <w:rPr>
        <w:rFonts w:eastAsiaTheme="majorEastAsia" w:cs="Arial"/>
        <w:sz w:val="18"/>
        <w:szCs w:val="18"/>
      </w:rPr>
      <w:t>Damodar</w:t>
    </w:r>
    <w:proofErr w:type="spellEnd"/>
    <w:r>
      <w:rPr>
        <w:rFonts w:eastAsiaTheme="majorEastAsia" w:cs="Arial"/>
        <w:sz w:val="18"/>
        <w:szCs w:val="18"/>
      </w:rPr>
      <w:t xml:space="preserve"> Gujarati</w:t>
    </w:r>
    <w:r w:rsidRPr="00C3252F">
      <w:rPr>
        <w:rFonts w:eastAsiaTheme="majorEastAsia" w:cs="Arial"/>
        <w:sz w:val="18"/>
        <w:szCs w:val="18"/>
      </w:rPr>
      <w:t>, 2014</w:t>
    </w:r>
    <w:r>
      <w:rPr>
        <w:rFonts w:eastAsiaTheme="majorEastAsia" w:cs="Arial"/>
        <w:sz w:val="18"/>
        <w:szCs w:val="18"/>
      </w:rPr>
      <w:t xml:space="preserve">. </w:t>
    </w:r>
  </w:p>
  <w:p w:rsidR="00B71632" w:rsidRPr="00C3252F" w:rsidRDefault="00B71632" w:rsidP="00B71632">
    <w:pPr>
      <w:pStyle w:val="Footer"/>
      <w:rPr>
        <w:rFonts w:cs="Arial"/>
        <w:sz w:val="18"/>
        <w:szCs w:val="18"/>
      </w:rPr>
    </w:pPr>
    <w:r w:rsidRPr="00C3252F">
      <w:rPr>
        <w:rFonts w:cs="Arial"/>
        <w:sz w:val="18"/>
        <w:szCs w:val="18"/>
      </w:rPr>
      <w:t xml:space="preserve">For more resources visit </w:t>
    </w:r>
    <w:hyperlink r:id="rId1" w:history="1">
      <w:r w:rsidRPr="004E0747">
        <w:rPr>
          <w:rStyle w:val="Hyperlink"/>
          <w:rFonts w:cs="Arial"/>
          <w:sz w:val="18"/>
          <w:szCs w:val="18"/>
        </w:rPr>
        <w:t>http://www.palgrave.com/companion/gujarati-econometrics-by-example-2e/</w:t>
      </w:r>
    </w:hyperlink>
    <w:r>
      <w:rPr>
        <w:rFonts w:cs="Arial"/>
        <w:sz w:val="18"/>
        <w:szCs w:val="18"/>
      </w:rPr>
      <w:t xml:space="preserve">. </w:t>
    </w:r>
  </w:p>
  <w:p w:rsidR="00B71632" w:rsidRDefault="00B71632">
    <w:pPr>
      <w:pStyle w:val="Footer"/>
    </w:pPr>
    <w:bookmarkStart w:id="0" w:name="_GoBack"/>
    <w:bookmarkEnd w:id="0"/>
  </w:p>
  <w:p w:rsidR="00B71632" w:rsidRDefault="00B716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632" w:rsidRDefault="00B716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632" w:rsidRDefault="00B71632" w:rsidP="00B71632">
      <w:pPr>
        <w:spacing w:after="0" w:line="240" w:lineRule="auto"/>
      </w:pPr>
      <w:r>
        <w:separator/>
      </w:r>
    </w:p>
  </w:footnote>
  <w:footnote w:type="continuationSeparator" w:id="0">
    <w:p w:rsidR="00B71632" w:rsidRDefault="00B71632" w:rsidP="00B716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632" w:rsidRDefault="00B716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632" w:rsidRDefault="00B7163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632" w:rsidRDefault="00B716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6D0"/>
    <w:rsid w:val="002B2B6F"/>
    <w:rsid w:val="003926D0"/>
    <w:rsid w:val="00563CF7"/>
    <w:rsid w:val="00B71632"/>
    <w:rsid w:val="00BF2170"/>
    <w:rsid w:val="00CA36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6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6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632"/>
  </w:style>
  <w:style w:type="paragraph" w:styleId="Footer">
    <w:name w:val="footer"/>
    <w:basedOn w:val="Normal"/>
    <w:link w:val="FooterChar"/>
    <w:uiPriority w:val="99"/>
    <w:unhideWhenUsed/>
    <w:rsid w:val="00B716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632"/>
  </w:style>
  <w:style w:type="paragraph" w:styleId="BalloonText">
    <w:name w:val="Balloon Text"/>
    <w:basedOn w:val="Normal"/>
    <w:link w:val="BalloonTextChar"/>
    <w:uiPriority w:val="99"/>
    <w:semiHidden/>
    <w:unhideWhenUsed/>
    <w:rsid w:val="00B71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632"/>
    <w:rPr>
      <w:rFonts w:ascii="Tahoma" w:hAnsi="Tahoma" w:cs="Tahoma"/>
      <w:sz w:val="16"/>
      <w:szCs w:val="16"/>
    </w:rPr>
  </w:style>
  <w:style w:type="character" w:styleId="Hyperlink">
    <w:name w:val="Hyperlink"/>
    <w:basedOn w:val="DefaultParagraphFont"/>
    <w:uiPriority w:val="99"/>
    <w:unhideWhenUsed/>
    <w:rsid w:val="00B716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6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6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632"/>
  </w:style>
  <w:style w:type="paragraph" w:styleId="Footer">
    <w:name w:val="footer"/>
    <w:basedOn w:val="Normal"/>
    <w:link w:val="FooterChar"/>
    <w:uiPriority w:val="99"/>
    <w:unhideWhenUsed/>
    <w:rsid w:val="00B716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632"/>
  </w:style>
  <w:style w:type="paragraph" w:styleId="BalloonText">
    <w:name w:val="Balloon Text"/>
    <w:basedOn w:val="Normal"/>
    <w:link w:val="BalloonTextChar"/>
    <w:uiPriority w:val="99"/>
    <w:semiHidden/>
    <w:unhideWhenUsed/>
    <w:rsid w:val="00B71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632"/>
    <w:rPr>
      <w:rFonts w:ascii="Tahoma" w:hAnsi="Tahoma" w:cs="Tahoma"/>
      <w:sz w:val="16"/>
      <w:szCs w:val="16"/>
    </w:rPr>
  </w:style>
  <w:style w:type="character" w:styleId="Hyperlink">
    <w:name w:val="Hyperlink"/>
    <w:basedOn w:val="DefaultParagraphFont"/>
    <w:uiPriority w:val="99"/>
    <w:unhideWhenUsed/>
    <w:rsid w:val="00B716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palgrave.com/companion/gujarati-econometrics-by-example-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Zimmerman, Lauren</dc:creator>
  <cp:lastModifiedBy>Zimmerman, Lauren</cp:lastModifiedBy>
  <cp:revision>2</cp:revision>
  <dcterms:created xsi:type="dcterms:W3CDTF">2014-09-19T13:03:00Z</dcterms:created>
  <dcterms:modified xsi:type="dcterms:W3CDTF">2014-09-19T14:46:00Z</dcterms:modified>
</cp:coreProperties>
</file>