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99" w:rsidRPr="00113A8F" w:rsidRDefault="00113A8F" w:rsidP="00113A8F">
      <w:pPr>
        <w:autoSpaceDE w:val="0"/>
        <w:autoSpaceDN w:val="0"/>
        <w:adjustRightInd w:val="0"/>
        <w:spacing w:after="0" w:line="240" w:lineRule="auto"/>
        <w:jc w:val="center"/>
        <w:rPr>
          <w:rFonts w:cs="CenturyGothic-Bold"/>
          <w:b/>
          <w:bCs/>
          <w:color w:val="12349B"/>
          <w:sz w:val="24"/>
          <w:szCs w:val="24"/>
        </w:rPr>
      </w:pPr>
      <w:r w:rsidRPr="00113A8F">
        <w:rPr>
          <w:rFonts w:cs="CenturyGothic-Bold"/>
          <w:b/>
          <w:bCs/>
          <w:color w:val="12349B"/>
          <w:sz w:val="24"/>
          <w:szCs w:val="24"/>
        </w:rPr>
        <w:t>Chapter 5 Summary</w:t>
      </w:r>
    </w:p>
    <w:p w:rsidR="003E3499" w:rsidRPr="00113A8F" w:rsidRDefault="003E3499" w:rsidP="00D970DF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</w:p>
    <w:p w:rsidR="00D970DF" w:rsidRPr="00113A8F" w:rsidRDefault="00D970DF" w:rsidP="00D970DF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  <w:r w:rsidRPr="00113A8F">
        <w:rPr>
          <w:rFonts w:cs="WarnockPro-Regular"/>
          <w:sz w:val="24"/>
          <w:szCs w:val="24"/>
        </w:rPr>
        <w:t xml:space="preserve">In this chapter we considered one of the violations of the classical linear regression model, namely, </w:t>
      </w:r>
      <w:proofErr w:type="spellStart"/>
      <w:r w:rsidRPr="00113A8F">
        <w:rPr>
          <w:rFonts w:cs="WarnockPro-Regular"/>
          <w:sz w:val="24"/>
          <w:szCs w:val="24"/>
        </w:rPr>
        <w:t>heteroscedasticity</w:t>
      </w:r>
      <w:proofErr w:type="spellEnd"/>
      <w:r w:rsidRPr="00113A8F">
        <w:rPr>
          <w:rFonts w:cs="WarnockPro-Regular"/>
          <w:sz w:val="24"/>
          <w:szCs w:val="24"/>
        </w:rPr>
        <w:t xml:space="preserve">, which is generally found in cross-sectional data. Although </w:t>
      </w:r>
      <w:proofErr w:type="spellStart"/>
      <w:r w:rsidRPr="00113A8F">
        <w:rPr>
          <w:rFonts w:cs="WarnockPro-Regular"/>
          <w:sz w:val="24"/>
          <w:szCs w:val="24"/>
        </w:rPr>
        <w:t>heteroscedasticity</w:t>
      </w:r>
      <w:proofErr w:type="spellEnd"/>
      <w:r w:rsidRPr="00113A8F">
        <w:rPr>
          <w:rFonts w:cs="WarnockPro-Regular"/>
          <w:sz w:val="24"/>
          <w:szCs w:val="24"/>
        </w:rPr>
        <w:t xml:space="preserve"> does not destroy the unbiasedness and consistency properties of OLS estimators, the estimators are less </w:t>
      </w:r>
      <w:proofErr w:type="spellStart"/>
      <w:r w:rsidRPr="00113A8F">
        <w:rPr>
          <w:rFonts w:cs="WarnockPro-Regular"/>
          <w:sz w:val="24"/>
          <w:szCs w:val="24"/>
        </w:rPr>
        <w:t>effi</w:t>
      </w:r>
      <w:proofErr w:type="spellEnd"/>
      <w:r w:rsidRPr="00113A8F">
        <w:rPr>
          <w:rFonts w:cs="WarnockPro-Regular"/>
          <w:sz w:val="24"/>
          <w:szCs w:val="24"/>
        </w:rPr>
        <w:t xml:space="preserve"> </w:t>
      </w:r>
      <w:proofErr w:type="spellStart"/>
      <w:r w:rsidRPr="00113A8F">
        <w:rPr>
          <w:rFonts w:cs="WarnockPro-Regular"/>
          <w:sz w:val="24"/>
          <w:szCs w:val="24"/>
        </w:rPr>
        <w:t>cient</w:t>
      </w:r>
      <w:proofErr w:type="spellEnd"/>
      <w:r w:rsidRPr="00113A8F">
        <w:rPr>
          <w:rFonts w:cs="WarnockPro-Regular"/>
          <w:sz w:val="24"/>
          <w:szCs w:val="24"/>
        </w:rPr>
        <w:t>, making statistical inference less reliable if we do not correct the usual OLS standard errors.</w:t>
      </w:r>
    </w:p>
    <w:p w:rsidR="00D970DF" w:rsidRPr="00113A8F" w:rsidRDefault="00D970DF" w:rsidP="00D970DF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</w:p>
    <w:p w:rsidR="00D970DF" w:rsidRPr="00113A8F" w:rsidRDefault="00D970DF" w:rsidP="00D970DF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  <w:r w:rsidRPr="00113A8F">
        <w:rPr>
          <w:rFonts w:cs="WarnockPro-Regular"/>
          <w:sz w:val="24"/>
          <w:szCs w:val="24"/>
        </w:rPr>
        <w:t xml:space="preserve">Before we solve the problem of </w:t>
      </w:r>
      <w:proofErr w:type="spellStart"/>
      <w:r w:rsidRPr="00113A8F">
        <w:rPr>
          <w:rFonts w:cs="WarnockPro-Regular"/>
          <w:sz w:val="24"/>
          <w:szCs w:val="24"/>
        </w:rPr>
        <w:t>heteroscedasticity</w:t>
      </w:r>
      <w:proofErr w:type="spellEnd"/>
      <w:r w:rsidRPr="00113A8F">
        <w:rPr>
          <w:rFonts w:cs="WarnockPro-Regular"/>
          <w:sz w:val="24"/>
          <w:szCs w:val="24"/>
        </w:rPr>
        <w:t xml:space="preserve">, we need to find out if we have the problem </w:t>
      </w:r>
      <w:r w:rsidR="005D3D05" w:rsidRPr="00113A8F">
        <w:rPr>
          <w:rFonts w:cs="WarnockPro-Regular"/>
          <w:sz w:val="24"/>
          <w:szCs w:val="24"/>
        </w:rPr>
        <w:t>in any specifi</w:t>
      </w:r>
      <w:r w:rsidRPr="00113A8F">
        <w:rPr>
          <w:rFonts w:cs="WarnockPro-Regular"/>
          <w:sz w:val="24"/>
          <w:szCs w:val="24"/>
        </w:rPr>
        <w:t xml:space="preserve">c application. For this purpose we can examine the squared residuals from the original model or use some formal tests of </w:t>
      </w:r>
      <w:proofErr w:type="spellStart"/>
      <w:r w:rsidRPr="00113A8F">
        <w:rPr>
          <w:rFonts w:cs="WarnockPro-Regular"/>
          <w:sz w:val="24"/>
          <w:szCs w:val="24"/>
        </w:rPr>
        <w:t>heteroscedasticity</w:t>
      </w:r>
      <w:proofErr w:type="spellEnd"/>
      <w:r w:rsidRPr="00113A8F">
        <w:rPr>
          <w:rFonts w:cs="WarnockPro-Regular"/>
          <w:sz w:val="24"/>
          <w:szCs w:val="24"/>
        </w:rPr>
        <w:t xml:space="preserve">, such as the </w:t>
      </w:r>
      <w:proofErr w:type="spellStart"/>
      <w:r w:rsidRPr="00113A8F">
        <w:rPr>
          <w:rFonts w:cs="WarnockPro-Regular"/>
          <w:sz w:val="24"/>
          <w:szCs w:val="24"/>
        </w:rPr>
        <w:t>Breusch</w:t>
      </w:r>
      <w:proofErr w:type="spellEnd"/>
      <w:r w:rsidRPr="00113A8F">
        <w:rPr>
          <w:rFonts w:cs="WarnockPro-Regular"/>
          <w:sz w:val="24"/>
          <w:szCs w:val="24"/>
        </w:rPr>
        <w:t xml:space="preserve">–Pagan and White’s tests. If one or more of these tests show that we have the </w:t>
      </w:r>
      <w:proofErr w:type="spellStart"/>
      <w:r w:rsidRPr="00113A8F">
        <w:rPr>
          <w:rFonts w:cs="WarnockPro-Regular"/>
          <w:sz w:val="24"/>
          <w:szCs w:val="24"/>
        </w:rPr>
        <w:t>heteroscedasticity</w:t>
      </w:r>
      <w:proofErr w:type="spellEnd"/>
      <w:r w:rsidRPr="00113A8F">
        <w:rPr>
          <w:rFonts w:cs="WarnockPro-Regular"/>
          <w:sz w:val="24"/>
          <w:szCs w:val="24"/>
        </w:rPr>
        <w:t xml:space="preserve"> problem, we can then proceed to remediation of the problem.</w:t>
      </w:r>
    </w:p>
    <w:p w:rsidR="00D970DF" w:rsidRPr="00113A8F" w:rsidRDefault="00D970DF" w:rsidP="00D970DF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</w:p>
    <w:p w:rsidR="00D970DF" w:rsidRPr="00113A8F" w:rsidRDefault="00D970DF" w:rsidP="00D970DF">
      <w:pPr>
        <w:autoSpaceDE w:val="0"/>
        <w:autoSpaceDN w:val="0"/>
        <w:adjustRightInd w:val="0"/>
        <w:spacing w:after="0" w:line="240" w:lineRule="auto"/>
        <w:rPr>
          <w:rFonts w:eastAsia="SymbolMT" w:cs="SymbolMT"/>
          <w:sz w:val="24"/>
          <w:szCs w:val="24"/>
        </w:rPr>
      </w:pPr>
      <w:r w:rsidRPr="00113A8F">
        <w:rPr>
          <w:rFonts w:cs="WarnockPro-Regular"/>
          <w:sz w:val="24"/>
          <w:szCs w:val="24"/>
        </w:rPr>
        <w:t xml:space="preserve">The problem of </w:t>
      </w:r>
      <w:proofErr w:type="spellStart"/>
      <w:r w:rsidRPr="00113A8F">
        <w:rPr>
          <w:rFonts w:cs="WarnockPro-Regular"/>
          <w:sz w:val="24"/>
          <w:szCs w:val="24"/>
        </w:rPr>
        <w:t>heteroscedasticity</w:t>
      </w:r>
      <w:proofErr w:type="spellEnd"/>
      <w:r w:rsidRPr="00113A8F">
        <w:rPr>
          <w:rFonts w:cs="WarnockPro-Regular"/>
          <w:sz w:val="24"/>
          <w:szCs w:val="24"/>
        </w:rPr>
        <w:t xml:space="preserve"> can be solved if we know the </w:t>
      </w:r>
      <w:proofErr w:type="spellStart"/>
      <w:r w:rsidRPr="00113A8F">
        <w:rPr>
          <w:rFonts w:cs="WarnockPro-Regular"/>
          <w:sz w:val="24"/>
          <w:szCs w:val="24"/>
        </w:rPr>
        <w:t>heteroscedastic</w:t>
      </w:r>
      <w:proofErr w:type="spellEnd"/>
      <w:r w:rsidRPr="00113A8F">
        <w:rPr>
          <w:rFonts w:cs="WarnockPro-Regular"/>
          <w:sz w:val="24"/>
          <w:szCs w:val="24"/>
        </w:rPr>
        <w:t xml:space="preserve"> variances</w:t>
      </w:r>
      <w:proofErr w:type="gramStart"/>
      <w:r w:rsidRPr="00113A8F">
        <w:rPr>
          <w:rFonts w:cs="WarnockPro-Regular"/>
          <w:sz w:val="24"/>
          <w:szCs w:val="24"/>
        </w:rPr>
        <w:t xml:space="preserve">, </w:t>
      </w:r>
      <w:proofErr w:type="gramEnd"/>
      <m:oMath>
        <m:sSubSup>
          <m:sSubSupPr>
            <m:ctrlPr>
              <w:rPr>
                <w:rFonts w:ascii="Cambria Math" w:hAnsi="Cambria Math" w:cs="WarnockPro-Regular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WarnockPro-Regular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WarnockPro-Regular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WarnockPro-Regular"/>
                <w:sz w:val="24"/>
                <w:szCs w:val="24"/>
              </w:rPr>
              <m:t>2</m:t>
            </m:r>
          </m:sup>
        </m:sSubSup>
      </m:oMath>
      <w:r w:rsidRPr="00113A8F">
        <w:rPr>
          <w:rFonts w:cs="WarnockPro-Regular"/>
          <w:sz w:val="24"/>
          <w:szCs w:val="24"/>
        </w:rPr>
        <w:t xml:space="preserve">, for in that case we can transform the original model (5.1) by dividing it through by </w:t>
      </w:r>
      <m:oMath>
        <m:sSub>
          <m:sSubPr>
            <m:ctrlPr>
              <w:rPr>
                <w:rFonts w:ascii="Cambria Math" w:hAnsi="Cambria Math" w:cs="WarnockPro-Regular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WarnockPro-Regular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WarnockPro-Regular"/>
                <w:sz w:val="24"/>
                <w:szCs w:val="24"/>
              </w:rPr>
              <m:t>i</m:t>
            </m:r>
          </m:sub>
        </m:sSub>
      </m:oMath>
      <w:r w:rsidRPr="00113A8F">
        <w:rPr>
          <w:rFonts w:cs="WarnockPro-Regular"/>
          <w:sz w:val="24"/>
          <w:szCs w:val="24"/>
        </w:rPr>
        <w:t xml:space="preserve"> and estimate the transformed model by OLS, which will produce estimators</w:t>
      </w:r>
      <w:r w:rsidRPr="00113A8F">
        <w:rPr>
          <w:rFonts w:eastAsia="SymbolMT" w:cs="SymbolMT"/>
          <w:sz w:val="24"/>
          <w:szCs w:val="24"/>
        </w:rPr>
        <w:t xml:space="preserve"> </w:t>
      </w:r>
      <w:r w:rsidRPr="00113A8F">
        <w:rPr>
          <w:rFonts w:cs="WarnockPro-Regular"/>
          <w:sz w:val="24"/>
          <w:szCs w:val="24"/>
        </w:rPr>
        <w:t>that are BLUE. This method of estimation is known as weighted least squares</w:t>
      </w:r>
      <w:r w:rsidRPr="00113A8F">
        <w:rPr>
          <w:rFonts w:eastAsia="SymbolMT" w:cs="SymbolMT"/>
          <w:sz w:val="24"/>
          <w:szCs w:val="24"/>
        </w:rPr>
        <w:t xml:space="preserve"> </w:t>
      </w:r>
      <w:r w:rsidRPr="00113A8F">
        <w:rPr>
          <w:rFonts w:cs="WarnockPro-Regular"/>
          <w:sz w:val="24"/>
          <w:szCs w:val="24"/>
        </w:rPr>
        <w:t>(WLS). Unfortunately, we rarely, if ever, know the true error variances. Therefore we</w:t>
      </w:r>
      <w:r w:rsidRPr="00113A8F">
        <w:rPr>
          <w:rFonts w:eastAsia="SymbolMT" w:cs="SymbolMT"/>
          <w:sz w:val="24"/>
          <w:szCs w:val="24"/>
        </w:rPr>
        <w:t xml:space="preserve"> </w:t>
      </w:r>
      <w:r w:rsidRPr="00113A8F">
        <w:rPr>
          <w:rFonts w:cs="WarnockPro-Regular"/>
          <w:sz w:val="24"/>
          <w:szCs w:val="24"/>
        </w:rPr>
        <w:t>need to find the second best solution.</w:t>
      </w:r>
    </w:p>
    <w:p w:rsidR="00D970DF" w:rsidRPr="00113A8F" w:rsidRDefault="00D970DF" w:rsidP="00D970DF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</w:p>
    <w:p w:rsidR="00D970DF" w:rsidRPr="00113A8F" w:rsidRDefault="00D970DF" w:rsidP="00D970DF">
      <w:pPr>
        <w:autoSpaceDE w:val="0"/>
        <w:autoSpaceDN w:val="0"/>
        <w:adjustRightInd w:val="0"/>
        <w:spacing w:after="0" w:line="240" w:lineRule="auto"/>
        <w:rPr>
          <w:rFonts w:cs="WarnockPro-It"/>
          <w:i/>
          <w:iCs/>
          <w:sz w:val="24"/>
          <w:szCs w:val="24"/>
        </w:rPr>
      </w:pPr>
      <w:r w:rsidRPr="00113A8F">
        <w:rPr>
          <w:rFonts w:cs="WarnockPro-Regular"/>
          <w:sz w:val="24"/>
          <w:szCs w:val="24"/>
        </w:rPr>
        <w:t>Using some educated guesses of the likely nature of</w:t>
      </w:r>
      <w:r w:rsidR="003E3499" w:rsidRPr="00113A8F">
        <w:rPr>
          <w:rFonts w:eastAsiaTheme="minorEastAsia" w:cs="WarnockPro-Regular"/>
          <w:i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WarnockPro-Regular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WarnockPro-Regular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WarnockPro-Regular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WarnockPro-Regular"/>
                <w:sz w:val="24"/>
                <w:szCs w:val="24"/>
              </w:rPr>
              <m:t>2</m:t>
            </m:r>
          </m:sup>
        </m:sSubSup>
      </m:oMath>
      <w:r w:rsidRPr="00113A8F">
        <w:rPr>
          <w:rFonts w:cs="WarnockPro-Regular"/>
          <w:sz w:val="24"/>
          <w:szCs w:val="24"/>
        </w:rPr>
        <w:t xml:space="preserve"> we transform the original</w:t>
      </w:r>
      <w:r w:rsidR="003E3499" w:rsidRPr="00113A8F">
        <w:rPr>
          <w:rFonts w:cs="WarnockPro-It"/>
          <w:i/>
          <w:iCs/>
          <w:sz w:val="24"/>
          <w:szCs w:val="24"/>
        </w:rPr>
        <w:t xml:space="preserve"> </w:t>
      </w:r>
      <w:r w:rsidRPr="00113A8F">
        <w:rPr>
          <w:rFonts w:cs="WarnockPro-Regular"/>
          <w:sz w:val="24"/>
          <w:szCs w:val="24"/>
        </w:rPr>
        <w:t xml:space="preserve">model, estimate it, and subject it to </w:t>
      </w:r>
      <w:proofErr w:type="spellStart"/>
      <w:r w:rsidRPr="00113A8F">
        <w:rPr>
          <w:rFonts w:cs="WarnockPro-Regular"/>
          <w:sz w:val="24"/>
          <w:szCs w:val="24"/>
        </w:rPr>
        <w:t>heteroscedasticity</w:t>
      </w:r>
      <w:proofErr w:type="spellEnd"/>
      <w:r w:rsidRPr="00113A8F">
        <w:rPr>
          <w:rFonts w:cs="WarnockPro-Regular"/>
          <w:sz w:val="24"/>
          <w:szCs w:val="24"/>
        </w:rPr>
        <w:t xml:space="preserve"> tests. If these tests suggest that</w:t>
      </w:r>
      <w:r w:rsidR="003E3499" w:rsidRPr="00113A8F">
        <w:rPr>
          <w:rFonts w:cs="WarnockPro-It"/>
          <w:i/>
          <w:iCs/>
          <w:sz w:val="24"/>
          <w:szCs w:val="24"/>
        </w:rPr>
        <w:t xml:space="preserve"> </w:t>
      </w:r>
      <w:r w:rsidRPr="00113A8F">
        <w:rPr>
          <w:rFonts w:cs="WarnockPro-Regular"/>
          <w:sz w:val="24"/>
          <w:szCs w:val="24"/>
        </w:rPr>
        <w:t xml:space="preserve">there is no </w:t>
      </w:r>
      <w:proofErr w:type="spellStart"/>
      <w:r w:rsidRPr="00113A8F">
        <w:rPr>
          <w:rFonts w:cs="WarnockPro-Regular"/>
          <w:sz w:val="24"/>
          <w:szCs w:val="24"/>
        </w:rPr>
        <w:t>heteroscedasticity</w:t>
      </w:r>
      <w:proofErr w:type="spellEnd"/>
      <w:r w:rsidRPr="00113A8F">
        <w:rPr>
          <w:rFonts w:cs="WarnockPro-Regular"/>
          <w:sz w:val="24"/>
          <w:szCs w:val="24"/>
        </w:rPr>
        <w:t xml:space="preserve"> problem in the transformed model, we may not reject</w:t>
      </w:r>
      <w:r w:rsidR="003E3499" w:rsidRPr="00113A8F">
        <w:rPr>
          <w:rFonts w:cs="WarnockPro-It"/>
          <w:i/>
          <w:iCs/>
          <w:sz w:val="24"/>
          <w:szCs w:val="24"/>
        </w:rPr>
        <w:t xml:space="preserve"> </w:t>
      </w:r>
      <w:r w:rsidRPr="00113A8F">
        <w:rPr>
          <w:rFonts w:cs="WarnockPro-Regular"/>
          <w:sz w:val="24"/>
          <w:szCs w:val="24"/>
        </w:rPr>
        <w:t>the transformed model. If, however, the transformed model shows that the problem</w:t>
      </w:r>
      <w:r w:rsidR="003E3499" w:rsidRPr="00113A8F">
        <w:rPr>
          <w:rFonts w:cs="WarnockPro-It"/>
          <w:i/>
          <w:iCs/>
          <w:sz w:val="24"/>
          <w:szCs w:val="24"/>
        </w:rPr>
        <w:t xml:space="preserve"> </w:t>
      </w:r>
      <w:r w:rsidRPr="00113A8F">
        <w:rPr>
          <w:rFonts w:cs="WarnockPro-Regular"/>
          <w:sz w:val="24"/>
          <w:szCs w:val="24"/>
        </w:rPr>
        <w:t xml:space="preserve">of </w:t>
      </w:r>
      <w:proofErr w:type="spellStart"/>
      <w:r w:rsidRPr="00113A8F">
        <w:rPr>
          <w:rFonts w:cs="WarnockPro-Regular"/>
          <w:sz w:val="24"/>
          <w:szCs w:val="24"/>
        </w:rPr>
        <w:t>heteroscedasticity</w:t>
      </w:r>
      <w:proofErr w:type="spellEnd"/>
      <w:r w:rsidRPr="00113A8F">
        <w:rPr>
          <w:rFonts w:cs="WarnockPro-Regular"/>
          <w:sz w:val="24"/>
          <w:szCs w:val="24"/>
        </w:rPr>
        <w:t xml:space="preserve"> still persists, we can look for another transformation and repeat</w:t>
      </w:r>
      <w:r w:rsidR="003E3499" w:rsidRPr="00113A8F">
        <w:rPr>
          <w:rFonts w:cs="WarnockPro-It"/>
          <w:i/>
          <w:iCs/>
          <w:sz w:val="24"/>
          <w:szCs w:val="24"/>
        </w:rPr>
        <w:t xml:space="preserve"> </w:t>
      </w:r>
      <w:r w:rsidRPr="00113A8F">
        <w:rPr>
          <w:rFonts w:cs="WarnockPro-Regular"/>
          <w:sz w:val="24"/>
          <w:szCs w:val="24"/>
        </w:rPr>
        <w:t>the cycle again.</w:t>
      </w:r>
    </w:p>
    <w:p w:rsidR="003E3499" w:rsidRPr="00113A8F" w:rsidRDefault="003E3499" w:rsidP="00D970DF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</w:p>
    <w:p w:rsidR="00BF2170" w:rsidRPr="00113A8F" w:rsidRDefault="00D970DF" w:rsidP="003E3499">
      <w:pPr>
        <w:autoSpaceDE w:val="0"/>
        <w:autoSpaceDN w:val="0"/>
        <w:adjustRightInd w:val="0"/>
        <w:spacing w:after="0" w:line="240" w:lineRule="auto"/>
        <w:rPr>
          <w:rFonts w:cs="WarnockPro-Regular"/>
          <w:sz w:val="24"/>
          <w:szCs w:val="24"/>
        </w:rPr>
      </w:pPr>
      <w:r w:rsidRPr="00113A8F">
        <w:rPr>
          <w:rFonts w:cs="WarnockPro-Regular"/>
          <w:sz w:val="24"/>
          <w:szCs w:val="24"/>
        </w:rPr>
        <w:t xml:space="preserve">However, all this </w:t>
      </w:r>
      <w:proofErr w:type="spellStart"/>
      <w:r w:rsidRPr="00113A8F">
        <w:rPr>
          <w:rFonts w:cs="WarnockPro-Regular"/>
          <w:sz w:val="24"/>
          <w:szCs w:val="24"/>
        </w:rPr>
        <w:t>labor</w:t>
      </w:r>
      <w:proofErr w:type="spellEnd"/>
      <w:r w:rsidRPr="00113A8F">
        <w:rPr>
          <w:rFonts w:cs="WarnockPro-Regular"/>
          <w:sz w:val="24"/>
          <w:szCs w:val="24"/>
        </w:rPr>
        <w:t xml:space="preserve"> can be avoided if we hav</w:t>
      </w:r>
      <w:r w:rsidR="003E3499" w:rsidRPr="00113A8F">
        <w:rPr>
          <w:rFonts w:cs="WarnockPro-Regular"/>
          <w:sz w:val="24"/>
          <w:szCs w:val="24"/>
        </w:rPr>
        <w:t xml:space="preserve">e a sufficiently large sample, because in that case we </w:t>
      </w:r>
      <w:r w:rsidRPr="00113A8F">
        <w:rPr>
          <w:rFonts w:cs="WarnockPro-Regular"/>
          <w:sz w:val="24"/>
          <w:szCs w:val="24"/>
        </w:rPr>
        <w:t xml:space="preserve">can obtain </w:t>
      </w:r>
      <w:proofErr w:type="spellStart"/>
      <w:r w:rsidRPr="00113A8F">
        <w:rPr>
          <w:rFonts w:cs="WarnockPro-Regular"/>
          <w:sz w:val="24"/>
          <w:szCs w:val="24"/>
        </w:rPr>
        <w:t>heteroscedasti</w:t>
      </w:r>
      <w:r w:rsidR="003E3499" w:rsidRPr="00113A8F">
        <w:rPr>
          <w:rFonts w:cs="WarnockPro-Regular"/>
          <w:sz w:val="24"/>
          <w:szCs w:val="24"/>
        </w:rPr>
        <w:t>city</w:t>
      </w:r>
      <w:proofErr w:type="spellEnd"/>
      <w:r w:rsidR="003E3499" w:rsidRPr="00113A8F">
        <w:rPr>
          <w:rFonts w:cs="WarnockPro-Regular"/>
          <w:sz w:val="24"/>
          <w:szCs w:val="24"/>
        </w:rPr>
        <w:t xml:space="preserve">-corrected standard errors, </w:t>
      </w:r>
      <w:r w:rsidRPr="00113A8F">
        <w:rPr>
          <w:rFonts w:cs="WarnockPro-Regular"/>
          <w:sz w:val="24"/>
          <w:szCs w:val="24"/>
        </w:rPr>
        <w:t>using the p</w:t>
      </w:r>
      <w:r w:rsidR="005D3D05" w:rsidRPr="00113A8F">
        <w:rPr>
          <w:rFonts w:cs="WarnockPro-Regular"/>
          <w:sz w:val="24"/>
          <w:szCs w:val="24"/>
        </w:rPr>
        <w:t>rocedure suggested by White. Th</w:t>
      </w:r>
      <w:r w:rsidRPr="00113A8F">
        <w:rPr>
          <w:rFonts w:cs="WarnockPro-Regular"/>
          <w:sz w:val="24"/>
          <w:szCs w:val="24"/>
        </w:rPr>
        <w:t>e corr</w:t>
      </w:r>
      <w:r w:rsidR="003E3499" w:rsidRPr="00113A8F">
        <w:rPr>
          <w:rFonts w:cs="WarnockPro-Regular"/>
          <w:sz w:val="24"/>
          <w:szCs w:val="24"/>
        </w:rPr>
        <w:t xml:space="preserve">ected standard errors are known </w:t>
      </w:r>
      <w:r w:rsidRPr="00113A8F">
        <w:rPr>
          <w:rFonts w:cs="WarnockPro-Regular"/>
          <w:sz w:val="24"/>
          <w:szCs w:val="24"/>
        </w:rPr>
        <w:t xml:space="preserve">as </w:t>
      </w:r>
      <w:r w:rsidRPr="00113A8F">
        <w:rPr>
          <w:rFonts w:cs="WarnockPro-Semibold"/>
          <w:b/>
          <w:bCs/>
          <w:sz w:val="24"/>
          <w:szCs w:val="24"/>
        </w:rPr>
        <w:t>robust standard errors</w:t>
      </w:r>
      <w:r w:rsidRPr="00113A8F">
        <w:rPr>
          <w:rFonts w:cs="WarnockPro-Regular"/>
          <w:sz w:val="24"/>
          <w:szCs w:val="24"/>
        </w:rPr>
        <w:t>. Nowadays there are several mi</w:t>
      </w:r>
      <w:r w:rsidR="003E3499" w:rsidRPr="00113A8F">
        <w:rPr>
          <w:rFonts w:cs="WarnockPro-Regular"/>
          <w:sz w:val="24"/>
          <w:szCs w:val="24"/>
        </w:rPr>
        <w:t xml:space="preserve">cro data sets that are produced </w:t>
      </w:r>
      <w:r w:rsidRPr="00113A8F">
        <w:rPr>
          <w:rFonts w:cs="WarnockPro-Regular"/>
          <w:sz w:val="24"/>
          <w:szCs w:val="24"/>
        </w:rPr>
        <w:t>by several agencies that have a large numb</w:t>
      </w:r>
      <w:r w:rsidR="003E3499" w:rsidRPr="00113A8F">
        <w:rPr>
          <w:rFonts w:cs="WarnockPro-Regular"/>
          <w:sz w:val="24"/>
          <w:szCs w:val="24"/>
        </w:rPr>
        <w:t xml:space="preserve">er of observations, which makes </w:t>
      </w:r>
      <w:r w:rsidRPr="00113A8F">
        <w:rPr>
          <w:rFonts w:cs="WarnockPro-Regular"/>
          <w:sz w:val="24"/>
          <w:szCs w:val="24"/>
        </w:rPr>
        <w:t>it possible to use the robust standard errors in reg</w:t>
      </w:r>
      <w:r w:rsidR="003E3499" w:rsidRPr="00113A8F">
        <w:rPr>
          <w:rFonts w:cs="WarnockPro-Regular"/>
          <w:sz w:val="24"/>
          <w:szCs w:val="24"/>
        </w:rPr>
        <w:t xml:space="preserve">ression models suspected of the </w:t>
      </w:r>
      <w:proofErr w:type="spellStart"/>
      <w:r w:rsidRPr="00113A8F">
        <w:rPr>
          <w:rFonts w:cs="WarnockPro-Regular"/>
          <w:sz w:val="24"/>
          <w:szCs w:val="24"/>
        </w:rPr>
        <w:t>heteroscedasticity</w:t>
      </w:r>
      <w:proofErr w:type="spellEnd"/>
      <w:r w:rsidRPr="00113A8F">
        <w:rPr>
          <w:rFonts w:cs="WarnockPro-Regular"/>
          <w:sz w:val="24"/>
          <w:szCs w:val="24"/>
        </w:rPr>
        <w:t xml:space="preserve"> problem.</w:t>
      </w:r>
    </w:p>
    <w:sectPr w:rsidR="00BF2170" w:rsidRPr="00113A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A8F" w:rsidRDefault="00113A8F" w:rsidP="00113A8F">
      <w:pPr>
        <w:spacing w:after="0" w:line="240" w:lineRule="auto"/>
      </w:pPr>
      <w:r>
        <w:separator/>
      </w:r>
    </w:p>
  </w:endnote>
  <w:endnote w:type="continuationSeparator" w:id="0">
    <w:p w:rsidR="00113A8F" w:rsidRDefault="00113A8F" w:rsidP="00113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arnock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arnockPro-I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arnockPro-Semi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A8F" w:rsidRDefault="00113A8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A8F" w:rsidRPr="00033297" w:rsidRDefault="00113A8F" w:rsidP="00113A8F">
    <w:pPr>
      <w:pStyle w:val="Header"/>
      <w:rPr>
        <w:rFonts w:cs="Arial"/>
        <w:i/>
        <w:sz w:val="18"/>
        <w:szCs w:val="18"/>
      </w:rPr>
    </w:pPr>
    <w:r>
      <w:rPr>
        <w:rFonts w:cs="Arial"/>
        <w:i/>
        <w:sz w:val="18"/>
        <w:szCs w:val="18"/>
      </w:rPr>
      <w:t>Econometrics by Example</w:t>
    </w:r>
    <w:r>
      <w:rPr>
        <w:rFonts w:eastAsiaTheme="majorEastAsia" w:cs="Arial"/>
        <w:sz w:val="18"/>
        <w:szCs w:val="18"/>
      </w:rPr>
      <w:t xml:space="preserve">, second edition, © </w:t>
    </w:r>
    <w:proofErr w:type="spellStart"/>
    <w:r>
      <w:rPr>
        <w:rFonts w:eastAsiaTheme="majorEastAsia" w:cs="Arial"/>
        <w:sz w:val="18"/>
        <w:szCs w:val="18"/>
      </w:rPr>
      <w:t>Damodar</w:t>
    </w:r>
    <w:proofErr w:type="spellEnd"/>
    <w:r>
      <w:rPr>
        <w:rFonts w:eastAsiaTheme="majorEastAsia" w:cs="Arial"/>
        <w:sz w:val="18"/>
        <w:szCs w:val="18"/>
      </w:rPr>
      <w:t xml:space="preserve"> Gujarati</w:t>
    </w:r>
    <w:r w:rsidRPr="00C3252F">
      <w:rPr>
        <w:rFonts w:eastAsiaTheme="majorEastAsia" w:cs="Arial"/>
        <w:sz w:val="18"/>
        <w:szCs w:val="18"/>
      </w:rPr>
      <w:t>, 2014</w:t>
    </w:r>
    <w:r>
      <w:rPr>
        <w:rFonts w:eastAsiaTheme="majorEastAsia" w:cs="Arial"/>
        <w:sz w:val="18"/>
        <w:szCs w:val="18"/>
      </w:rPr>
      <w:t xml:space="preserve">. </w:t>
    </w:r>
  </w:p>
  <w:p w:rsidR="00113A8F" w:rsidRPr="00C3252F" w:rsidRDefault="00113A8F" w:rsidP="00113A8F">
    <w:pPr>
      <w:pStyle w:val="Footer"/>
      <w:rPr>
        <w:rFonts w:cs="Arial"/>
        <w:sz w:val="18"/>
        <w:szCs w:val="18"/>
      </w:rPr>
    </w:pPr>
    <w:r w:rsidRPr="00C3252F">
      <w:rPr>
        <w:rFonts w:cs="Arial"/>
        <w:sz w:val="18"/>
        <w:szCs w:val="18"/>
      </w:rPr>
      <w:t xml:space="preserve">For more resources visit </w:t>
    </w:r>
    <w:hyperlink r:id="rId1" w:history="1">
      <w:r w:rsidRPr="004E0747">
        <w:rPr>
          <w:rStyle w:val="Hyperlink"/>
          <w:rFonts w:cs="Arial"/>
          <w:sz w:val="18"/>
          <w:szCs w:val="18"/>
        </w:rPr>
        <w:t>http://www.palgrave.com/companion/gujarati-econometrics-by-example-2e/</w:t>
      </w:r>
    </w:hyperlink>
    <w:r w:rsidR="0072207F">
      <w:rPr>
        <w:rStyle w:val="Hyperlink"/>
        <w:rFonts w:cs="Arial"/>
        <w:sz w:val="18"/>
        <w:szCs w:val="18"/>
      </w:rPr>
      <w:t>.</w:t>
    </w:r>
    <w:bookmarkStart w:id="0" w:name="_GoBack"/>
    <w:bookmarkEnd w:id="0"/>
    <w:r>
      <w:rPr>
        <w:rFonts w:cs="Arial"/>
        <w:sz w:val="18"/>
        <w:szCs w:val="18"/>
      </w:rPr>
      <w:t xml:space="preserve"> </w:t>
    </w:r>
  </w:p>
  <w:p w:rsidR="00113A8F" w:rsidRDefault="00113A8F">
    <w:pPr>
      <w:pStyle w:val="Footer"/>
    </w:pPr>
  </w:p>
  <w:p w:rsidR="00113A8F" w:rsidRDefault="00113A8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A8F" w:rsidRDefault="00113A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A8F" w:rsidRDefault="00113A8F" w:rsidP="00113A8F">
      <w:pPr>
        <w:spacing w:after="0" w:line="240" w:lineRule="auto"/>
      </w:pPr>
      <w:r>
        <w:separator/>
      </w:r>
    </w:p>
  </w:footnote>
  <w:footnote w:type="continuationSeparator" w:id="0">
    <w:p w:rsidR="00113A8F" w:rsidRDefault="00113A8F" w:rsidP="00113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A8F" w:rsidRDefault="00113A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A8F" w:rsidRDefault="00113A8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3A8F" w:rsidRDefault="00113A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0DF"/>
    <w:rsid w:val="00113A8F"/>
    <w:rsid w:val="002B2B6F"/>
    <w:rsid w:val="003E3499"/>
    <w:rsid w:val="00563CF7"/>
    <w:rsid w:val="005D3D05"/>
    <w:rsid w:val="0072207F"/>
    <w:rsid w:val="00BF2170"/>
    <w:rsid w:val="00CA36D4"/>
    <w:rsid w:val="00D9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0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3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A8F"/>
  </w:style>
  <w:style w:type="paragraph" w:styleId="Footer">
    <w:name w:val="footer"/>
    <w:basedOn w:val="Normal"/>
    <w:link w:val="FooterChar"/>
    <w:uiPriority w:val="99"/>
    <w:unhideWhenUsed/>
    <w:rsid w:val="00113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A8F"/>
  </w:style>
  <w:style w:type="character" w:styleId="Hyperlink">
    <w:name w:val="Hyperlink"/>
    <w:basedOn w:val="DefaultParagraphFont"/>
    <w:uiPriority w:val="99"/>
    <w:unhideWhenUsed/>
    <w:rsid w:val="00113A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70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0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3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A8F"/>
  </w:style>
  <w:style w:type="paragraph" w:styleId="Footer">
    <w:name w:val="footer"/>
    <w:basedOn w:val="Normal"/>
    <w:link w:val="FooterChar"/>
    <w:uiPriority w:val="99"/>
    <w:unhideWhenUsed/>
    <w:rsid w:val="00113A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A8F"/>
  </w:style>
  <w:style w:type="character" w:styleId="Hyperlink">
    <w:name w:val="Hyperlink"/>
    <w:basedOn w:val="DefaultParagraphFont"/>
    <w:uiPriority w:val="99"/>
    <w:unhideWhenUsed/>
    <w:rsid w:val="00113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lgrave.com/companion/gujarati-econometrics-by-example-2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Zimmerman, Lauren</dc:creator>
  <cp:lastModifiedBy>Zimmerman, Lauren</cp:lastModifiedBy>
  <cp:revision>4</cp:revision>
  <dcterms:created xsi:type="dcterms:W3CDTF">2014-09-16T15:37:00Z</dcterms:created>
  <dcterms:modified xsi:type="dcterms:W3CDTF">2014-09-19T14:41:00Z</dcterms:modified>
</cp:coreProperties>
</file>