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AI新公司股权结构设计模板</w:t>
      </w:r>
    </w:p>
    <w:p>
      <w:r>
        <w:t>文件版本：V1.0 | 日期：2026年5月 | 适用场景：创始人+接班人+老臣/核心员工</w:t>
      </w:r>
    </w:p>
    <w:p/>
    <w:p>
      <w:pPr>
        <w:pStyle w:val="Heading1"/>
      </w:pPr>
      <w:r>
        <w:t>一、股权结构设计原则</w:t>
      </w:r>
    </w:p>
    <w:p>
      <w:pPr>
        <w:pStyle w:val="ListNumber"/>
      </w:pPr>
      <w:r>
        <w:t>「新旧隔离」原则：新公司股权与旧公司完全独立，避免利益纠缠</w:t>
      </w:r>
    </w:p>
    <w:p>
      <w:pPr>
        <w:pStyle w:val="ListNumber"/>
      </w:pPr>
      <w:r>
        <w:t>「接班人主导」原则：接班人须持有≥51%股权，确保决策主导权</w:t>
      </w:r>
    </w:p>
    <w:p>
      <w:pPr>
        <w:pStyle w:val="ListNumber"/>
      </w:pPr>
      <w:r>
        <w:t>「老臣绑定」原则：为关键老臣预留5-15%期权池，分期行权</w:t>
      </w:r>
    </w:p>
    <w:p>
      <w:pPr>
        <w:pStyle w:val="ListNumber"/>
      </w:pPr>
      <w:r>
        <w:t>「创始人监督」原则：创始人保留否决权，不干预日常经营</w:t>
      </w:r>
    </w:p>
    <w:p>
      <w:pPr>
        <w:pStyle w:val="ListNumber"/>
      </w:pPr>
      <w:r>
        <w:t>「未来融资」原则：预留10-20%期权池，为未来人才/融资留空间</w:t>
      </w:r>
    </w:p>
    <w:p>
      <w:pPr>
        <w:pStyle w:val="Heading1"/>
      </w:pPr>
      <w:r>
        <w:t>二、标准股权结构模板（以100万注册资本为例）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股东角色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持股比例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出资额（万）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特殊权利</w:t>
            </w:r>
          </w:p>
        </w:tc>
      </w:tr>
      <w:tr>
        <w:tc>
          <w:tcPr>
            <w:tcW w:type="dxa" w:w="2160"/>
          </w:tcPr>
          <w:p>
            <w:r>
              <w:t>接班人（CEO）</w:t>
            </w:r>
          </w:p>
        </w:tc>
        <w:tc>
          <w:tcPr>
            <w:tcW w:type="dxa" w:w="2160"/>
          </w:tcPr>
          <w:p>
            <w:r>
              <w:t>52%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日常决策权</w:t>
            </w:r>
          </w:p>
        </w:tc>
      </w:tr>
      <w:tr>
        <w:tc>
          <w:tcPr>
            <w:tcW w:type="dxa" w:w="2160"/>
          </w:tcPr>
          <w:p>
            <w:r>
              <w:t>创始人（董事长）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否决权（重大事项）</w:t>
            </w:r>
          </w:p>
        </w:tc>
      </w:tr>
      <w:tr>
        <w:tc>
          <w:tcPr>
            <w:tcW w:type="dxa" w:w="2160"/>
          </w:tcPr>
          <w:p>
            <w:r>
              <w:t>核心老臣A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分期4年行权</w:t>
            </w:r>
          </w:p>
        </w:tc>
      </w:tr>
      <w:tr>
        <w:tc>
          <w:tcPr>
            <w:tcW w:type="dxa" w:w="2160"/>
          </w:tcPr>
          <w:p>
            <w:r>
              <w:t>核心老臣B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分期4年行权</w:t>
            </w:r>
          </w:p>
        </w:tc>
      </w:tr>
      <w:tr>
        <w:tc>
          <w:tcPr>
            <w:tcW w:type="dxa" w:w="2160"/>
          </w:tcPr>
          <w:p>
            <w:r>
              <w:t>期权池（未来人才）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CEO代持，按绩效发放</w:t>
            </w:r>
          </w:p>
        </w:tc>
      </w:tr>
    </w:tbl>
    <w:p/>
    <w:p>
      <w:pPr>
        <w:pStyle w:val="Heading1"/>
      </w:pPr>
      <w:r>
        <w:t>三、关键法律条款 Checklist</w:t>
      </w:r>
    </w:p>
    <w:p>
      <w:pPr>
        <w:pStyle w:val="ListBullet"/>
      </w:pPr>
      <w:r>
        <w:t>✅ 股东协议：明确分红机制、退出机制、竞业限制</w:t>
      </w:r>
    </w:p>
    <w:p>
      <w:pPr>
        <w:pStyle w:val="ListBullet"/>
      </w:pPr>
      <w:r>
        <w:t>✅ 公司章程：与股东协议保持一致，避免冲突</w:t>
      </w:r>
    </w:p>
    <w:p>
      <w:pPr>
        <w:pStyle w:val="ListBullet"/>
      </w:pPr>
      <w:r>
        <w:t>✅ 期权协议：行权条件、行权价格、离职处理</w:t>
      </w:r>
    </w:p>
    <w:p>
      <w:pPr>
        <w:pStyle w:val="ListBullet"/>
      </w:pPr>
      <w:r>
        <w:t>✅ 竞业限制：核心人员离职后2年内不得从事同类业务</w:t>
      </w:r>
    </w:p>
    <w:p>
      <w:pPr>
        <w:pStyle w:val="ListBullet"/>
      </w:pPr>
      <w:r>
        <w:t>✅ 知识产权：新旧公司间的IP授权/转让协议</w:t>
      </w:r>
    </w:p>
    <w:p/>
    <w:p>
      <w:r>
        <w:t>注：本模板为通用参考，具体股权设计须咨询专业律师和税务师。</w:t>
      </w:r>
    </w:p>
    <w:p>
      <w:r>
        <w:t>生成时间：2026年05月08日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