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</w:pPr>
      <w:r>
        <w:t xml:space="preserve">RAI Funding, LLC</w:t>
      </w:r>
    </w:p>
    <w:p>
      <w:pPr>
        <w:jc w:val="center"/>
      </w:pPr>
      <w:r>
        <w:t xml:space="preserve">Remittance Report</w:t>
      </w:r>
    </w:p>
    <w:p>
      <w:pPr>
        <w:jc w:val="center"/>
      </w:pPr>
      <w:r>
        <w:t xml:space="preserve">Global Integrity</w:t>
      </w:r>
    </w:p>
    <w:p>
      <w:pPr>
        <w:jc w:val="left"/>
      </w:pPr>
      <w:r>
        <w:t xml:space="preserve">Remittance Date 4/28/2022</w:t>
        <w:br/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349"/>
        <w:gridCol w:w="1349"/>
        <w:gridCol w:w="1349"/>
        <w:gridCol w:w="1349"/>
        <w:gridCol w:w="1349"/>
        <w:gridCol w:w="1349"/>
        <w:gridCol w:w="1349"/>
        <w:gridCol w:w="1349"/>
        <w:gridCol w:w="1349"/>
        <w:gridCol w:w="1349"/>
        <w:gridCol w:w="1349"/>
      </w:tblGrid>
      <w:tr>
        <w:trPr>
          <w:trHeight w:val="460"/>
          <w:tblHeader/>
        </w:trPr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Business Name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Client Name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Loan Number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Interest Percentage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Mortgage Amount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Proceeds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Loan Amount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Interest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Origination Fee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Underwriting/ Administrative Fee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Total Transfer</w:t>
            </w:r>
          </w:p>
        </w:tc>
      </w:tr>
      <w:tr>
        <w:trPr>
          <w:trHeight w:val="400"/>
        </w:trPr>
        <w:tc>
          <w:tcPr>
            <w:tcW w:w="1349" w:type="dxa"/>
            <w:tcBorders/>
            <w:vAlign w:val="center"/>
          </w:tcPr>
          <w:p>
            <w:pPr/>
            <w:r>
              <w:t xml:space="preserve">Wanda's Candyhouse  Property Management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Inas Jones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GIF-12704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10.000%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148,000.00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145,271.31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125,800.00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1,432.72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740.00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100.00</w:t>
            </w:r>
          </w:p>
        </w:tc>
        <w:tc>
          <w:tcPr>
            <w:tcW w:w="1349" w:type="dxa"/>
            <w:tcBorders/>
            <w:vAlign w:val="center"/>
          </w:tcPr>
          <w:p>
            <w:pPr>
              <w:jc w:val="right"/>
            </w:pPr>
            <w:r>
              <w:rPr>
                <w:sz w:val="24"/>
              </w:rPr>
              <w:t xml:space="preserve">17,198.59</w:t>
            </w:r>
          </w:p>
        </w:tc>
      </w:tr>
      <w:tr>
        <w:trPr/>
        <w:tc>
          <w:tcPr>
            <w:tcW w:w="12141" w:type="dxa"/>
            <w:hMerge w:val="restart"/>
            <w:tcBorders/>
          </w:tcPr>
          <w:p>
            <w:pPr>
              <w:jc w:val="left"/>
            </w:pPr>
            <w:r>
              <w:rPr>
                <w:sz w:val="24"/>
              </w:rPr>
              <w:t xml:space="preserve">Wire Transfer Fee If Applicable</w:t>
            </w:r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1349" w:type="dxa"/>
            <w:tcBorders/>
          </w:tcPr>
          <w:p>
            <w:pPr/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sz w:val="24"/>
              </w:rPr>
              <w:t xml:space="preserve">(25.00)</w:t>
            </w:r>
          </w:p>
        </w:tc>
      </w:tr>
      <w:tr>
        <w:trPr>
          <w:trHeight w:val="460"/>
        </w:trPr>
        <w:tc>
          <w:tcPr>
            <w:tcW w:w="4047" w:type="dxa"/>
            <w:hMerge w:val="restart"/>
            <w:tcBorders/>
          </w:tcPr>
          <w:p>
            <w:pPr>
              <w:jc w:val="left"/>
            </w:pPr>
            <w:r>
              <w:rPr>
                <w:sz w:val="24"/>
              </w:rPr>
              <w:t xml:space="preserve">Total Transfer Due Global Integrity</w:t>
            </w:r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1349" w:type="dxa"/>
            <w:tcBorders/>
          </w:tcPr>
          <w:p>
            <w:pPr/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148,000.00</w:t>
            </w:r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145,271.31</w:t>
            </w:r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125,800.00</w:t>
            </w:r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1,432.72</w:t>
            </w:r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740.00</w:t>
            </w:r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100.00</w:t>
            </w:r>
          </w:p>
        </w:tc>
        <w:tc>
          <w:tcPr>
            <w:tcW w:w="1349" w:type="dxa"/>
            <w:tcBorders/>
          </w:tcPr>
          <w:p>
            <w:pPr>
              <w:jc w:val="right"/>
            </w:pPr>
            <w:r>
              <w:rPr>
                <w:b/>
                <w:sz w:val="24"/>
              </w:rPr>
              <w:t xml:space="preserve">17,173.59</w:t>
            </w:r>
          </w:p>
        </w:tc>
      </w:tr>
    </w:tbl>
    <w:p>
      <w:pPr>
        <w:jc w:val="left"/>
      </w:pPr>
      <w:r>
        <w:t xml:space="preserve">Wire Sent to Global Integrity</w:t>
      </w:r>
    </w:p>
    <w:sectPr>
      <w:pgSz w:w="16839" w:h="11907" w:orient="landscape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2022-04-28T15:17:46Z</dcterms:created>
  <dcterms:modified xsi:type="dcterms:W3CDTF">2022-04-28T15:17:46Z</dcterms:modified>
</cp:coreProperties>
</file>