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7E4BD4"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1D552A">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xml:space="preserve">.: </w:t>
            </w:r>
            <w:r w:rsidR="00EB20E1">
              <w:rPr>
                <w:rFonts w:ascii="Calibri" w:eastAsia="Calibri" w:hAnsi="Calibri" w:cs="Calibri"/>
                <w:color w:val="auto"/>
                <w:sz w:val="22"/>
                <w:szCs w:val="22"/>
              </w:rPr>
              <w:t>Φ</w:t>
            </w:r>
            <w:r w:rsidR="00EB20E1">
              <w:rPr>
                <w:rFonts w:ascii="Calibri" w:eastAsia="Calibri" w:hAnsi="Calibri" w:cs="Calibri"/>
                <w:color w:val="auto"/>
                <w:sz w:val="22"/>
                <w:szCs w:val="22"/>
                <w:lang w:val="en-US"/>
              </w:rPr>
              <w:t>.11.2/</w:t>
            </w:r>
            <w:r w:rsidRPr="00823F78">
              <w:rPr>
                <w:rFonts w:ascii="Calibri" w:eastAsia="Calibri" w:hAnsi="Calibri" w:cs="Calibri"/>
                <w:sz w:val="22"/>
                <w:szCs w:val="22"/>
                <w:lang w:val="en-US"/>
              </w:rPr>
              <w:t>${</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275223">
        <w:rPr>
          <w:rFonts w:asciiTheme="majorHAnsi" w:hAnsiTheme="majorHAnsi" w:cstheme="majorHAnsi"/>
          <w:sz w:val="24"/>
          <w:szCs w:val="24"/>
        </w:rPr>
        <w:t>_</w:t>
      </w:r>
      <w:r w:rsidR="00275223">
        <w:rPr>
          <w:rFonts w:asciiTheme="majorHAnsi" w:hAnsiTheme="majorHAnsi" w:cstheme="majorHAnsi"/>
          <w:sz w:val="24"/>
          <w:szCs w:val="24"/>
          <w:lang w:val="en-US"/>
        </w:rPr>
        <w:t>genitive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068BF"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068BF" w:rsidRPr="00E925FB" w:rsidRDefault="00A068BF"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9D0BDE">
        <w:trPr>
          <w:trHeight w:val="1655"/>
        </w:trPr>
        <w:tc>
          <w:tcPr>
            <w:tcW w:w="5300" w:type="dxa"/>
            <w:shd w:val="clear" w:color="auto" w:fill="auto"/>
          </w:tcPr>
          <w:p w:rsidR="00C63E1A" w:rsidRPr="00490F14" w:rsidRDefault="00C63E1A" w:rsidP="007247D6">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7247D6" w:rsidTr="009D0BDE">
        <w:trPr>
          <w:trHeight w:val="2520"/>
        </w:trPr>
        <w:tc>
          <w:tcPr>
            <w:tcW w:w="5300" w:type="dxa"/>
            <w:shd w:val="clear" w:color="auto" w:fill="auto"/>
          </w:tcPr>
          <w:p w:rsidR="007247D6" w:rsidRPr="00AF29A4" w:rsidRDefault="007247D6" w:rsidP="003F3AC4">
            <w:pPr>
              <w:pStyle w:val="normal"/>
              <w:tabs>
                <w:tab w:val="left" w:pos="3440"/>
              </w:tabs>
              <w:rPr>
                <w:rFonts w:ascii="Calibri" w:eastAsia="Calibri" w:hAnsi="Calibri" w:cs="Calibri"/>
                <w:sz w:val="20"/>
                <w:szCs w:val="20"/>
              </w:rPr>
            </w:pPr>
            <w:r w:rsidRPr="00AF29A4">
              <w:rPr>
                <w:rFonts w:ascii="Calibri" w:eastAsia="Calibri" w:hAnsi="Calibri" w:cs="Calibri"/>
                <w:sz w:val="20"/>
                <w:szCs w:val="20"/>
              </w:rPr>
              <w:t>ΚΟΙΝΟΠΟΙΗΣΗ</w:t>
            </w:r>
          </w:p>
          <w:p w:rsidR="007247D6" w:rsidRPr="00AF29A4" w:rsidRDefault="007247D6" w:rsidP="003F3AC4">
            <w:pPr>
              <w:pStyle w:val="normal"/>
              <w:numPr>
                <w:ilvl w:val="0"/>
                <w:numId w:val="4"/>
              </w:numPr>
              <w:pBdr>
                <w:top w:val="nil"/>
                <w:left w:val="nil"/>
                <w:bottom w:val="nil"/>
                <w:right w:val="nil"/>
                <w:between w:val="nil"/>
              </w:pBdr>
              <w:ind w:left="567" w:hanging="283"/>
              <w:rPr>
                <w:sz w:val="20"/>
                <w:szCs w:val="20"/>
              </w:rPr>
            </w:pPr>
            <w:r w:rsidRPr="00AF29A4">
              <w:rPr>
                <w:rFonts w:ascii="Calibri" w:eastAsia="Calibri" w:hAnsi="Calibri" w:cs="Calibri"/>
                <w:sz w:val="20"/>
                <w:szCs w:val="20"/>
              </w:rPr>
              <w:t>${</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AF29A4">
              <w:rPr>
                <w:rFonts w:ascii="Calibri" w:eastAsia="Calibri" w:hAnsi="Calibri" w:cs="Calibri"/>
                <w:sz w:val="20"/>
                <w:szCs w:val="20"/>
              </w:rPr>
              <w:t>Αναφερόμενους εκπαιδευτικούς διά της ${</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_</w:t>
            </w:r>
            <w:r w:rsidRPr="00AF29A4">
              <w:rPr>
                <w:rFonts w:ascii="Calibri" w:eastAsia="Calibri" w:hAnsi="Calibri" w:cs="Calibri"/>
                <w:sz w:val="20"/>
                <w:szCs w:val="20"/>
                <w:lang w:val="en-US"/>
              </w:rPr>
              <w:t>genitive</w:t>
            </w:r>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AF29A4">
              <w:rPr>
                <w:rFonts w:ascii="Calibri" w:eastAsia="Calibri" w:hAnsi="Calibri" w:cs="Calibri"/>
                <w:sz w:val="20"/>
                <w:szCs w:val="20"/>
              </w:rPr>
              <w:t>Αναφερόμενες σχολικές μονάδες/υπηρεσίες διά της ${</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_</w:t>
            </w:r>
            <w:r w:rsidRPr="00AF29A4">
              <w:rPr>
                <w:rFonts w:ascii="Calibri" w:eastAsia="Calibri" w:hAnsi="Calibri" w:cs="Calibri"/>
                <w:sz w:val="20"/>
                <w:szCs w:val="20"/>
                <w:lang w:val="en-US"/>
              </w:rPr>
              <w:t>genitive</w:t>
            </w:r>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AF29A4">
              <w:rPr>
                <w:rFonts w:ascii="Calibri" w:eastAsia="Calibri" w:hAnsi="Calibri" w:cs="Calibri"/>
                <w:color w:val="000000"/>
                <w:sz w:val="20"/>
                <w:szCs w:val="20"/>
              </w:rPr>
              <w:t xml:space="preserve">Α.Φ. / Π.Μ. </w:t>
            </w:r>
            <w:proofErr w:type="spellStart"/>
            <w:r w:rsidRPr="00AF29A4">
              <w:rPr>
                <w:rFonts w:ascii="Calibri" w:eastAsia="Calibri" w:hAnsi="Calibri" w:cs="Calibri"/>
                <w:color w:val="000000"/>
                <w:sz w:val="20"/>
                <w:szCs w:val="20"/>
              </w:rPr>
              <w:t>εκπ</w:t>
            </w:r>
            <w:proofErr w:type="spellEnd"/>
            <w:r w:rsidRPr="00AF29A4">
              <w:rPr>
                <w:rFonts w:ascii="Calibri" w:eastAsia="Calibri" w:hAnsi="Calibri" w:cs="Calibri"/>
                <w:color w:val="000000"/>
                <w:sz w:val="20"/>
                <w:szCs w:val="20"/>
              </w:rPr>
              <w:t>/</w:t>
            </w:r>
            <w:proofErr w:type="spellStart"/>
            <w:r w:rsidRPr="00AF29A4">
              <w:rPr>
                <w:rFonts w:ascii="Calibri" w:eastAsia="Calibri" w:hAnsi="Calibri" w:cs="Calibri"/>
                <w:color w:val="000000"/>
                <w:sz w:val="20"/>
                <w:szCs w:val="20"/>
              </w:rPr>
              <w:t>κών</w:t>
            </w:r>
            <w:proofErr w:type="spellEnd"/>
            <w:r w:rsidRPr="00AF29A4">
              <w:rPr>
                <w:rFonts w:ascii="Calibri" w:eastAsia="Calibri" w:hAnsi="Calibri" w:cs="Calibri"/>
                <w:color w:val="000000"/>
                <w:sz w:val="20"/>
                <w:szCs w:val="20"/>
              </w:rPr>
              <w:t xml:space="preserve"> (δια της Δ/</w:t>
            </w:r>
            <w:proofErr w:type="spellStart"/>
            <w:r w:rsidRPr="00AF29A4">
              <w:rPr>
                <w:rFonts w:ascii="Calibri" w:eastAsia="Calibri" w:hAnsi="Calibri" w:cs="Calibri"/>
                <w:color w:val="000000"/>
                <w:sz w:val="20"/>
                <w:szCs w:val="20"/>
              </w:rPr>
              <w:t>νσης</w:t>
            </w:r>
            <w:proofErr w:type="spellEnd"/>
            <w:r w:rsidRPr="00AF29A4">
              <w:rPr>
                <w:rFonts w:ascii="Calibri" w:eastAsia="Calibri" w:hAnsi="Calibri" w:cs="Calibri"/>
                <w:color w:val="000000"/>
                <w:sz w:val="20"/>
                <w:szCs w:val="20"/>
              </w:rPr>
              <w:t>)</w:t>
            </w:r>
          </w:p>
        </w:tc>
        <w:tc>
          <w:tcPr>
            <w:tcW w:w="4396" w:type="dxa"/>
            <w:shd w:val="clear" w:color="auto" w:fill="auto"/>
          </w:tcPr>
          <w:p w:rsidR="007247D6" w:rsidRPr="007247D6" w:rsidRDefault="007247D6">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31E36"/>
    <w:rsid w:val="0006194F"/>
    <w:rsid w:val="00085A8B"/>
    <w:rsid w:val="00116799"/>
    <w:rsid w:val="001305D3"/>
    <w:rsid w:val="00147E64"/>
    <w:rsid w:val="00160529"/>
    <w:rsid w:val="0019364C"/>
    <w:rsid w:val="001D3D23"/>
    <w:rsid w:val="001D552A"/>
    <w:rsid w:val="001F2F7A"/>
    <w:rsid w:val="0020659F"/>
    <w:rsid w:val="00217A63"/>
    <w:rsid w:val="0025327F"/>
    <w:rsid w:val="00275223"/>
    <w:rsid w:val="003344C3"/>
    <w:rsid w:val="003862B0"/>
    <w:rsid w:val="003D1AF6"/>
    <w:rsid w:val="003D5FFD"/>
    <w:rsid w:val="003D6E75"/>
    <w:rsid w:val="003E3CB0"/>
    <w:rsid w:val="0048399F"/>
    <w:rsid w:val="00490F14"/>
    <w:rsid w:val="004B0604"/>
    <w:rsid w:val="004D1B24"/>
    <w:rsid w:val="00554BE9"/>
    <w:rsid w:val="00577970"/>
    <w:rsid w:val="005F6E99"/>
    <w:rsid w:val="00627D4D"/>
    <w:rsid w:val="006940A6"/>
    <w:rsid w:val="006B4CC9"/>
    <w:rsid w:val="00711C1F"/>
    <w:rsid w:val="00711E22"/>
    <w:rsid w:val="007247D6"/>
    <w:rsid w:val="007703C6"/>
    <w:rsid w:val="00793853"/>
    <w:rsid w:val="007D25B1"/>
    <w:rsid w:val="007E4BD4"/>
    <w:rsid w:val="00823F78"/>
    <w:rsid w:val="0084087A"/>
    <w:rsid w:val="00852747"/>
    <w:rsid w:val="00867AF3"/>
    <w:rsid w:val="00870C3C"/>
    <w:rsid w:val="00915B12"/>
    <w:rsid w:val="009D0BDE"/>
    <w:rsid w:val="00A068BF"/>
    <w:rsid w:val="00A26057"/>
    <w:rsid w:val="00A360AD"/>
    <w:rsid w:val="00A51540"/>
    <w:rsid w:val="00AA315D"/>
    <w:rsid w:val="00AF29A4"/>
    <w:rsid w:val="00B241E1"/>
    <w:rsid w:val="00B71016"/>
    <w:rsid w:val="00B82BCC"/>
    <w:rsid w:val="00B913D5"/>
    <w:rsid w:val="00BA3245"/>
    <w:rsid w:val="00BE46D6"/>
    <w:rsid w:val="00C300A0"/>
    <w:rsid w:val="00C56C7B"/>
    <w:rsid w:val="00C63E1A"/>
    <w:rsid w:val="00C9232F"/>
    <w:rsid w:val="00CB0DB5"/>
    <w:rsid w:val="00CC2C65"/>
    <w:rsid w:val="00CD0ED2"/>
    <w:rsid w:val="00CF2604"/>
    <w:rsid w:val="00D1796D"/>
    <w:rsid w:val="00D346CC"/>
    <w:rsid w:val="00D41C38"/>
    <w:rsid w:val="00D74753"/>
    <w:rsid w:val="00DA5048"/>
    <w:rsid w:val="00DD364C"/>
    <w:rsid w:val="00E45389"/>
    <w:rsid w:val="00E46D87"/>
    <w:rsid w:val="00E602CE"/>
    <w:rsid w:val="00E809A2"/>
    <w:rsid w:val="00E925FB"/>
    <w:rsid w:val="00EB20E1"/>
    <w:rsid w:val="00EC4E44"/>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420</Words>
  <Characters>2272</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46</cp:revision>
  <dcterms:created xsi:type="dcterms:W3CDTF">2018-08-31T07:26:00Z</dcterms:created>
  <dcterms:modified xsi:type="dcterms:W3CDTF">2019-10-04T09:14:00Z</dcterms:modified>
</cp:coreProperties>
</file>