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2"/>
        <w:keepNext/>
      </w:pPr>
      <w:r>
        <w:rPr>
          <w:rFonts w:ascii="Calibri" w:hAnsi="Calibri"/>
          <w:b/>
          <w:color w:val="000000"/>
          <w:sz w:val="28"/>
        </w:rPr>
        <w:t>MEMORIA DE CÁLCULO CALC-EST-2026-004-R00</w:t>
      </w:r>
    </w:p>
    <w:p>
      <w:pPr>
        <w:pStyle w:val="Ttulo3"/>
        <w:keepNext/>
      </w:pPr>
      <w:r>
        <w:rPr>
          <w:rFonts w:ascii="Calibri" w:hAnsi="Calibri"/>
          <w:b/>
          <w:color w:val="000000"/>
          <w:sz w:val="24"/>
        </w:rPr>
        <w:t>Verificación comparativa del anclaje superior de 4Ø1" del contrafuerte: detalle del expediente y propuesta</w:t>
      </w:r>
    </w:p>
    <w:p>
      <w:pPr>
        <w:jc w:val="both"/>
      </w:pPr>
      <w:r>
        <w:rPr>
          <w:rFonts w:ascii="Calibri" w:hAnsi="Calibri"/>
          <w:b/>
          <w:color w:val="000000"/>
          <w:sz w:val="22"/>
        </w:rPr>
        <w:t>Proyecto:</w:t>
      </w:r>
      <w:r>
        <w:rPr>
          <w:rFonts w:ascii="Calibri" w:hAnsi="Calibri"/>
          <w:b w:val="0"/>
          <w:color w:val="000000"/>
          <w:sz w:val="22"/>
        </w:rPr>
        <w:t xml:space="preserve"> Creación de los servicios de transitabilidad mediante Puente Molinohuayco, distrito de Chilcas, provincia de La Mar, departamento de Ayacucho</w:t>
      </w:r>
    </w:p>
    <w:p>
      <w:pPr>
        <w:jc w:val="both"/>
        <w:keepNext/>
      </w:pPr>
      <w:r>
        <w:rPr>
          <w:rFonts w:ascii="Calibri" w:hAnsi="Calibri"/>
          <w:b/>
          <w:color w:val="000000"/>
          <w:sz w:val="22"/>
        </w:rPr>
        <w:t>CUI:</w:t>
      </w:r>
      <w:r>
        <w:rPr>
          <w:rFonts w:ascii="Calibri" w:hAnsi="Calibri"/>
          <w:b w:val="0"/>
          <w:color w:val="000000"/>
          <w:sz w:val="22"/>
        </w:rPr>
        <w:t xml:space="preserve"> 2508483</w:t>
      </w:r>
    </w:p>
    <w:p>
      <w:pPr>
        <w:jc w:val="both"/>
        <w:keepNext/>
      </w:pPr>
      <w:r>
        <w:rPr>
          <w:rFonts w:ascii="Calibri" w:hAnsi="Calibri"/>
          <w:b/>
          <w:color w:val="000000"/>
          <w:sz w:val="22"/>
        </w:rPr>
        <w:t>Elemento:</w:t>
      </w:r>
      <w:r>
        <w:rPr>
          <w:rFonts w:ascii="Calibri" w:hAnsi="Calibri"/>
          <w:b w:val="0"/>
          <w:color w:val="000000"/>
          <w:sz w:val="22"/>
        </w:rPr>
        <w:t xml:space="preserve"> encuentro superior contrafuerte-pantalla-cajuela del estribo derecho</w:t>
      </w:r>
    </w:p>
    <w:p>
      <w:pPr>
        <w:jc w:val="both"/>
        <w:keepNext/>
      </w:pPr>
      <w:r>
        <w:rPr>
          <w:rFonts w:ascii="Calibri" w:hAnsi="Calibri"/>
          <w:b/>
          <w:color w:val="000000"/>
          <w:sz w:val="22"/>
        </w:rPr>
        <w:t>Estado:</w:t>
      </w:r>
      <w:r>
        <w:rPr>
          <w:rFonts w:ascii="Calibri" w:hAnsi="Calibri"/>
          <w:b w:val="0"/>
          <w:color w:val="000000"/>
          <w:sz w:val="22"/>
        </w:rPr>
        <w:t xml:space="preserve"> para evaluación técnica</w:t>
      </w:r>
    </w:p>
    <w:p>
      <w:pPr>
        <w:jc w:val="both"/>
        <w:keepNext/>
      </w:pPr>
      <w:r>
        <w:rPr>
          <w:rFonts w:ascii="Calibri" w:hAnsi="Calibri"/>
          <w:b/>
          <w:color w:val="000000"/>
          <w:sz w:val="22"/>
        </w:rPr>
        <w:t>Revisión:</w:t>
      </w:r>
      <w:r>
        <w:rPr>
          <w:rFonts w:ascii="Calibri" w:hAnsi="Calibri"/>
          <w:b w:val="0"/>
          <w:color w:val="000000"/>
          <w:sz w:val="22"/>
        </w:rPr>
        <w:t xml:space="preserve"> R00</w:t>
      </w:r>
    </w:p>
    <w:p>
      <w:pPr>
        <w:jc w:val="both"/>
        <w:keepNext/>
      </w:pPr>
      <w:r>
        <w:rPr>
          <w:rFonts w:ascii="Calibri" w:hAnsi="Calibri"/>
          <w:b/>
          <w:color w:val="000000"/>
          <w:sz w:val="22"/>
        </w:rPr>
        <w:t>Fecha de actualización:</w:t>
      </w:r>
      <w:r>
        <w:rPr>
          <w:rFonts w:ascii="Calibri" w:hAnsi="Calibri"/>
          <w:b w:val="0"/>
          <w:color w:val="000000"/>
          <w:sz w:val="22"/>
        </w:rPr>
        <w:t xml:space="preserve"> 27/08/2026</w:t>
      </w:r>
    </w:p>
    <w:p>
      <w:pPr>
        <w:jc w:val="both"/>
        <w:keepNext/>
      </w:pPr>
      <w:r>
        <w:rPr>
          <w:rFonts w:ascii="Calibri" w:hAnsi="Calibri"/>
          <w:b/>
          <w:color w:val="000000"/>
          <w:sz w:val="22"/>
        </w:rPr>
        <w:t>Sistema de unidades:</w:t>
      </w:r>
      <w:r>
        <w:rPr>
          <w:rFonts w:ascii="Calibri" w:hAnsi="Calibri"/>
          <w:b w:val="0"/>
          <w:color w:val="000000"/>
          <w:sz w:val="22"/>
        </w:rPr>
        <w:t xml:space="preserve"> mm, cm, m, MPa, ksi y kN</w:t>
      </w:r>
    </w:p>
    <w:p>
      <w:pPr>
        <w:jc w:val="both"/>
        <w:keepNext/>
      </w:pPr>
      <w:r>
        <w:rPr>
          <w:rFonts w:ascii="Calibri" w:hAnsi="Calibri"/>
          <w:b/>
          <w:color w:val="000000"/>
          <w:sz w:val="22"/>
        </w:rPr>
        <w:t>Elaborado por:</w:t>
      </w:r>
      <w:r>
        <w:rPr>
          <w:rFonts w:ascii="Calibri" w:hAnsi="Calibri"/>
          <w:b w:val="0"/>
          <w:color w:val="000000"/>
          <w:sz w:val="22"/>
        </w:rPr>
        <w:t xml:space="preserve"> Ing. Paolo De la Calle - Especialista de Estructuras</w:t>
      </w:r>
    </w:p>
    <w:p>
      <w:pPr>
        <w:pStyle w:val="Ttulo3"/>
        <w:keepNext/>
      </w:pPr>
      <w:r>
        <w:rPr>
          <w:rFonts w:ascii="Calibri" w:hAnsi="Calibri"/>
          <w:b/>
          <w:color w:val="000000"/>
          <w:sz w:val="24"/>
        </w:rPr>
        <w:t>1. Resultado</w:t>
      </w:r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 xml:space="preserve">La separación libre corregida de 40 mm entre las barras Ø1" </w:t>
      </w:r>
      <w:r>
        <w:rPr>
          <w:rFonts w:ascii="Calibri" w:hAnsi="Calibri"/>
          <w:b/>
          <w:color w:val="000000"/>
          <w:sz w:val="22"/>
        </w:rPr>
        <w:t>cumple</w:t>
      </w:r>
      <w:r>
        <w:rPr>
          <w:rFonts w:ascii="Calibri" w:hAnsi="Calibri"/>
          <w:b w:val="0"/>
          <w:color w:val="000000"/>
          <w:sz w:val="22"/>
        </w:rPr>
        <w:t xml:space="preserve"> el mínimo de 38.1 mm exigido para concreto colocado in situ. La comparación del anclaje, evaluada para desarrollar la fluencia de las cuatro barras, produce el siguiente resultado: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0" w:type="auto"/>
        <w:tblLayout w:type="autofit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Alternativa</w:t>
            </w:r>
          </w:p>
        </w:tc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Longitud requerida</w:t>
            </w:r>
          </w:p>
        </w:tc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Longitud disponible</w:t>
            </w:r>
          </w:p>
        </w:tc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D/C</w:t>
            </w:r>
          </w:p>
        </w:tc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Detalle del expediente: gancho de 90° dentro de la pantalla</w:t>
            </w:r>
          </w:p>
        </w:tc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385 mm</w:t>
            </w:r>
          </w:p>
        </w:tc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300 mm</w:t>
            </w:r>
          </w:p>
        </w:tc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1.28</w:t>
            </w:r>
          </w:p>
        </w:tc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 cumple para desarrollar las 4Ø1" a fluencia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La propuesta: prolongación dentro de la cajuela</w:t>
            </w:r>
          </w:p>
        </w:tc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1465 mm</w:t>
            </w:r>
          </w:p>
        </w:tc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1764 mm</w:t>
            </w:r>
          </w:p>
        </w:tc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0.83</w:t>
            </w:r>
          </w:p>
        </w:tc>
        <w:tc>
          <w:tcPr>
            <w:tcW w:type="dxa" w:w="181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Cumple</w:t>
            </w:r>
          </w:p>
        </w:tc>
      </w:tr>
    </w:tbl>
    <w:p>
      <w:pPr>
        <w:spacing w:before="40" w:after="40"/>
      </w:pPr>
      <w:r>
        <w:rPr>
          <w:sz w:val="2"/>
        </w:rPr>
      </w:r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>El detalle del expediente puede resultar suficiente únicamente si se demuestra y documenta que no se requiere desarrollar la fluencia de las cuatro barras y se aplica la reducción por acero excedente. Usando el acero requerido de 11.38 cm² consignado en el cálculo del expediente y el acero provisto de 20.27 cm², el desarrollo del gancho se reduce a 216 mm y el detalle presenta D/C = 0.72. Esta comprobación condicionada no sustituye la verificación del modelo resistente ni autoriza a asumir una fuerza menor sin trazabilidad de cálculo.</w:t>
      </w:r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>Las cuatro barras Ø1" se consideran contenidas en el contrafuerte de 400 mm y dispuestas en una sola fila, con recubrimiento de 75 mm en ambas caras del contrafuerte. La cabida nominal de las barras resulta compatible con el espesor disponible y los horizontales Ø1/2" @ 300 mm de las dos mallas del contrafuerte se consideran correctamente detallados para confinarlas.</w:t>
      </w:r>
    </w:p>
    <w:p>
      <w:pPr>
        <w:pStyle w:val="Ttulo3"/>
        <w:keepNext/>
      </w:pPr>
      <w:r>
        <w:rPr>
          <w:rFonts w:ascii="Calibri" w:hAnsi="Calibri"/>
          <w:b/>
          <w:color w:val="000000"/>
          <w:sz w:val="24"/>
        </w:rPr>
        <w:t>2. Objeto y alcance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Verificar el anclaje superior de cuatro barras Ø1" ubicadas en el lomo del contrafuerte y comparar: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 xml:space="preserve">- </w:t>
      </w:r>
      <w:r>
        <w:rPr>
          <w:rFonts w:ascii="Calibri" w:hAnsi="Calibri"/>
          <w:b/>
          <w:color w:val="000000"/>
          <w:sz w:val="22"/>
        </w:rPr>
        <w:t>Detalle del expediente:</w:t>
      </w:r>
      <w:r>
        <w:rPr>
          <w:rFonts w:ascii="Calibri" w:hAnsi="Calibri"/>
          <w:b w:val="0"/>
          <w:color w:val="000000"/>
          <w:sz w:val="22"/>
        </w:rPr>
        <w:t xml:space="preserve"> las barras ingresan horizontalmente en la pantalla de 400 mm y terminan con gancho de 90° hacia abajo.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 xml:space="preserve">- </w:t>
      </w:r>
      <w:r>
        <w:rPr>
          <w:rFonts w:ascii="Calibri" w:hAnsi="Calibri"/>
          <w:b/>
          <w:color w:val="000000"/>
          <w:sz w:val="22"/>
        </w:rPr>
        <w:t>La propuesta:</w:t>
      </w:r>
      <w:r>
        <w:rPr>
          <w:rFonts w:ascii="Calibri" w:hAnsi="Calibri"/>
          <w:b w:val="0"/>
          <w:color w:val="000000"/>
          <w:sz w:val="22"/>
        </w:rPr>
        <w:t xml:space="preserve"> las barras continúan inclinadas dentro de la cajuela y luego se prolongan horizontalmente hacia su extremo.</w:t>
      </w:r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>La memoria revisa separación, cabida, desarrollo recto, gancho estándar, recubrimiento y contribución del refuerzo transversal. No recalcula las solicitaciones globales del contrafuerte, la pantalla, la cajuela ni la zapata.</w:t>
      </w:r>
    </w:p>
    <w:p>
      <w:pPr>
        <w:pStyle w:val="Ttulo3"/>
        <w:keepNext/>
      </w:pPr>
      <w:r>
        <w:rPr>
          <w:rFonts w:ascii="Calibri" w:hAnsi="Calibri"/>
          <w:b/>
          <w:color w:val="000000"/>
          <w:sz w:val="24"/>
        </w:rPr>
        <w:t>3. Documentos y criterios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- Manual de Puentes MTC 2018, artículos 2.6.5.6.1 y 2.6.5.6.2: desarrollo y anclaje del acero de refuerzo.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- Manual de Puentes MTC 2018, artículos 2.9.1.4.5.2 y 2.9.1.4.5.3: ganchos, diámetros de doblado y separación del refuerzo.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- Plano acotado del encuentro contrafuerte-pantalla-cajuela proporcionado para esta verificación.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- Anexo 4 del expediente técnico, diseño del estribo derecho, para la comprobación condicionada por acero excedente.</w:t>
      </w:r>
    </w:p>
    <w:p>
      <w:pPr>
        <w:pStyle w:val="Ttulo3"/>
        <w:keepNext/>
      </w:pPr>
      <w:r>
        <w:rPr>
          <w:rFonts w:ascii="Calibri" w:hAnsi="Calibri"/>
          <w:b/>
          <w:color w:val="000000"/>
          <w:sz w:val="24"/>
        </w:rPr>
        <w:t>4. Datos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0" w:type="auto"/>
        <w:tblLayout w:type="autofit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Símbolo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Descripción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Resistencia especificada del concreto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280 kgf/cm² = 27.46 MPa = 3.983 ksi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Fluencia del acero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4200 kgf/cm² = 411.88 MPa = 59.74 ksi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Diámetro de barra principal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1.00 in = 25.4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r>
                <m:t>n</m:t>
              </m:r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Número de barras desarrolladas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r>
                    <m:t>A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Área de una barra Ø1"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5.067 cm²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r>
                    <m:t>A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v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Área de 4Ø1"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20.27 cm²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r>
                    <m:t>s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Separación libre entre barras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40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g</m:t>
                  </m:r>
                  <m:r>
                    <m:t>g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Tamaño máximo de agregado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19.05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Espesor de pantalla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400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t>g</m:t>
                  </m:r>
                  <m:r>
                    <m:t>u</m:t>
                  </m:r>
                  <m:r>
                    <m:t>a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Recubrimiento en contacto con agua y abrasión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l</m:t>
                  </m:r>
                  <m:r>
                    <m:t>l</m:t>
                  </m:r>
                  <m:r>
                    <m:t>e</m:t>
                  </m:r>
                  <m:r>
                    <m:t>n</m:t>
                  </m:r>
                  <m:r>
                    <m:t>o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Recubrimiento en contacto con relleno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Acero horizontal de las dos mallas: 2Ø1/2"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2.534 cm² = 0.3927 in²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Separación del refuerzo transversal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300 mm = 11.811 in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Espesor vertical de la cajuela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400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r>
                    <m:t>L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Vuelo de cajuela desde la cara de la pantalla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1300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/>
            <m:oMath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Altura disponible bajo la cajuela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637 mm</w:t>
            </w:r>
          </w:p>
        </w:tc>
      </w:tr>
    </w:tbl>
    <w:p>
      <w:pPr>
        <w:spacing w:before="40" w:after="40"/>
      </w:pPr>
      <w:r>
        <w:rPr>
          <w:sz w:val="2"/>
        </w:rPr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Se consideran barras sin recubrimiento epóxico y concreto de peso normal. Para la verificación principal no se aplica reducción por acero excedente.</w:t>
      </w:r>
    </w:p>
    <w:p>
      <w:pPr>
        <w:pStyle w:val="Ttulo3"/>
        <w:keepNext/>
      </w:pPr>
      <w:r>
        <w:rPr>
          <w:rFonts w:ascii="Calibri" w:hAnsi="Calibri"/>
          <w:b/>
          <w:color w:val="000000"/>
          <w:sz w:val="24"/>
        </w:rPr>
        <w:t>5. Separación, cabida y confinamiento</w:t>
      </w:r>
    </w:p>
    <w:p>
      <w:pPr>
        <w:pStyle w:val="Heading4"/>
        <w:keepNext/>
      </w:pPr>
      <w:r>
        <w:rPr>
          <w:rFonts w:ascii="Calibri" w:hAnsi="Calibri"/>
          <w:b/>
          <w:color w:val="000000"/>
          <w:sz w:val="22"/>
        </w:rPr>
        <w:t>5.1 Separación mínima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 xml:space="preserve">Para concreto colocado in situ, la separación libre mínima es el mayor valor entre </w:t>
      </w:r>
      <w:r/>
      <m:oMath>
        <m:r>
          <m:t>1.5</m:t>
        </m:r>
        <m:sSub>
          <m:e>
            <m:r>
              <m:t>d</m:t>
            </m:r>
          </m:e>
          <m:sub>
            <m:r>
              <m:t>b</m:t>
            </m:r>
          </m:sub>
        </m:sSub>
      </m:oMath>
      <w:r>
        <w:rPr>
          <w:rFonts w:ascii="Calibri" w:hAnsi="Calibri"/>
          <w:b w:val="0"/>
          <w:color w:val="000000"/>
          <w:sz w:val="22"/>
        </w:rPr>
        <w:t xml:space="preserve">, </w:t>
      </w:r>
      <w:r/>
      <m:oMath>
        <m:r>
          <m:t>1.5</m:t>
        </m:r>
        <m:sSub>
          <m:e>
            <m:r>
              <m:t>d</m:t>
            </m:r>
          </m:e>
          <m:sub>
            <m:r>
              <m:t>a</m:t>
            </m:r>
            <m:r>
              <m:t>g</m:t>
            </m:r>
            <m:r>
              <m:t>g</m:t>
            </m:r>
          </m:sub>
        </m:sSub>
      </m:oMath>
      <w:r>
        <w:rPr>
          <w:rFonts w:ascii="Calibri" w:hAnsi="Calibri"/>
          <w:b w:val="0"/>
          <w:color w:val="000000"/>
          <w:sz w:val="22"/>
        </w:rPr>
        <w:t xml:space="preserve"> y 38 mm:</w:t>
      </w:r>
    </w:p>
    <w:p>
      <w:pPr>
        <w:jc w:val="center"/>
      </w:pPr>
      <w:r/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×</m:t>
        </m:r>
        <m:r>
          <m:t>25.4</m:t>
        </m:r>
        <m:r>
          <m:rPr>
            <m:sty m:val="p"/>
          </m:rPr>
          <m:t>,</m:t>
        </m:r>
        <m:r>
          <m:t> </m:t>
        </m:r>
        <m:r>
          <m:t>1.5</m:t>
        </m:r>
        <m:r>
          <m:rPr>
            <m:sty m:val="p"/>
          </m:rPr>
          <m:t>×</m:t>
        </m:r>
        <m:r>
          <m:t>19.05</m:t>
        </m:r>
        <m:r>
          <m:rPr>
            <m:sty m:val="p"/>
          </m:rPr>
          <m:t>,</m:t>
        </m:r>
        <m:r>
          <m:t> </m:t>
        </m:r>
        <m:r>
          <m:t>38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38.1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center"/>
      </w:pPr>
      <w:r/>
      <m:oMath>
        <m:sSub>
          <m:e>
            <m:r>
              <m:t>s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40.0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38.1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 xml:space="preserve">La separación libre </w:t>
      </w:r>
      <w:r>
        <w:rPr>
          <w:rFonts w:ascii="Calibri" w:hAnsi="Calibri"/>
          <w:b/>
          <w:color w:val="000000"/>
          <w:sz w:val="22"/>
        </w:rPr>
        <w:t>cumple</w:t>
      </w:r>
      <w:r>
        <w:rPr>
          <w:rFonts w:ascii="Calibri" w:hAnsi="Calibri"/>
          <w:b w:val="0"/>
          <w:color w:val="000000"/>
          <w:sz w:val="22"/>
        </w:rPr>
        <w:t>, con un margen de 1.9 mm.</w:t>
      </w:r>
    </w:p>
    <w:p>
      <w:pPr>
        <w:pStyle w:val="Heading4"/>
        <w:keepNext/>
      </w:pPr>
      <w:r>
        <w:rPr>
          <w:rFonts w:ascii="Calibri" w:hAnsi="Calibri"/>
          <w:b/>
          <w:color w:val="000000"/>
          <w:sz w:val="22"/>
        </w:rPr>
        <w:t>5.2 Cabida dentro del espesor</w:t>
      </w:r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>Si las cuatro barras se colocan en una sola fila dentro del contrafuerte, entre recubrimientos de 75 mm en ambas caras, el ancho ocupado por las barras y sus separaciones libres es:</w:t>
      </w:r>
    </w:p>
    <w:p>
      <w:pPr>
        <w:jc w:val="center"/>
      </w:pPr>
      <w:r/>
      <m:oMath>
        <m:sSub>
          <m:e>
            <m:r>
              <m:t>b</m:t>
            </m:r>
          </m:e>
          <m:sub>
            <m:r>
              <m:t>o</m:t>
            </m:r>
            <m:r>
              <m:t>c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=</m:t>
        </m:r>
        <m:r>
          <m:t>75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25.4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40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75</m:t>
        </m:r>
        <m:r>
          <m:rPr>
            <m:sty m:val="p"/>
          </m:rPr>
          <m:t>=</m:t>
        </m:r>
        <m:r>
          <m:t>371.6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 xml:space="preserve">La cabida nominal de la fila </w:t>
      </w:r>
      <w:r>
        <w:rPr>
          <w:rFonts w:ascii="Calibri" w:hAnsi="Calibri"/>
          <w:b/>
          <w:color w:val="000000"/>
          <w:sz w:val="22"/>
        </w:rPr>
        <w:t>cumple geométricamente</w:t>
      </w:r>
      <w:r>
        <w:rPr>
          <w:rFonts w:ascii="Calibri" w:hAnsi="Calibri"/>
          <w:b w:val="0"/>
          <w:color w:val="000000"/>
          <w:sz w:val="22"/>
        </w:rPr>
        <w:t xml:space="preserve"> dentro de los 400 mm, dejando:</w:t>
      </w:r>
    </w:p>
    <w:p>
      <w:pPr>
        <w:jc w:val="center"/>
      </w:pPr>
      <w:r/>
      <m:oMath>
        <m:sSub>
          <m:e>
            <m:r>
              <m:t>e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r>
          <m:t>400</m:t>
        </m:r>
        <m:r>
          <m:rPr>
            <m:sty m:val="p"/>
          </m:rPr>
          <m:t>−</m:t>
        </m:r>
        <m:r>
          <m:t>371.6</m:t>
        </m:r>
        <m:r>
          <m:rPr>
            <m:sty m:val="p"/>
          </m:rPr>
          <m:t>=</m:t>
        </m:r>
        <m:r>
          <m:t>28.4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>El remanente geométrico de 28.4 mm es compatible con el detallamiento adoptado. Se confirma que los refuerzos horizontales Ø1/2" @ 300 mm pertenecientes a las dos mallas del contrafuerte confinan efectivamente las cuatro barras, respetando el recubrimiento de 75 mm, la separación libre mínima y las tolerancias de ejecución. Por tanto, se mantiene la disposición en una sola fila y no se requiere adoptar dos capas.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1822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ructibilidad_4barras_1pul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2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  <w:keepNext/>
      </w:pPr>
      <w:r>
        <w:rPr>
          <w:rFonts w:ascii="Calibri" w:hAnsi="Calibri"/>
          <w:b/>
          <w:color w:val="000000"/>
          <w:sz w:val="22"/>
        </w:rPr>
        <w:t>Figura 1.</w:t>
      </w:r>
      <w:r>
        <w:rPr>
          <w:rFonts w:ascii="Calibri" w:hAnsi="Calibri"/>
          <w:b w:val="0"/>
          <w:color w:val="000000"/>
          <w:sz w:val="22"/>
        </w:rPr>
        <w:t xml:space="preserve"> Control de cabida de 4Ø1" en una fila dentro del contrafuerte de 400 mm y confinamiento transversal adoptado.</w:t>
      </w:r>
    </w:p>
    <w:p>
      <w:pPr>
        <w:pStyle w:val="Heading4"/>
        <w:keepNext/>
      </w:pPr>
      <w:r>
        <w:rPr>
          <w:rFonts w:ascii="Calibri" w:hAnsi="Calibri"/>
          <w:b/>
          <w:color w:val="000000"/>
          <w:sz w:val="22"/>
        </w:rPr>
        <w:t>5.3 Parámetro de recubrimiento y confinamiento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La separación entre centros es:</w:t>
      </w:r>
    </w:p>
    <w:p>
      <w:pPr>
        <w:jc w:val="center"/>
      </w:pPr>
      <w:r/>
      <m:oMath>
        <m:sSub>
          <m:e>
            <m:r>
              <m:t>s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40</m:t>
        </m:r>
        <m:r>
          <m:rPr>
            <m:sty m:val="p"/>
          </m:rPr>
          <m:t>+</m:t>
        </m:r>
        <m:r>
          <m:t>25.4</m:t>
        </m:r>
        <m:r>
          <m:rPr>
            <m:sty m:val="p"/>
          </m:rPr>
          <m:t>=</m:t>
        </m:r>
        <m:r>
          <m:t>65.4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2.575</m:t>
        </m:r>
        <m:r>
          <m:t> 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 xml:space="preserve">El parámetro </w:t>
      </w:r>
      <w:r/>
      <m:oMath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rFonts w:ascii="Calibri" w:hAnsi="Calibri"/>
          <w:b w:val="0"/>
          <w:color w:val="000000"/>
          <w:sz w:val="22"/>
        </w:rPr>
        <w:t xml:space="preserve"> es el menor entre la distancia del centro de la barra a la superficie más próxima y la mitad de la separación entre centros. Para el recubrimiento de 75 mm, la distancia desde el centro de la barra exterior a la cara del contrafuerte es </w:t>
      </w:r>
      <w:r/>
      <m:oMath>
        <m:r>
          <m:t>75</m:t>
        </m:r>
        <m:r>
          <m:rPr>
            <m:sty m:val="p"/>
          </m:rPr>
          <m:t>+</m:t>
        </m:r>
        <m:r>
          <m:t>12.7</m:t>
        </m:r>
        <m:r>
          <m:rPr>
            <m:sty m:val="p"/>
          </m:rPr>
          <m:t>=</m:t>
        </m:r>
        <m:r>
          <m:t>87.7</m:t>
        </m:r>
      </m:oMath>
      <w:r>
        <w:rPr>
          <w:rFonts w:ascii="Calibri" w:hAnsi="Calibri"/>
          <w:b w:val="0"/>
          <w:color w:val="000000"/>
          <w:sz w:val="22"/>
        </w:rPr>
        <w:t xml:space="preserve"> mm; por tanto, controla la mitad de la separación entre centros:</w:t>
      </w:r>
    </w:p>
    <w:p>
      <w:pPr>
        <w:jc w:val="center"/>
      </w:pPr>
      <w:r/>
      <m:oMath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c</m:t>
                </m:r>
                <m:r>
                  <m:t>c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32.7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1.287</m:t>
        </m:r>
        <m:r>
          <m:t> 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>Considerando que los refuerzos horizontales Ø1/2" de las dos mallas cruzan efectivamente el plano potencial de fisuración y proporcionan confinamiento transversal a las cuatro barras:</w:t>
      </w:r>
    </w:p>
    <w:p>
      <w:pPr>
        <w:jc w:val="center"/>
      </w:pPr>
      <w:r/>
      <m:oMath>
        <m:sSub>
          <m:e>
            <m:r>
              <m:t>K</m:t>
            </m:r>
          </m:e>
          <m:sub>
            <m:r>
              <m:t>t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40</m:t>
            </m:r>
            <m:sSub>
              <m:e>
                <m:r>
                  <m:t>A</m:t>
                </m:r>
              </m:e>
              <m:sub>
                <m:r>
                  <m:t>t</m:t>
                </m:r>
                <m:r>
                  <m:t>r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t</m:t>
                </m:r>
                <m:r>
                  <m:t>r</m:t>
                </m:r>
              </m:sub>
            </m:sSub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40</m:t>
            </m:r>
            <m:r>
              <m:rPr>
                <m:sty m:val="p"/>
              </m:rPr>
              <m:t>(</m:t>
            </m:r>
            <m:r>
              <m:t>0.3927</m:t>
            </m:r>
            <m:r>
              <m:rPr>
                <m:sty m:val="p"/>
              </m:rPr>
              <m:t>)</m:t>
            </m:r>
          </m:num>
          <m:den>
            <m:r>
              <m:t>11.811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0.332</m:t>
        </m:r>
        <m:r>
          <m:t> 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El modificador por recubrimiento y confinamiento resulta:</w:t>
      </w:r>
    </w:p>
    <w:p>
      <w:pPr>
        <w:jc w:val="center"/>
      </w:pPr>
      <w:r/>
      <m:oMath>
        <m:sSub>
          <m:e>
            <m:r>
              <m:t>λ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t</m:t>
                </m:r>
                <m:r>
                  <m:t>r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1.000</m:t>
            </m:r>
          </m:num>
          <m:den>
            <m:r>
              <m:t>1.287</m:t>
            </m:r>
            <m:r>
              <m:rPr>
                <m:sty m:val="p"/>
              </m:rPr>
              <m:t>+</m:t>
            </m:r>
            <m:r>
              <m:t>0.332</m:t>
            </m:r>
          </m:den>
        </m:f>
        <m:r>
          <m:rPr>
            <m:sty m:val="p"/>
          </m:rPr>
          <m:t>=</m:t>
        </m:r>
        <m:r>
          <m:t>0.617</m:t>
        </m:r>
      </m:oMath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 xml:space="preserve">El valor se encuentra dentro del intervalo normativo </w:t>
      </w:r>
      <w:r/>
      <m:oMath>
        <m:r>
          <m:t>0.40</m:t>
        </m:r>
        <m:r>
          <m:rPr>
            <m:sty m:val="p"/>
          </m:rPr>
          <m:t>≤</m:t>
        </m:r>
        <m:sSub>
          <m:e>
            <m:r>
              <m:t>λ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≤</m:t>
        </m:r>
        <m:r>
          <m:t>1.00</m:t>
        </m:r>
      </m:oMath>
      <w:r>
        <w:rPr>
          <w:rFonts w:ascii="Calibri" w:hAnsi="Calibri"/>
          <w:b w:val="0"/>
          <w:color w:val="000000"/>
          <w:sz w:val="22"/>
        </w:rPr>
        <w:t>. Esta reducción solo es válida porque el refuerzo horizontal de las dos mallas se detalla y construye atravesando la zona de las barras, proporcionando confinamiento transversal continuo a lo largo de la zona de desarrollo.</w:t>
      </w:r>
    </w:p>
    <w:p>
      <w:pPr>
        <w:pageBreakBefore/>
      </w:pPr>
    </w:p>
    <w:p>
      <w:pPr>
        <w:pStyle w:val="Ttulo3"/>
        <w:keepNext/>
      </w:pPr>
      <w:r>
        <w:rPr>
          <w:rFonts w:ascii="Calibri" w:hAnsi="Calibri"/>
          <w:b/>
          <w:color w:val="000000"/>
          <w:sz w:val="24"/>
        </w:rPr>
        <w:t>6. Longitudes normativas comunes</w:t>
      </w:r>
    </w:p>
    <w:p>
      <w:pPr>
        <w:pStyle w:val="Heading4"/>
        <w:keepNext/>
      </w:pPr>
      <w:r>
        <w:rPr>
          <w:rFonts w:ascii="Calibri" w:hAnsi="Calibri"/>
          <w:b/>
          <w:color w:val="000000"/>
          <w:sz w:val="22"/>
        </w:rPr>
        <w:t>6.1 Desarrollo recto en tracción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La longitud básica de desarrollo es:</w:t>
      </w:r>
    </w:p>
    <w:p>
      <w:pPr>
        <w:jc w:val="center"/>
      </w:pPr>
      <w:r/>
      <m:oMath>
        <m:sSub>
          <m:e>
            <m:r>
              <m:t>l</m:t>
            </m:r>
          </m:e>
          <m:sub>
            <m:r>
              <m:t>d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2.4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  <m:sub>
                    <m:r>
                      <m:t>c</m:t>
                    </m:r>
                  </m:sub>
                </m:sSub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2.4</m:t>
            </m:r>
            <m:r>
              <m:rPr>
                <m:sty m:val="p"/>
              </m:rPr>
              <m:t>(</m:t>
            </m:r>
            <m:r>
              <m:t>1.000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59.74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3.983</m:t>
                </m:r>
              </m:e>
            </m:rad>
          </m:den>
        </m:f>
        <m:r>
          <m:rPr>
            <m:sty m:val="p"/>
          </m:rPr>
          <m:t>=</m:t>
        </m:r>
        <m:r>
          <m:t>71.84</m:t>
        </m:r>
        <m:r>
          <m:t> 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=</m:t>
        </m:r>
        <m:r>
          <m:t>1825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Con el confinamiento indicado:</w:t>
      </w:r>
    </w:p>
    <w:p>
      <w:pPr>
        <w:jc w:val="center"/>
      </w:pPr>
      <w:r/>
      <m:oMath>
        <m:sSub>
          <m:e>
            <m:r>
              <m:t>l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d</m:t>
            </m:r>
            <m:r>
              <m:t>b</m:t>
            </m:r>
          </m:sub>
        </m:sSub>
        <m:sSub>
          <m:e>
            <m:r>
              <m:t>λ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r>
          <m:t>1825</m:t>
        </m:r>
        <m:r>
          <m:rPr>
            <m:sty m:val="p"/>
          </m:rPr>
          <m:t>(</m:t>
        </m:r>
        <m:r>
          <m:t>0.617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1127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Para la propuesta se evalúa adicionalmente, de manera conservadora, el factor de ubicación 1.30:</w:t>
      </w:r>
    </w:p>
    <w:p>
      <w:pPr>
        <w:jc w:val="center"/>
      </w:pPr>
      <w:r/>
      <m:oMath>
        <m:sSub>
          <m:e>
            <m:r>
              <m:t>l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  <m:r>
              <m:t>d</m:t>
            </m:r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1.30</m:t>
        </m:r>
        <m:r>
          <m:rPr>
            <m:sty m:val="p"/>
          </m:rPr>
          <m:t>(</m:t>
        </m:r>
        <m:r>
          <m:t>1127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1465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pStyle w:val="Heading4"/>
        <w:keepNext/>
      </w:pPr>
      <w:r>
        <w:rPr>
          <w:rFonts w:ascii="Calibri" w:hAnsi="Calibri"/>
          <w:b/>
          <w:color w:val="000000"/>
          <w:sz w:val="22"/>
        </w:rPr>
        <w:t>6.2 Gancho estándar de 90 grados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Para una barra Ø1" terminada en gancho estándar:</w:t>
      </w:r>
    </w:p>
    <w:p>
      <w:pPr>
        <w:jc w:val="center"/>
      </w:pPr>
      <w:r/>
      <m:oMath>
        <m:sSub>
          <m:e>
            <m:r>
              <m:t>l</m:t>
            </m:r>
          </m:e>
          <m:sub>
            <m:r>
              <m:t>h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38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  <m:sub>
                    <m:r>
                      <m:t>c</m:t>
                    </m:r>
                  </m:sub>
                </m:sSub>
              </m:e>
            </m:rad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f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r>
                  <m:t>60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38</m:t>
            </m:r>
            <m:r>
              <m:rPr>
                <m:sty m:val="p"/>
              </m:rPr>
              <m:t>(</m:t>
            </m:r>
            <m:r>
              <m:t>1.000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3.983</m:t>
                </m:r>
              </m:e>
            </m:rad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59.74</m:t>
                </m:r>
              </m:num>
              <m:den>
                <m:r>
                  <m:t>60</m:t>
                </m:r>
              </m:den>
            </m:f>
          </m:e>
        </m:d>
        <m:r>
          <m:rPr>
            <m:sty m:val="p"/>
          </m:rPr>
          <m:t>=</m:t>
        </m:r>
        <m:r>
          <m:t>18.96</m:t>
        </m:r>
        <m:r>
          <m:t> 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=</m:t>
        </m:r>
        <m:r>
          <m:t>481.5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Los recubrimientos superan 2.5 in lateralmente y 2.0 in sobre la extensión del gancho; por ello se aplica el modificador 0.80:</w:t>
      </w:r>
    </w:p>
    <w:p>
      <w:pPr>
        <w:jc w:val="center"/>
      </w:pPr>
      <w:r/>
      <m:oMath>
        <m:sSub>
          <m:e>
            <m:r>
              <m:t>l</m:t>
            </m:r>
          </m:e>
          <m:sub>
            <m:r>
              <m:t>d</m:t>
            </m:r>
            <m:r>
              <m:t>h</m:t>
            </m:r>
          </m:sub>
        </m:sSub>
        <m:r>
          <m:rPr>
            <m:sty m:val="p"/>
          </m:rPr>
          <m:t>=</m:t>
        </m:r>
        <m:r>
          <m:t>0.80</m:t>
        </m:r>
        <m:sSub>
          <m:e>
            <m:r>
              <m:t>l</m:t>
            </m:r>
          </m:e>
          <m:sub>
            <m:r>
              <m:t>h</m:t>
            </m:r>
            <m:r>
              <m:t>b</m:t>
            </m:r>
          </m:sub>
        </m:sSub>
        <m:r>
          <m:rPr>
            <m:sty m:val="p"/>
          </m:rPr>
          <m:t>=</m:t>
        </m:r>
        <m:r>
          <m:t>0.80</m:t>
        </m:r>
        <m:r>
          <m:rPr>
            <m:sty m:val="p"/>
          </m:rPr>
          <m:t>(</m:t>
        </m:r>
        <m:r>
          <m:t>481.5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385.2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No se aplica la reducción adicional por estribos de confinamiento del gancho. Para ella se exigiría una separación no mayor que:</w:t>
      </w:r>
    </w:p>
    <w:p>
      <w:pPr>
        <w:jc w:val="center"/>
      </w:pPr>
      <w:r/>
      <m:oMath>
        <m:r>
          <m:t>3</m:t>
        </m:r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25.4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76.2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 xml:space="preserve">El espaciamiento existente de 300 mm excede ese límite. Además, el primer estribo debería quedar dentro de </w:t>
      </w:r>
      <w:r/>
      <m:oMath>
        <m:r>
          <m:t>2</m:t>
        </m:r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50.8</m:t>
        </m:r>
      </m:oMath>
      <w:r>
        <w:rPr>
          <w:rFonts w:ascii="Calibri" w:hAnsi="Calibri"/>
          <w:b w:val="0"/>
          <w:color w:val="000000"/>
          <w:sz w:val="22"/>
        </w:rPr>
        <w:t xml:space="preserve"> mm respecto del exterior de la curva.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La geometría mínima del gancho es:</w:t>
      </w:r>
    </w:p>
    <w:p>
      <w:pPr>
        <w:jc w:val="center"/>
      </w:pPr>
      <w:r/>
      <m:oMath>
        <m:sSub>
          <m:e>
            <m:r>
              <m:t>x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304.8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center"/>
      </w:pPr>
      <w:r/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6</m:t>
        </m:r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152.4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pStyle w:val="Ttulo3"/>
        <w:keepNext/>
      </w:pPr>
      <w:r>
        <w:rPr>
          <w:rFonts w:ascii="Calibri" w:hAnsi="Calibri"/>
          <w:b/>
          <w:color w:val="000000"/>
          <w:sz w:val="24"/>
        </w:rPr>
        <w:t>7. Verificación del detalle del expediente</w:t>
      </w:r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>El gancho se desarrolla horizontalmente desde la cara del trasdós de la pantalla hacia la cara expuesta al agua. Aun tomando favorablemente la distancia hasta la superficie de la barra:</w:t>
      </w:r>
    </w:p>
    <w:p>
      <w:pPr>
        <w:jc w:val="center"/>
      </w:pPr>
      <w:r/>
      <m:oMath>
        <m:sSub>
          <m:e>
            <m:r>
              <m:t>a</m:t>
            </m:r>
          </m:e>
          <m:sub>
            <m:r>
              <m:t>d</m:t>
            </m:r>
            <m:r>
              <m:t>i</m:t>
            </m:r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  <m:r>
              <m:t>g</m:t>
            </m:r>
            <m:r>
              <m:t>u</m:t>
            </m:r>
            <m:r>
              <m:t>a</m:t>
            </m:r>
          </m:sub>
        </m:sSub>
        <m:r>
          <m:rPr>
            <m:sty m:val="p"/>
          </m:rPr>
          <m:t>=</m:t>
        </m:r>
        <m:r>
          <m:t>400</m:t>
        </m:r>
        <m:r>
          <m:rPr>
            <m:sty m:val="p"/>
          </m:rPr>
          <m:t>−</m:t>
        </m:r>
        <m:r>
          <m:t>100</m:t>
        </m:r>
        <m:r>
          <m:rPr>
            <m:sty m:val="p"/>
          </m:rPr>
          <m:t>=</m:t>
        </m:r>
        <m:r>
          <m:t>300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La longitud disponible es menor que la requerida:</w:t>
      </w:r>
    </w:p>
    <w:p>
      <w:pPr>
        <w:jc w:val="center"/>
      </w:pPr>
      <w:r/>
      <m:oMath>
        <m:r>
          <m:t>D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e</m:t>
            </m:r>
            <m:r>
              <m:t>x</m:t>
            </m:r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d</m:t>
                </m:r>
                <m:r>
                  <m:t>h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d</m:t>
                </m:r>
                <m:r>
                  <m:t>i</m:t>
                </m:r>
                <m:r>
                  <m:t>s</m:t>
                </m:r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385.2</m:t>
            </m:r>
          </m:num>
          <m:den>
            <m:r>
              <m:t>300</m:t>
            </m:r>
          </m:den>
        </m:f>
        <m:r>
          <m:rPr>
            <m:sty m:val="p"/>
          </m:rPr>
          <m:t>=</m:t>
        </m:r>
        <m:r>
          <m:t>1.28</m:t>
        </m:r>
        <m:r>
          <m:rPr>
            <m:sty m:val="p"/>
          </m:rPr>
          <m:t>&gt;</m:t>
        </m:r>
        <m:r>
          <m:t>1.00</m:t>
        </m:r>
      </m:oMath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 xml:space="preserve">La rama vertical puede cumplir la extensión de </w:t>
      </w:r>
      <w:r/>
      <m:oMath>
        <m:r>
          <m:t>12</m:t>
        </m:r>
        <m:sSub>
          <m:e>
            <m:r>
              <m:t>d</m:t>
            </m:r>
          </m:e>
          <m:sub>
            <m:r>
              <m:t>b</m:t>
            </m:r>
          </m:sub>
        </m:sSub>
      </m:oMath>
      <w:r>
        <w:rPr>
          <w:rFonts w:ascii="Calibri" w:hAnsi="Calibri"/>
          <w:b w:val="0"/>
          <w:color w:val="000000"/>
          <w:sz w:val="22"/>
        </w:rPr>
        <w:t xml:space="preserve">, pues la altura de 637 mm bajo la cajuela es mayor que 304.8 mm. Sin embargo, la rama vertical </w:t>
      </w:r>
      <w:r/>
      <m:oMath>
        <m:r>
          <m:t>x</m:t>
        </m:r>
      </m:oMath>
      <w:r>
        <w:rPr>
          <w:rFonts w:ascii="Calibri" w:hAnsi="Calibri"/>
          <w:b w:val="0"/>
          <w:color w:val="000000"/>
          <w:sz w:val="22"/>
        </w:rPr>
        <w:t xml:space="preserve"> no se suma a la proyección </w:t>
      </w:r>
      <w:r/>
      <m:oMath>
        <m:r>
          <m:t>a</m:t>
        </m:r>
      </m:oMath>
      <w:r>
        <w:rPr>
          <w:rFonts w:ascii="Calibri" w:hAnsi="Calibri"/>
          <w:b w:val="0"/>
          <w:color w:val="000000"/>
          <w:sz w:val="22"/>
        </w:rPr>
        <w:t xml:space="preserve"> para satisfacer </w:t>
      </w:r>
      <w:r/>
      <m:oMath>
        <m:sSub>
          <m:e>
            <m:r>
              <m:t>l</m:t>
            </m:r>
          </m:e>
          <m:sub>
            <m:r>
              <m:t>d</m:t>
            </m:r>
            <m:r>
              <m:t>h</m:t>
            </m:r>
          </m:sub>
        </m:sSub>
      </m:oMath>
      <w:r>
        <w:rPr>
          <w:rFonts w:ascii="Calibri" w:hAnsi="Calibri"/>
          <w:b w:val="0"/>
          <w:color w:val="000000"/>
          <w:sz w:val="22"/>
        </w:rPr>
        <w:t>; ambas condiciones deben cumplirse separadamente.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 xml:space="preserve">Por tanto, el detalle del expediente </w:t>
      </w:r>
      <w:r>
        <w:rPr>
          <w:rFonts w:ascii="Calibri" w:hAnsi="Calibri"/>
          <w:b/>
          <w:color w:val="000000"/>
          <w:sz w:val="22"/>
        </w:rPr>
        <w:t>no cumple para desarrollar a fluencia las cuatro barras Ø1"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Heading4"/>
        <w:keepNext/>
      </w:pPr>
      <w:r>
        <w:rPr>
          <w:rFonts w:ascii="Calibri" w:hAnsi="Calibri"/>
          <w:b/>
          <w:color w:val="000000"/>
          <w:sz w:val="22"/>
        </w:rPr>
        <w:t>7.1 Comprobación condicionada por acero excedente</w:t>
      </w:r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 xml:space="preserve">El cálculo del expediente consigna para el nivel superior </w:t>
      </w:r>
      <w:r/>
      <m:oMath>
        <m:sSub>
          <m:e>
            <m:r>
              <m:t>A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r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11.38</m:t>
        </m:r>
      </m:oMath>
      <w:r>
        <w:rPr>
          <w:rFonts w:ascii="Calibri" w:hAnsi="Calibri"/>
          <w:b w:val="0"/>
          <w:color w:val="000000"/>
          <w:sz w:val="22"/>
        </w:rPr>
        <w:t xml:space="preserve"> cm² y dispone </w:t>
      </w:r>
      <w:r/>
      <m:oMath>
        <m:sSub>
          <m:e>
            <m:r>
              <m:t>A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p</m:t>
            </m:r>
            <m:r>
              <m:t>r</m:t>
            </m:r>
            <m:r>
              <m:t>o</m:t>
            </m:r>
            <m:r>
              <m:t>v</m:t>
            </m:r>
          </m:sub>
        </m:sSub>
        <m:r>
          <m:rPr>
            <m:sty m:val="p"/>
          </m:rPr>
          <m:t>=</m:t>
        </m:r>
        <m:r>
          <m:t>20.27</m:t>
        </m:r>
      </m:oMath>
      <w:r>
        <w:rPr>
          <w:rFonts w:ascii="Calibri" w:hAnsi="Calibri"/>
          <w:b w:val="0"/>
          <w:color w:val="000000"/>
          <w:sz w:val="22"/>
        </w:rPr>
        <w:t xml:space="preserve"> cm². Si esta demanda se confirma, el modificador por acero excedente es:</w:t>
      </w:r>
    </w:p>
    <w:p>
      <w:pPr>
        <w:jc w:val="center"/>
      </w:pPr>
      <w:r/>
      <m:oMath>
        <m:sSub>
          <m:e>
            <m:r>
              <m:t>λ</m:t>
            </m:r>
          </m:e>
          <m:sub>
            <m:r>
              <m:t>e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s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  <m:r>
                  <m:t>e</m:t>
                </m:r>
                <m:r>
                  <m:t>q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s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  <m:r>
                  <m:t>r</m:t>
                </m:r>
                <m:r>
                  <m:t>o</m:t>
                </m:r>
                <m:r>
                  <m:t>v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11.38</m:t>
            </m:r>
          </m:num>
          <m:den>
            <m:r>
              <m:t>20.27</m:t>
            </m:r>
          </m:den>
        </m:f>
        <m:r>
          <m:rPr>
            <m:sty m:val="p"/>
          </m:rPr>
          <m:t>=</m:t>
        </m:r>
        <m:r>
          <m:t>0.561</m:t>
        </m:r>
      </m:oMath>
    </w:p>
    <w:p>
      <w:pPr>
        <w:jc w:val="center"/>
      </w:pPr>
      <w:r/>
      <m:oMath>
        <m:sSub>
          <m:e>
            <m:r>
              <m:t>l</m:t>
            </m:r>
          </m:e>
          <m:sub>
            <m:r>
              <m:t>d</m:t>
            </m:r>
            <m:r>
              <m:t>h</m:t>
            </m:r>
            <m:r>
              <m:rPr>
                <m:sty m:val="p"/>
              </m:rPr>
              <m:t>,</m:t>
            </m:r>
            <m:r>
              <m:t>r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385.2</m:t>
        </m:r>
        <m:r>
          <m:rPr>
            <m:sty m:val="p"/>
          </m:rPr>
          <m:t>(</m:t>
        </m:r>
        <m:r>
          <m:t>0.561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216.3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 xml:space="preserve">El valor supera el mínimo conservador de </w:t>
      </w:r>
      <w:r/>
      <m:oMath>
        <m:r>
          <m:t>8</m:t>
        </m:r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203.2</m:t>
        </m:r>
      </m:oMath>
      <w:r>
        <w:rPr>
          <w:rFonts w:ascii="Calibri" w:hAnsi="Calibri"/>
          <w:b w:val="0"/>
          <w:color w:val="000000"/>
          <w:sz w:val="22"/>
        </w:rPr>
        <w:t xml:space="preserve"> mm y resulta:</w:t>
      </w:r>
    </w:p>
    <w:p>
      <w:pPr>
        <w:jc w:val="center"/>
      </w:pPr>
      <w:r/>
      <m:oMath>
        <m:r>
          <m:t>D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e</m:t>
            </m:r>
            <m:r>
              <m:t>x</m:t>
            </m:r>
            <m:r>
              <m:t>p</m:t>
            </m:r>
            <m:r>
              <m:rPr>
                <m:sty m:val="p"/>
              </m:rPr>
              <m:t>,</m:t>
            </m:r>
            <m:r>
              <m:t>r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216.3</m:t>
            </m:r>
          </m:num>
          <m:den>
            <m:r>
              <m:t>300</m:t>
            </m:r>
          </m:den>
        </m:f>
        <m:r>
          <m:rPr>
            <m:sty m:val="p"/>
          </m:rPr>
          <m:t>=</m:t>
        </m:r>
        <m:r>
          <m:t>0.72</m:t>
        </m:r>
        <m:r>
          <m:rPr>
            <m:sty m:val="p"/>
          </m:rPr>
          <m:t>&lt;</m:t>
        </m:r>
        <m:r>
          <m:t>1.00</m:t>
        </m:r>
      </m:oMath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 xml:space="preserve">Bajo esta condición, el detalle </w:t>
      </w:r>
      <w:r>
        <w:rPr>
          <w:rFonts w:ascii="Calibri" w:hAnsi="Calibri"/>
          <w:b/>
          <w:color w:val="000000"/>
          <w:sz w:val="22"/>
        </w:rPr>
        <w:t>cumple únicamente para la fuerza correspondiente al acero requerido</w:t>
      </w:r>
      <w:r>
        <w:rPr>
          <w:rFonts w:ascii="Calibri" w:hAnsi="Calibri"/>
          <w:b w:val="0"/>
          <w:color w:val="000000"/>
          <w:sz w:val="22"/>
        </w:rPr>
        <w:t>, pero no garantiza el desarrollo de la fluencia de las 4Ø1". Esta reducción deberá quedar expresamente vinculada a la demanda estructural aprobada.</w:t>
      </w:r>
    </w:p>
    <w:p>
      <w:pPr>
        <w:pStyle w:val="Ttulo3"/>
        <w:keepNext/>
      </w:pPr>
      <w:r>
        <w:rPr>
          <w:rFonts w:ascii="Calibri" w:hAnsi="Calibri"/>
          <w:b/>
          <w:color w:val="000000"/>
          <w:sz w:val="24"/>
        </w:rPr>
        <w:t>8. Verificación de la propuesta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 xml:space="preserve">La pendiente del lomo se obtiene de la geometría del contrafuerte, con 9.80 m de altura y variación horizontal de </w:t>
      </w:r>
      <w:r/>
      <m:oMath>
        <m:r>
          <m:t>6.10</m:t>
        </m:r>
        <m:r>
          <m:rPr>
            <m:sty m:val="p"/>
          </m:rPr>
          <m:t>−</m:t>
        </m:r>
        <m:r>
          <m:t>1.17</m:t>
        </m:r>
        <m:r>
          <m:rPr>
            <m:sty m:val="p"/>
          </m:rPr>
          <m:t>=</m:t>
        </m:r>
        <m:r>
          <m:t>4.93</m:t>
        </m:r>
      </m:oMath>
      <w:r>
        <w:rPr>
          <w:rFonts w:ascii="Calibri" w:hAnsi="Calibri"/>
          <w:b w:val="0"/>
          <w:color w:val="000000"/>
          <w:sz w:val="22"/>
        </w:rPr>
        <w:t xml:space="preserve"> m:</w:t>
      </w:r>
    </w:p>
    <w:p>
      <w:pPr>
        <w:jc w:val="center"/>
      </w:pPr>
      <w:r/>
      <m:oMath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9.80</m:t>
                </m:r>
              </m:num>
              <m:den>
                <m:r>
                  <m:t>4.93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t>63.30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Se conserva 100 mm de recubrimiento superior y se mide la barra por su eje. La altura útil para el tramo inclinado dentro de la cajuela es:</w:t>
      </w:r>
    </w:p>
    <w:p>
      <w:pPr>
        <w:jc w:val="center"/>
      </w:pPr>
      <w:r/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400</m:t>
        </m:r>
        <m:r>
          <m:rPr>
            <m:sty m:val="p"/>
          </m:rPr>
          <m:t>−</m:t>
        </m:r>
        <m:r>
          <m:t>100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25.4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287.3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La longitud inclinada y su proyección horizontal son:</w:t>
      </w:r>
    </w:p>
    <w:p>
      <w:pPr>
        <w:jc w:val="center"/>
      </w:pPr>
      <w:r/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h</m:t>
                </m:r>
              </m:e>
              <m:sub>
                <m:r>
                  <m:t>a</m:t>
                </m:r>
              </m:sub>
            </m:sSub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287.3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63.30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321.6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center"/>
      </w:pPr>
      <w:r/>
      <m:oMath>
        <m:sSub>
          <m:e>
            <m:r>
              <m:rPr>
                <m:sty m:val="p"/>
              </m:rP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h</m:t>
                </m:r>
              </m:e>
              <m:sub>
                <m:r>
                  <m:t>a</m:t>
                </m:r>
              </m:sub>
            </m:sSub>
          </m:num>
          <m:den>
            <m:r>
              <m:rPr>
                <m:sty m:val="p"/>
              </m:rPr>
              <m:t>tan</m:t>
            </m:r>
            <m:r>
              <m:t>θ</m:t>
            </m:r>
          </m:den>
        </m:f>
        <m:r>
          <m:rPr>
            <m:sty m:val="p"/>
          </m:rPr>
          <m:t>=</m:t>
        </m:r>
        <m:r>
          <m:t>144.5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 xml:space="preserve">La dimensión horizontal total desde la cara del trasdós hasta el extremo de la cajuela es </w:t>
      </w:r>
      <w:r/>
      <m:oMath>
        <m:r>
          <m:t>400</m:t>
        </m:r>
        <m:r>
          <m:rPr>
            <m:sty m:val="p"/>
          </m:rPr>
          <m:t>+</m:t>
        </m:r>
        <m:r>
          <m:t>1300</m:t>
        </m:r>
        <m:r>
          <m:rPr>
            <m:sty m:val="p"/>
          </m:rPr>
          <m:t>=</m:t>
        </m:r>
        <m:r>
          <m:t>1700</m:t>
        </m:r>
      </m:oMath>
      <w:r>
        <w:rPr>
          <w:rFonts w:ascii="Calibri" w:hAnsi="Calibri"/>
          <w:b w:val="0"/>
          <w:color w:val="000000"/>
          <w:sz w:val="22"/>
        </w:rPr>
        <w:t xml:space="preserve"> mm. Por tanto, la prolongación horizontal disponible, medida hasta el eje del extremo de la barra, es:</w:t>
      </w:r>
    </w:p>
    <w:p>
      <w:pPr>
        <w:jc w:val="center"/>
      </w:pPr>
      <w:r/>
      <m:oMath>
        <m:r>
          <m:t>x</m:t>
        </m:r>
        <m:r>
          <m:rPr>
            <m:sty m:val="p"/>
          </m:rPr>
          <m:t>=</m:t>
        </m:r>
        <m:r>
          <m:t>1700</m:t>
        </m:r>
        <m:r>
          <m:rPr>
            <m:sty m:val="p"/>
          </m:rPr>
          <m:t>−</m:t>
        </m:r>
        <m:r>
          <m:t>144.5</m:t>
        </m:r>
        <m:r>
          <m:rPr>
            <m:sty m:val="p"/>
          </m:rPr>
          <m:t>−</m:t>
        </m:r>
        <m:r>
          <m:t>100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25.4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1442.8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Conservadoramente se desprecia la longitud adicional del arco de doblado:</w:t>
      </w:r>
    </w:p>
    <w:p>
      <w:pPr>
        <w:jc w:val="center"/>
      </w:pPr>
      <w:r/>
      <m:oMath>
        <m:sSub>
          <m:e>
            <m:r>
              <m:t>L</m:t>
            </m:r>
          </m:e>
          <m:sub>
            <m:r>
              <m:t>d</m:t>
            </m:r>
            <m:r>
              <m:t>i</m:t>
            </m:r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321.6</m:t>
        </m:r>
        <m:r>
          <m:rPr>
            <m:sty m:val="p"/>
          </m:rPr>
          <m:t>+</m:t>
        </m:r>
        <m:r>
          <m:t>1442.8</m:t>
        </m:r>
        <m:r>
          <m:rPr>
            <m:sty m:val="p"/>
          </m:rPr>
          <m:t>=</m:t>
        </m:r>
        <m:r>
          <m:t>1764.4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La verificación con el factor de ubicación 1.30 es:</w:t>
      </w:r>
    </w:p>
    <w:p>
      <w:pPr>
        <w:jc w:val="center"/>
      </w:pPr>
      <w:r/>
      <m:oMath>
        <m:r>
          <m:t>D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t>d</m:t>
                </m:r>
                <m:r>
                  <m:t>o</m:t>
                </m:r>
                <m:r>
                  <m:t>p</m:t>
                </m:r>
                <m:r>
                  <m:t>t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d</m:t>
                </m:r>
                <m:r>
                  <m:t>i</m:t>
                </m:r>
                <m:r>
                  <m:t>s</m:t>
                </m:r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1465</m:t>
            </m:r>
          </m:num>
          <m:den>
            <m:r>
              <m:t>1764.4</m:t>
            </m:r>
          </m:den>
        </m:f>
        <m:r>
          <m:rPr>
            <m:sty m:val="p"/>
          </m:rPr>
          <m:t>=</m:t>
        </m:r>
        <m:r>
          <m:t>0.83</m:t>
        </m:r>
        <m:r>
          <m:rPr>
            <m:sty m:val="p"/>
          </m:rPr>
          <m:t>&lt;</m:t>
        </m:r>
        <m:r>
          <m:t>1.00</m:t>
        </m:r>
      </m:oMath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 xml:space="preserve">La propuesta </w:t>
      </w:r>
      <w:r>
        <w:rPr>
          <w:rFonts w:ascii="Calibri" w:hAnsi="Calibri"/>
          <w:b/>
          <w:color w:val="000000"/>
          <w:sz w:val="22"/>
        </w:rPr>
        <w:t>cumple para desarrollar a fluencia las cuatro barras Ø1"</w:t>
      </w:r>
      <w:r>
        <w:rPr>
          <w:rFonts w:ascii="Calibri" w:hAnsi="Calibri"/>
          <w:b w:val="0"/>
          <w:color w:val="000000"/>
          <w:sz w:val="22"/>
        </w:rPr>
        <w:t xml:space="preserve">, siempre que los refuerzos horizontales Ø1/2" de las dos mallas crucen el plano de fisuración, proporcionen confinamiento transversal y se prolonguen en toda la zona de desarrollo. La solución se denomina cambio de dirección de la barra de aproximadamente </w:t>
      </w:r>
      <w:r/>
      <m:oMath>
        <m:sSup>
          <m:e>
            <m:r>
              <m:t>63.3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Calibri" w:hAnsi="Calibri"/>
          <w:b w:val="0"/>
          <w:color w:val="000000"/>
          <w:sz w:val="22"/>
        </w:rPr>
        <w:t>, correspondiente a la inclinación del lomo del contrafuerte; no se considera un gancho estándar de 90°.</w:t>
      </w:r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 xml:space="preserve">El cambio de dirección se verifica como una barra continua con desarrollo recto, por lo que se utiliza </w:t>
      </w:r>
      <w:r/>
      <m:oMath>
        <m:sSub>
          <m:e>
            <m:r>
              <m:t>l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  <m:r>
              <m:t>d</m:t>
            </m:r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1465</m:t>
        </m:r>
      </m:oMath>
      <w:r>
        <w:rPr>
          <w:rFonts w:ascii="Calibri" w:hAnsi="Calibri"/>
          <w:b w:val="0"/>
          <w:color w:val="000000"/>
          <w:sz w:val="22"/>
        </w:rPr>
        <w:t xml:space="preserve"> mm y no la longitud de desarrollo de gancho </w:t>
      </w:r>
      <w:r/>
      <m:oMath>
        <m:sSub>
          <m:e>
            <m:r>
              <m:t>l</m:t>
            </m:r>
          </m:e>
          <m:sub>
            <m:r>
              <m:t>d</m:t>
            </m:r>
            <m:r>
              <m:t>h</m:t>
            </m:r>
          </m:sub>
        </m:sSub>
        <m:r>
          <m:rPr>
            <m:sty m:val="p"/>
          </m:rPr>
          <m:t>=</m:t>
        </m:r>
        <m:r>
          <m:t>385</m:t>
        </m:r>
      </m:oMath>
      <w:r>
        <w:rPr>
          <w:rFonts w:ascii="Calibri" w:hAnsi="Calibri"/>
          <w:b w:val="0"/>
          <w:color w:val="000000"/>
          <w:sz w:val="22"/>
        </w:rPr>
        <w:t xml:space="preserve"> mm. La longitud disponible se mide siguiendo el eje de la barra y resulta </w:t>
      </w:r>
      <w:r/>
      <m:oMath>
        <m:sSub>
          <m:e>
            <m:r>
              <m:t>L</m:t>
            </m:r>
          </m:e>
          <m:sub>
            <m:r>
              <m:t>d</m:t>
            </m:r>
            <m:r>
              <m:t>i</m:t>
            </m:r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1764</m:t>
        </m:r>
      </m:oMath>
      <w:r>
        <w:rPr>
          <w:rFonts w:ascii="Calibri" w:hAnsi="Calibri"/>
          <w:b w:val="0"/>
          <w:color w:val="000000"/>
          <w:sz w:val="22"/>
        </w:rPr>
        <w:t xml:space="preserve"> mm. El cambio de dirección deberá respetar un diámetro interior no menor que </w:t>
      </w:r>
      <w:r/>
      <m:oMath>
        <m:r>
          <m:t>6</m:t>
        </m:r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152.4</m:t>
        </m:r>
      </m:oMath>
      <w:r>
        <w:rPr>
          <w:rFonts w:ascii="Calibri" w:hAnsi="Calibri"/>
          <w:b w:val="0"/>
          <w:color w:val="000000"/>
          <w:sz w:val="22"/>
        </w:rPr>
        <w:t xml:space="preserve"> mm y ser compatible con el procedimiento aprobado de doblado y colocación de barras.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349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anclajes_contrafuer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9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  <w:keepNext/>
      </w:pPr>
      <w:r>
        <w:rPr>
          <w:rFonts w:ascii="Calibri" w:hAnsi="Calibri"/>
          <w:b/>
          <w:color w:val="000000"/>
          <w:sz w:val="22"/>
        </w:rPr>
        <w:t>Figura 2.</w:t>
      </w:r>
      <w:r>
        <w:rPr>
          <w:rFonts w:ascii="Calibri" w:hAnsi="Calibri"/>
          <w:b w:val="0"/>
          <w:color w:val="000000"/>
          <w:sz w:val="22"/>
        </w:rPr>
        <w:t xml:space="preserve"> Longitudes disponibles y condición de cumplimiento de las dos alternativas.</w:t>
      </w:r>
    </w:p>
    <w:p>
      <w:pPr>
        <w:pStyle w:val="Ttulo3"/>
        <w:keepNext/>
      </w:pPr>
      <w:r>
        <w:rPr>
          <w:rFonts w:ascii="Calibri" w:hAnsi="Calibri"/>
          <w:b/>
          <w:color w:val="000000"/>
          <w:sz w:val="24"/>
        </w:rPr>
        <w:t>9. Comparación final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0" w:type="auto"/>
        <w:tblLayout w:type="autofit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Control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Detalle del expediente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La propuesta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Mecanismo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Gancho estándar de 90°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Desarrollo embebido prolongado en la cajuela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Longitud disponible principal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300 mm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1764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Longitud requerida para 4Ø1" a fluencia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385 mm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1465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D/C para fluencia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1.28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0.83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Extensión mínima del extremo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305 mm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 gobierna como gancho estándar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Diámetro interior mínimo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152 mm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152 mm en el cambio de dirección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Dependencia de reducción por acero excedente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Sí, para cumplir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Estado principal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 cumple</w:t>
            </w:r>
          </w:p>
        </w:tc>
        <w:tc>
          <w:tcPr>
            <w:tcW w:type="dxa" w:w="3024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Cumple</w:t>
            </w:r>
          </w:p>
        </w:tc>
      </w:tr>
    </w:tbl>
    <w:p>
      <w:pPr>
        <w:spacing w:before="40" w:after="40"/>
      </w:pPr>
      <w:r>
        <w:rPr>
          <w:sz w:val="2"/>
        </w:rPr>
      </w:r>
    </w:p>
    <w:p>
      <w:pPr>
        <w:pStyle w:val="Ttulo3"/>
        <w:keepNext/>
      </w:pPr>
      <w:r>
        <w:rPr>
          <w:rFonts w:ascii="Calibri" w:hAnsi="Calibri"/>
          <w:b/>
          <w:color w:val="000000"/>
          <w:sz w:val="24"/>
        </w:rPr>
        <w:t>10. Conclusiones y detalle requerido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1. La separación libre de 40 mm cumple el mínimo MTC de 38.1 mm.</w:t>
      </w:r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>2. Las cuatro barras Ø1" caben en una sola fila dentro del contrafuerte de 400 mm con recubrimiento de 75 mm en ambas caras y separación libre de 40 mm: el ancho ocupado es 371.6 mm y queda un remanente geométrico de 28.4 mm. Los refuerzos horizontales Ø1/2" @ 300 mm de las dos mallas confinan efectivamente las barras, por lo que no se requiere disponerlas en dos capas.</w:t>
      </w:r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>3. El detalle del expediente dispone 300 mm para un gancho que requiere 385 mm a fin de desarrollar la fluencia de las cuatro barras; presenta D/C = 1.28 y no cumple bajo ese criterio.</w:t>
      </w:r>
    </w:p>
    <w:p>
      <w:pPr>
        <w:jc w:val="both"/>
        <w:keepNext/>
      </w:pPr>
      <w:r>
        <w:rPr>
          <w:rFonts w:ascii="Calibri" w:hAnsi="Calibri"/>
          <w:b w:val="0"/>
          <w:color w:val="000000"/>
          <w:sz w:val="22"/>
        </w:rPr>
        <w:t>4. La rama vertical de 305 mm del gancho del expediente puede colocarse, pero no compensa la insuficiencia de la proyección de desarrollo horizontal.</w:t>
      </w:r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 xml:space="preserve">5. El detalle del expediente solo cumple mediante la reducción por acero excedente, con D/C = 0.72, si se confirma </w:t>
      </w:r>
      <w:r/>
      <m:oMath>
        <m:sSub>
          <m:e>
            <m:r>
              <m:t>A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r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11.38</m:t>
        </m:r>
      </m:oMath>
      <w:r>
        <w:rPr>
          <w:rFonts w:ascii="Calibri" w:hAnsi="Calibri"/>
          <w:b w:val="0"/>
          <w:color w:val="000000"/>
          <w:sz w:val="22"/>
        </w:rPr>
        <w:t xml:space="preserve"> cm² y se limita expresamente la fuerza a desarrollar. Esta condición debe permanecer vinculada al cálculo estructural aprobado.</w:t>
      </w:r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>6. La propuesta dispone 1764 mm de recorrido útil y requiere 1465 mm bajo el caso conservador; presenta D/C = 0.83 y cumple sin aplicar reducción por acero excedente.</w:t>
      </w:r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>7. Se recomienda adoptar la propuesta, manteniendo las 4Ø1" en una sola fila y prolongando los refuerzos horizontales Ø1/2" @ 300 mm de las dos mallas a lo largo de toda la zona de desarrollo. El cambio de dirección de aproximadamente 63° no se denominará gancho estándar de 90° y se verificará mediante el desarrollo recto de 1465 mm.</w:t>
      </w:r>
    </w:p>
    <w:p>
      <w:pPr>
        <w:jc w:val="both"/>
      </w:pPr>
      <w:r>
        <w:rPr>
          <w:rFonts w:ascii="Calibri" w:hAnsi="Calibri"/>
          <w:b w:val="0"/>
          <w:color w:val="000000"/>
          <w:sz w:val="22"/>
        </w:rPr>
        <w:t>8. El detalle definitivo deberá acotarse por eje de barra y mostrar recubrimientos, diámetro interior de doblado no menor que 152 mm, longitud inclinada, longitud horizontal, disposición en una fila, continuidad del refuerzo horizontal y compatibilidad con el procedimiento aprobado de doblado y colocación.</w:t>
      </w:r>
    </w:p>
    <w:sectPr w:rsidR="00AD2F16" w:rsidSect="008D31C4">
      <w:headerReference w:type="default" r:id="rId8"/>
      <w:footerReference w:type="default" r:id="rId9"/>
      <w:footerReference w:type="even" r:id="rId14"/>
      <w:footerReference w:type="first" r:id="rId15"/>
      <w:pgSz w:w="11906" w:h="16838"/>
      <w:pgMar w:top="1417" w:right="1417" w:bottom="1417" w:left="1417" w:header="568" w:footer="3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36751" w14:textId="77777777" w:rsidR="0007495F" w:rsidRDefault="0007495F" w:rsidP="00BA1401">
      <w:r>
        <w:separator/>
      </w:r>
    </w:p>
  </w:endnote>
  <w:endnote w:type="continuationSeparator" w:id="0">
    <w:p w14:paraId="1439D4B9" w14:textId="77777777" w:rsidR="0007495F" w:rsidRDefault="0007495F" w:rsidP="00BA1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ans">
    <w:charset w:val="00"/>
    <w:family w:val="swiss"/>
    <w:pitch w:val="variable"/>
    <w:sig w:usb0="E7002EFF" w:usb1="D200F5FF" w:usb2="0A042028" w:usb3="00000000" w:csb0="8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NeueLT Std Lt C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7C7E7" w14:textId="79B5BB81" w:rsidR="00BA1401" w:rsidRDefault="009C0835" w:rsidP="00BA1401">
    <w:pPr>
      <w:pStyle w:val="Encabezado"/>
      <w:spacing w:before="80"/>
      <w:jc w:val="center"/>
    </w:pPr>
    <w:r>
      <w:rPr>
        <w:rFonts w:ascii="Calibri" w:hAnsi="Calibri"/>
        <w:color w:val="666666"/>
        <w:sz w:val="16"/>
      </w:rPr>
      <w:t xml:space="preserve">Página </w:t>
    </w:r>
    <w:r>
      <w:rPr>
        <w:rFonts w:ascii="Calibri" w:hAnsi="Calibri"/>
        <w:color w:val="666666"/>
        <w:sz w:val="16"/>
      </w:rPr>
      <w:fldChar w:fldCharType="begin"/>
    </w:r>
    <w:r>
      <w:rPr>
        <w:rFonts w:ascii="Calibri" w:hAnsi="Calibri"/>
        <w:color w:val="666666"/>
        <w:sz w:val="16"/>
      </w:rPr>
      <w:instrText xml:space="preserve"> PAGE </w:instrText>
    </w:r>
    <w:r>
      <w:rPr>
        <w:rFonts w:ascii="Calibri" w:hAnsi="Calibri"/>
        <w:color w:val="666666"/>
        <w:sz w:val="16"/>
      </w:rPr>
      <w:fldChar w:fldCharType="end"/>
    </w:r>
    <w:r>
      <w:rPr>
        <w:rFonts w:ascii="Calibri" w:hAnsi="Calibri"/>
        <w:color w:val="666666"/>
        <w:sz w:val="16"/>
      </w:rPr>
      <w:t xml:space="preserve"> de </w:t>
    </w:r>
    <w:r>
      <w:rPr>
        <w:rFonts w:ascii="Calibri" w:hAnsi="Calibri"/>
        <w:color w:val="666666"/>
        <w:sz w:val="16"/>
      </w:rPr>
      <w:fldChar w:fldCharType="begin"/>
    </w:r>
    <w:r>
      <w:rPr>
        <w:rFonts w:ascii="Calibri" w:hAnsi="Calibri"/>
        <w:color w:val="666666"/>
        <w:sz w:val="16"/>
      </w:rPr>
      <w:instrText xml:space="preserve"> NUMPAGES </w:instrText>
    </w:r>
    <w:r>
      <w:rPr>
        <w:rFonts w:ascii="Calibri" w:hAnsi="Calibri"/>
        <w:color w:val="666666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Calibri" w:hAnsi="Calibri"/>
        <w:color w:val="666666"/>
        <w:sz w:val="16"/>
      </w:rPr>
      <w:t xml:space="preserve">Página </w:t>
    </w:r>
    <w:r>
      <w:rPr>
        <w:rFonts w:ascii="Calibri" w:hAnsi="Calibri"/>
        <w:color w:val="666666"/>
        <w:sz w:val="16"/>
      </w:rPr>
      <w:fldChar w:fldCharType="begin"/>
    </w:r>
    <w:r>
      <w:rPr>
        <w:rFonts w:ascii="Calibri" w:hAnsi="Calibri"/>
        <w:color w:val="666666"/>
        <w:sz w:val="16"/>
      </w:rPr>
      <w:instrText xml:space="preserve"> PAGE </w:instrText>
    </w:r>
    <w:r>
      <w:rPr>
        <w:rFonts w:ascii="Calibri" w:hAnsi="Calibri"/>
        <w:color w:val="666666"/>
        <w:sz w:val="16"/>
      </w:rPr>
      <w:fldChar w:fldCharType="end"/>
    </w:r>
    <w:r>
      <w:rPr>
        <w:rFonts w:ascii="Calibri" w:hAnsi="Calibri"/>
        <w:color w:val="666666"/>
        <w:sz w:val="16"/>
      </w:rPr>
      <w:t xml:space="preserve"> de </w:t>
    </w:r>
    <w:r>
      <w:rPr>
        <w:rFonts w:ascii="Calibri" w:hAnsi="Calibri"/>
        <w:color w:val="666666"/>
        <w:sz w:val="16"/>
      </w:rPr>
      <w:fldChar w:fldCharType="begin"/>
    </w:r>
    <w:r>
      <w:rPr>
        <w:rFonts w:ascii="Calibri" w:hAnsi="Calibri"/>
        <w:color w:val="666666"/>
        <w:sz w:val="16"/>
      </w:rPr>
      <w:instrText xml:space="preserve"> NUMPAGES </w:instrText>
    </w:r>
    <w:r>
      <w:rPr>
        <w:rFonts w:ascii="Calibri" w:hAnsi="Calibri"/>
        <w:color w:val="666666"/>
        <w:sz w:val="16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Calibri" w:hAnsi="Calibri"/>
        <w:color w:val="666666"/>
        <w:sz w:val="16"/>
      </w:rPr>
      <w:t xml:space="preserve">Página </w:t>
    </w:r>
    <w:r>
      <w:rPr>
        <w:rFonts w:ascii="Calibri" w:hAnsi="Calibri"/>
        <w:color w:val="666666"/>
        <w:sz w:val="16"/>
      </w:rPr>
      <w:fldChar w:fldCharType="begin"/>
    </w:r>
    <w:r>
      <w:rPr>
        <w:rFonts w:ascii="Calibri" w:hAnsi="Calibri"/>
        <w:color w:val="666666"/>
        <w:sz w:val="16"/>
      </w:rPr>
      <w:instrText xml:space="preserve"> PAGE </w:instrText>
    </w:r>
    <w:r>
      <w:rPr>
        <w:rFonts w:ascii="Calibri" w:hAnsi="Calibri"/>
        <w:color w:val="666666"/>
        <w:sz w:val="16"/>
      </w:rPr>
      <w:fldChar w:fldCharType="end"/>
    </w:r>
    <w:r>
      <w:rPr>
        <w:rFonts w:ascii="Calibri" w:hAnsi="Calibri"/>
        <w:color w:val="666666"/>
        <w:sz w:val="16"/>
      </w:rPr>
      <w:t xml:space="preserve"> de </w:t>
    </w:r>
    <w:r>
      <w:rPr>
        <w:rFonts w:ascii="Calibri" w:hAnsi="Calibri"/>
        <w:color w:val="666666"/>
        <w:sz w:val="16"/>
      </w:rPr>
      <w:fldChar w:fldCharType="begin"/>
    </w:r>
    <w:r>
      <w:rPr>
        <w:rFonts w:ascii="Calibri" w:hAnsi="Calibri"/>
        <w:color w:val="666666"/>
        <w:sz w:val="16"/>
      </w:rPr>
      <w:instrText xml:space="preserve"> NUMPAGES </w:instrText>
    </w:r>
    <w:r>
      <w:rPr>
        <w:rFonts w:ascii="Calibri" w:hAnsi="Calibri"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CE265" w14:textId="77777777" w:rsidR="0007495F" w:rsidRDefault="0007495F" w:rsidP="00BA1401">
      <w:r>
        <w:separator/>
      </w:r>
    </w:p>
  </w:footnote>
  <w:footnote w:type="continuationSeparator" w:id="0">
    <w:p w14:paraId="1BD9DD0D" w14:textId="77777777" w:rsidR="0007495F" w:rsidRDefault="0007495F" w:rsidP="00BA1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8C2CA" w14:textId="77777777" w:rsidR="00A85F00" w:rsidRPr="000259ED" w:rsidRDefault="00A85F00" w:rsidP="00A85F00">
    <w:pPr>
      <w:pStyle w:val="Encabezado"/>
      <w:jc w:val="center"/>
      <w:rPr>
        <w:b/>
        <w:bCs/>
        <w:sz w:val="18"/>
        <w:szCs w:val="18"/>
      </w:rPr>
    </w:pPr>
    <w:r w:rsidRPr="000259ED">
      <w:rPr>
        <w:b/>
        <w:bCs/>
        <w:noProof/>
        <w:sz w:val="18"/>
        <w:szCs w:val="18"/>
      </w:rPr>
      <w:drawing>
        <wp:anchor distT="0" distB="0" distL="114300" distR="114300" simplePos="0" relativeHeight="251661312" behindDoc="1" locked="0" layoutInCell="1" allowOverlap="1" wp14:anchorId="20223B1E" wp14:editId="5C42A485">
          <wp:simplePos x="0" y="0"/>
          <wp:positionH relativeFrom="margin">
            <wp:align>right</wp:align>
          </wp:positionH>
          <wp:positionV relativeFrom="paragraph">
            <wp:posOffset>-123825</wp:posOffset>
          </wp:positionV>
          <wp:extent cx="634718" cy="792000"/>
          <wp:effectExtent l="0" t="0" r="0" b="8255"/>
          <wp:wrapSquare wrapText="bothSides"/>
          <wp:docPr id="268532877" name="Imagen 1" descr="Consejo Regional de Ayacucho - CRA‎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3782383" name="Imagen 1" descr="Consejo Regional de Ayacucho - CRA‎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469" t="8215" r="27046" b="36071"/>
                  <a:stretch/>
                </pic:blipFill>
                <pic:spPr bwMode="auto">
                  <a:xfrm>
                    <a:off x="0" y="0"/>
                    <a:ext cx="634718" cy="792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59ED">
      <w:rPr>
        <w:b/>
        <w:bCs/>
        <w:noProof/>
        <w:sz w:val="18"/>
        <w:szCs w:val="18"/>
      </w:rPr>
      <w:drawing>
        <wp:anchor distT="0" distB="0" distL="114300" distR="114300" simplePos="0" relativeHeight="251662336" behindDoc="0" locked="0" layoutInCell="1" allowOverlap="1" wp14:anchorId="03AE6C1F" wp14:editId="557680A8">
          <wp:simplePos x="0" y="0"/>
          <wp:positionH relativeFrom="margin">
            <wp:align>left</wp:align>
          </wp:positionH>
          <wp:positionV relativeFrom="paragraph">
            <wp:posOffset>-139065</wp:posOffset>
          </wp:positionV>
          <wp:extent cx="692738" cy="792000"/>
          <wp:effectExtent l="0" t="0" r="0" b="8255"/>
          <wp:wrapSquare wrapText="bothSides"/>
          <wp:docPr id="1360731075" name="Imagen 2" descr="Escudo del Perú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scudo del Perú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738" cy="7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59ED">
      <w:rPr>
        <w:b/>
        <w:bCs/>
        <w:sz w:val="18"/>
        <w:szCs w:val="18"/>
      </w:rPr>
      <w:t>GOBIERNO REGIONAL DE AYACUCHO</w:t>
    </w:r>
  </w:p>
  <w:p w14:paraId="6505734E" w14:textId="77777777" w:rsidR="00A85F00" w:rsidRPr="000259ED" w:rsidRDefault="00A85F00" w:rsidP="00A85F00">
    <w:pPr>
      <w:pStyle w:val="Encabezado"/>
      <w:jc w:val="center"/>
      <w:rPr>
        <w:b/>
        <w:bCs/>
        <w:sz w:val="18"/>
        <w:szCs w:val="18"/>
      </w:rPr>
    </w:pPr>
    <w:r w:rsidRPr="000259ED">
      <w:rPr>
        <w:b/>
        <w:bCs/>
        <w:sz w:val="18"/>
        <w:szCs w:val="18"/>
      </w:rPr>
      <w:t>GERENCIA REGIONAL DE INFRAESTRUCTURA</w:t>
    </w:r>
  </w:p>
  <w:p w14:paraId="1D2572D2" w14:textId="77777777" w:rsidR="00A85F00" w:rsidRPr="000259ED" w:rsidRDefault="00A85F00" w:rsidP="00A85F00">
    <w:pPr>
      <w:pStyle w:val="Encabezado"/>
      <w:jc w:val="center"/>
      <w:rPr>
        <w:b/>
        <w:bCs/>
        <w:sz w:val="18"/>
        <w:szCs w:val="18"/>
      </w:rPr>
    </w:pPr>
    <w:proofErr w:type="gramStart"/>
    <w:r w:rsidRPr="000259ED">
      <w:rPr>
        <w:b/>
        <w:bCs/>
        <w:sz w:val="18"/>
        <w:szCs w:val="18"/>
      </w:rPr>
      <w:t>SUB GERENCIA</w:t>
    </w:r>
    <w:proofErr w:type="gramEnd"/>
    <w:r w:rsidRPr="000259ED">
      <w:rPr>
        <w:b/>
        <w:bCs/>
        <w:sz w:val="18"/>
        <w:szCs w:val="18"/>
      </w:rPr>
      <w:t xml:space="preserve"> DE EJECUCIÓN E INVERSIONES</w:t>
    </w:r>
  </w:p>
  <w:p w14:paraId="40B2A2F4" w14:textId="77777777" w:rsidR="00A85F00" w:rsidRPr="00015FFC" w:rsidRDefault="00A85F00" w:rsidP="00A85F00">
    <w:pPr>
      <w:pStyle w:val="Encabezado"/>
      <w:jc w:val="center"/>
      <w:rPr>
        <w:sz w:val="18"/>
        <w:szCs w:val="18"/>
      </w:rPr>
    </w:pPr>
    <w:r w:rsidRPr="000259ED">
      <w:rPr>
        <w:noProof/>
        <w:sz w:val="18"/>
        <w:szCs w:val="18"/>
      </w:rPr>
      <w:t>“Año de la Esperanza y el Fortalecimiento de la Democracia”</w:t>
    </w:r>
  </w:p>
  <w:p w14:paraId="7447BD59" w14:textId="369814F5" w:rsidR="00B1034E" w:rsidRPr="002505AD" w:rsidRDefault="00B1034E" w:rsidP="002505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75pt;height:11.75pt" o:bullet="t">
        <v:imagedata r:id="rId1" o:title="mso9DD6"/>
      </v:shape>
    </w:pict>
  </w:numPicBullet>
  <w:abstractNum w:abstractNumId="0" w15:restartNumberingAfterBreak="0">
    <w:nsid w:val="0000A991"/>
    <w:multiLevelType w:val="multilevel"/>
    <w:tmpl w:val="1A3CC3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B53B57"/>
    <w:multiLevelType w:val="hybridMultilevel"/>
    <w:tmpl w:val="81FC17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A2C1E"/>
    <w:multiLevelType w:val="hybridMultilevel"/>
    <w:tmpl w:val="8E389CEA"/>
    <w:lvl w:ilvl="0" w:tplc="24B82BCC">
      <w:numFmt w:val="bullet"/>
      <w:lvlText w:val=""/>
      <w:lvlJc w:val="left"/>
      <w:pPr>
        <w:ind w:left="1070" w:hanging="425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9898846C">
      <w:numFmt w:val="bullet"/>
      <w:lvlText w:val="•"/>
      <w:lvlJc w:val="left"/>
      <w:pPr>
        <w:ind w:left="1921" w:hanging="425"/>
      </w:pPr>
      <w:rPr>
        <w:rFonts w:hint="default"/>
        <w:lang w:val="es-ES" w:eastAsia="en-US" w:bidi="ar-SA"/>
      </w:rPr>
    </w:lvl>
    <w:lvl w:ilvl="2" w:tplc="C7F46BA4">
      <w:numFmt w:val="bullet"/>
      <w:lvlText w:val="•"/>
      <w:lvlJc w:val="left"/>
      <w:pPr>
        <w:ind w:left="2762" w:hanging="425"/>
      </w:pPr>
      <w:rPr>
        <w:rFonts w:hint="default"/>
        <w:lang w:val="es-ES" w:eastAsia="en-US" w:bidi="ar-SA"/>
      </w:rPr>
    </w:lvl>
    <w:lvl w:ilvl="3" w:tplc="D68AF304">
      <w:numFmt w:val="bullet"/>
      <w:lvlText w:val="•"/>
      <w:lvlJc w:val="left"/>
      <w:pPr>
        <w:ind w:left="3603" w:hanging="425"/>
      </w:pPr>
      <w:rPr>
        <w:rFonts w:hint="default"/>
        <w:lang w:val="es-ES" w:eastAsia="en-US" w:bidi="ar-SA"/>
      </w:rPr>
    </w:lvl>
    <w:lvl w:ilvl="4" w:tplc="7C70469A">
      <w:numFmt w:val="bullet"/>
      <w:lvlText w:val="•"/>
      <w:lvlJc w:val="left"/>
      <w:pPr>
        <w:ind w:left="4444" w:hanging="425"/>
      </w:pPr>
      <w:rPr>
        <w:rFonts w:hint="default"/>
        <w:lang w:val="es-ES" w:eastAsia="en-US" w:bidi="ar-SA"/>
      </w:rPr>
    </w:lvl>
    <w:lvl w:ilvl="5" w:tplc="D0084DA2">
      <w:numFmt w:val="bullet"/>
      <w:lvlText w:val="•"/>
      <w:lvlJc w:val="left"/>
      <w:pPr>
        <w:ind w:left="5285" w:hanging="425"/>
      </w:pPr>
      <w:rPr>
        <w:rFonts w:hint="default"/>
        <w:lang w:val="es-ES" w:eastAsia="en-US" w:bidi="ar-SA"/>
      </w:rPr>
    </w:lvl>
    <w:lvl w:ilvl="6" w:tplc="B1ACAC66">
      <w:numFmt w:val="bullet"/>
      <w:lvlText w:val="•"/>
      <w:lvlJc w:val="left"/>
      <w:pPr>
        <w:ind w:left="6126" w:hanging="425"/>
      </w:pPr>
      <w:rPr>
        <w:rFonts w:hint="default"/>
        <w:lang w:val="es-ES" w:eastAsia="en-US" w:bidi="ar-SA"/>
      </w:rPr>
    </w:lvl>
    <w:lvl w:ilvl="7" w:tplc="6EBE0E86">
      <w:numFmt w:val="bullet"/>
      <w:lvlText w:val="•"/>
      <w:lvlJc w:val="left"/>
      <w:pPr>
        <w:ind w:left="6967" w:hanging="425"/>
      </w:pPr>
      <w:rPr>
        <w:rFonts w:hint="default"/>
        <w:lang w:val="es-ES" w:eastAsia="en-US" w:bidi="ar-SA"/>
      </w:rPr>
    </w:lvl>
    <w:lvl w:ilvl="8" w:tplc="88603FD4">
      <w:numFmt w:val="bullet"/>
      <w:lvlText w:val="•"/>
      <w:lvlJc w:val="left"/>
      <w:pPr>
        <w:ind w:left="7808" w:hanging="425"/>
      </w:pPr>
      <w:rPr>
        <w:rFonts w:hint="default"/>
        <w:lang w:val="es-ES" w:eastAsia="en-US" w:bidi="ar-SA"/>
      </w:rPr>
    </w:lvl>
  </w:abstractNum>
  <w:abstractNum w:abstractNumId="3" w15:restartNumberingAfterBreak="0">
    <w:nsid w:val="13DC115D"/>
    <w:multiLevelType w:val="hybridMultilevel"/>
    <w:tmpl w:val="C6C4F7C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360F8"/>
    <w:multiLevelType w:val="hybridMultilevel"/>
    <w:tmpl w:val="BBEE31DA"/>
    <w:lvl w:ilvl="0" w:tplc="E3E8DD86">
      <w:numFmt w:val="bullet"/>
      <w:lvlText w:val=""/>
      <w:lvlJc w:val="left"/>
      <w:pPr>
        <w:ind w:left="1070" w:hanging="425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1BF86E48">
      <w:numFmt w:val="bullet"/>
      <w:lvlText w:val="•"/>
      <w:lvlJc w:val="left"/>
      <w:pPr>
        <w:ind w:left="1921" w:hanging="425"/>
      </w:pPr>
      <w:rPr>
        <w:rFonts w:hint="default"/>
        <w:lang w:val="es-ES" w:eastAsia="en-US" w:bidi="ar-SA"/>
      </w:rPr>
    </w:lvl>
    <w:lvl w:ilvl="2" w:tplc="27A2D534">
      <w:numFmt w:val="bullet"/>
      <w:lvlText w:val="•"/>
      <w:lvlJc w:val="left"/>
      <w:pPr>
        <w:ind w:left="2762" w:hanging="425"/>
      </w:pPr>
      <w:rPr>
        <w:rFonts w:hint="default"/>
        <w:lang w:val="es-ES" w:eastAsia="en-US" w:bidi="ar-SA"/>
      </w:rPr>
    </w:lvl>
    <w:lvl w:ilvl="3" w:tplc="CFA6B732">
      <w:numFmt w:val="bullet"/>
      <w:lvlText w:val="•"/>
      <w:lvlJc w:val="left"/>
      <w:pPr>
        <w:ind w:left="3603" w:hanging="425"/>
      </w:pPr>
      <w:rPr>
        <w:rFonts w:hint="default"/>
        <w:lang w:val="es-ES" w:eastAsia="en-US" w:bidi="ar-SA"/>
      </w:rPr>
    </w:lvl>
    <w:lvl w:ilvl="4" w:tplc="77FA1344">
      <w:numFmt w:val="bullet"/>
      <w:lvlText w:val="•"/>
      <w:lvlJc w:val="left"/>
      <w:pPr>
        <w:ind w:left="4444" w:hanging="425"/>
      </w:pPr>
      <w:rPr>
        <w:rFonts w:hint="default"/>
        <w:lang w:val="es-ES" w:eastAsia="en-US" w:bidi="ar-SA"/>
      </w:rPr>
    </w:lvl>
    <w:lvl w:ilvl="5" w:tplc="6E5C338C">
      <w:numFmt w:val="bullet"/>
      <w:lvlText w:val="•"/>
      <w:lvlJc w:val="left"/>
      <w:pPr>
        <w:ind w:left="5285" w:hanging="425"/>
      </w:pPr>
      <w:rPr>
        <w:rFonts w:hint="default"/>
        <w:lang w:val="es-ES" w:eastAsia="en-US" w:bidi="ar-SA"/>
      </w:rPr>
    </w:lvl>
    <w:lvl w:ilvl="6" w:tplc="D458F3F6">
      <w:numFmt w:val="bullet"/>
      <w:lvlText w:val="•"/>
      <w:lvlJc w:val="left"/>
      <w:pPr>
        <w:ind w:left="6126" w:hanging="425"/>
      </w:pPr>
      <w:rPr>
        <w:rFonts w:hint="default"/>
        <w:lang w:val="es-ES" w:eastAsia="en-US" w:bidi="ar-SA"/>
      </w:rPr>
    </w:lvl>
    <w:lvl w:ilvl="7" w:tplc="AE7673A6">
      <w:numFmt w:val="bullet"/>
      <w:lvlText w:val="•"/>
      <w:lvlJc w:val="left"/>
      <w:pPr>
        <w:ind w:left="6967" w:hanging="425"/>
      </w:pPr>
      <w:rPr>
        <w:rFonts w:hint="default"/>
        <w:lang w:val="es-ES" w:eastAsia="en-US" w:bidi="ar-SA"/>
      </w:rPr>
    </w:lvl>
    <w:lvl w:ilvl="8" w:tplc="42760A72">
      <w:numFmt w:val="bullet"/>
      <w:lvlText w:val="•"/>
      <w:lvlJc w:val="left"/>
      <w:pPr>
        <w:ind w:left="7808" w:hanging="425"/>
      </w:pPr>
      <w:rPr>
        <w:rFonts w:hint="default"/>
        <w:lang w:val="es-ES" w:eastAsia="en-US" w:bidi="ar-SA"/>
      </w:rPr>
    </w:lvl>
  </w:abstractNum>
  <w:abstractNum w:abstractNumId="5" w15:restartNumberingAfterBreak="0">
    <w:nsid w:val="15A1752E"/>
    <w:multiLevelType w:val="hybridMultilevel"/>
    <w:tmpl w:val="803038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94A84"/>
    <w:multiLevelType w:val="hybridMultilevel"/>
    <w:tmpl w:val="5AB0A1A2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F50E8"/>
    <w:multiLevelType w:val="hybridMultilevel"/>
    <w:tmpl w:val="DFFEC34A"/>
    <w:lvl w:ilvl="0" w:tplc="F55A178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355881"/>
    <w:multiLevelType w:val="hybridMultilevel"/>
    <w:tmpl w:val="02E2F6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8D0F26"/>
    <w:multiLevelType w:val="hybridMultilevel"/>
    <w:tmpl w:val="33A46F0C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2C3D02"/>
    <w:multiLevelType w:val="hybridMultilevel"/>
    <w:tmpl w:val="541ABA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117E1"/>
    <w:multiLevelType w:val="hybridMultilevel"/>
    <w:tmpl w:val="91168CB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BF2C45"/>
    <w:multiLevelType w:val="hybridMultilevel"/>
    <w:tmpl w:val="3EA6B4E4"/>
    <w:lvl w:ilvl="0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997DA8"/>
    <w:multiLevelType w:val="hybridMultilevel"/>
    <w:tmpl w:val="E522FC94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9682D"/>
    <w:multiLevelType w:val="hybridMultilevel"/>
    <w:tmpl w:val="B370468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4371A"/>
    <w:multiLevelType w:val="hybridMultilevel"/>
    <w:tmpl w:val="2E7EE2D0"/>
    <w:lvl w:ilvl="0" w:tplc="DF16F500">
      <w:start w:val="1"/>
      <w:numFmt w:val="upperRoman"/>
      <w:lvlText w:val="%1."/>
      <w:lvlJc w:val="left"/>
      <w:pPr>
        <w:ind w:left="618" w:hanging="440"/>
      </w:pPr>
      <w:rPr>
        <w:rFonts w:ascii="Arial" w:eastAsia="Arial" w:hAnsi="Arial" w:cs="Arial" w:hint="default"/>
        <w:b/>
        <w:bCs/>
        <w:w w:val="82"/>
        <w:sz w:val="22"/>
        <w:szCs w:val="22"/>
        <w:lang w:val="es-ES" w:eastAsia="en-US" w:bidi="ar-SA"/>
      </w:rPr>
    </w:lvl>
    <w:lvl w:ilvl="1" w:tplc="A6A486B0">
      <w:start w:val="1"/>
      <w:numFmt w:val="upperRoman"/>
      <w:lvlText w:val="%2."/>
      <w:lvlJc w:val="left"/>
      <w:pPr>
        <w:ind w:left="899" w:hanging="461"/>
        <w:jc w:val="right"/>
      </w:pPr>
      <w:rPr>
        <w:rFonts w:ascii="Arial" w:eastAsia="Arial" w:hAnsi="Arial" w:cs="Arial" w:hint="default"/>
        <w:b/>
        <w:bCs/>
        <w:w w:val="82"/>
        <w:sz w:val="22"/>
        <w:szCs w:val="22"/>
        <w:lang w:val="es-ES" w:eastAsia="en-US" w:bidi="ar-SA"/>
      </w:rPr>
    </w:lvl>
    <w:lvl w:ilvl="2" w:tplc="96F27140">
      <w:numFmt w:val="bullet"/>
      <w:lvlText w:val=""/>
      <w:lvlJc w:val="left"/>
      <w:pPr>
        <w:ind w:left="899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 w:tplc="13C25BC6">
      <w:numFmt w:val="bullet"/>
      <w:lvlText w:val="•"/>
      <w:lvlJc w:val="left"/>
      <w:pPr>
        <w:ind w:left="2809" w:hanging="360"/>
      </w:pPr>
      <w:rPr>
        <w:rFonts w:hint="default"/>
        <w:lang w:val="es-ES" w:eastAsia="en-US" w:bidi="ar-SA"/>
      </w:rPr>
    </w:lvl>
    <w:lvl w:ilvl="4" w:tplc="348A1F96">
      <w:numFmt w:val="bullet"/>
      <w:lvlText w:val="•"/>
      <w:lvlJc w:val="left"/>
      <w:pPr>
        <w:ind w:left="3763" w:hanging="360"/>
      </w:pPr>
      <w:rPr>
        <w:rFonts w:hint="default"/>
        <w:lang w:val="es-ES" w:eastAsia="en-US" w:bidi="ar-SA"/>
      </w:rPr>
    </w:lvl>
    <w:lvl w:ilvl="5" w:tplc="3C444F86">
      <w:numFmt w:val="bullet"/>
      <w:lvlText w:val="•"/>
      <w:lvlJc w:val="left"/>
      <w:pPr>
        <w:ind w:left="4718" w:hanging="360"/>
      </w:pPr>
      <w:rPr>
        <w:rFonts w:hint="default"/>
        <w:lang w:val="es-ES" w:eastAsia="en-US" w:bidi="ar-SA"/>
      </w:rPr>
    </w:lvl>
    <w:lvl w:ilvl="6" w:tplc="54BAB836">
      <w:numFmt w:val="bullet"/>
      <w:lvlText w:val="•"/>
      <w:lvlJc w:val="left"/>
      <w:pPr>
        <w:ind w:left="5672" w:hanging="360"/>
      </w:pPr>
      <w:rPr>
        <w:rFonts w:hint="default"/>
        <w:lang w:val="es-ES" w:eastAsia="en-US" w:bidi="ar-SA"/>
      </w:rPr>
    </w:lvl>
    <w:lvl w:ilvl="7" w:tplc="94DEADBC">
      <w:numFmt w:val="bullet"/>
      <w:lvlText w:val="•"/>
      <w:lvlJc w:val="left"/>
      <w:pPr>
        <w:ind w:left="6627" w:hanging="360"/>
      </w:pPr>
      <w:rPr>
        <w:rFonts w:hint="default"/>
        <w:lang w:val="es-ES" w:eastAsia="en-US" w:bidi="ar-SA"/>
      </w:rPr>
    </w:lvl>
    <w:lvl w:ilvl="8" w:tplc="9BBCFAC0">
      <w:numFmt w:val="bullet"/>
      <w:lvlText w:val="•"/>
      <w:lvlJc w:val="left"/>
      <w:pPr>
        <w:ind w:left="7582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43526487"/>
    <w:multiLevelType w:val="hybridMultilevel"/>
    <w:tmpl w:val="02E2F6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BA6044"/>
    <w:multiLevelType w:val="hybridMultilevel"/>
    <w:tmpl w:val="8940051A"/>
    <w:lvl w:ilvl="0" w:tplc="2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C3F87"/>
    <w:multiLevelType w:val="hybridMultilevel"/>
    <w:tmpl w:val="F77E3B24"/>
    <w:lvl w:ilvl="0" w:tplc="28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7C40B8"/>
    <w:multiLevelType w:val="hybridMultilevel"/>
    <w:tmpl w:val="4010308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20411"/>
    <w:multiLevelType w:val="hybridMultilevel"/>
    <w:tmpl w:val="02E2F6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A93DBF"/>
    <w:multiLevelType w:val="hybridMultilevel"/>
    <w:tmpl w:val="FE84D852"/>
    <w:lvl w:ilvl="0" w:tplc="96FCE0A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C2B2227"/>
    <w:multiLevelType w:val="hybridMultilevel"/>
    <w:tmpl w:val="02E2F6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7B02C6"/>
    <w:multiLevelType w:val="hybridMultilevel"/>
    <w:tmpl w:val="225A4574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8D06C8"/>
    <w:multiLevelType w:val="hybridMultilevel"/>
    <w:tmpl w:val="D6B6BDA8"/>
    <w:lvl w:ilvl="0" w:tplc="B99E8F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061323D"/>
    <w:multiLevelType w:val="hybridMultilevel"/>
    <w:tmpl w:val="35E60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CB6DC2"/>
    <w:multiLevelType w:val="hybridMultilevel"/>
    <w:tmpl w:val="00F0371E"/>
    <w:lvl w:ilvl="0" w:tplc="CD56D6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3A1A4F"/>
    <w:multiLevelType w:val="multilevel"/>
    <w:tmpl w:val="7CC4F9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66632F06"/>
    <w:multiLevelType w:val="multilevel"/>
    <w:tmpl w:val="8E086FD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8F2662C"/>
    <w:multiLevelType w:val="hybridMultilevel"/>
    <w:tmpl w:val="069CEB8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F738D"/>
    <w:multiLevelType w:val="hybridMultilevel"/>
    <w:tmpl w:val="099AC2D2"/>
    <w:lvl w:ilvl="0" w:tplc="15E4474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D42D2E"/>
    <w:multiLevelType w:val="hybridMultilevel"/>
    <w:tmpl w:val="12301484"/>
    <w:lvl w:ilvl="0" w:tplc="AD9CB8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976203">
    <w:abstractNumId w:val="11"/>
  </w:num>
  <w:num w:numId="2" w16cid:durableId="2024938143">
    <w:abstractNumId w:val="13"/>
  </w:num>
  <w:num w:numId="3" w16cid:durableId="456146267">
    <w:abstractNumId w:val="25"/>
  </w:num>
  <w:num w:numId="4" w16cid:durableId="1109468482">
    <w:abstractNumId w:val="6"/>
  </w:num>
  <w:num w:numId="5" w16cid:durableId="412512614">
    <w:abstractNumId w:val="1"/>
  </w:num>
  <w:num w:numId="6" w16cid:durableId="1241410185">
    <w:abstractNumId w:val="22"/>
  </w:num>
  <w:num w:numId="7" w16cid:durableId="2020963561">
    <w:abstractNumId w:val="14"/>
  </w:num>
  <w:num w:numId="8" w16cid:durableId="1436318771">
    <w:abstractNumId w:val="27"/>
  </w:num>
  <w:num w:numId="9" w16cid:durableId="884944557">
    <w:abstractNumId w:val="20"/>
  </w:num>
  <w:num w:numId="10" w16cid:durableId="1183981971">
    <w:abstractNumId w:val="16"/>
  </w:num>
  <w:num w:numId="11" w16cid:durableId="1165975049">
    <w:abstractNumId w:val="8"/>
  </w:num>
  <w:num w:numId="12" w16cid:durableId="1771045283">
    <w:abstractNumId w:val="17"/>
  </w:num>
  <w:num w:numId="13" w16cid:durableId="359859906">
    <w:abstractNumId w:val="18"/>
  </w:num>
  <w:num w:numId="14" w16cid:durableId="134833727">
    <w:abstractNumId w:val="10"/>
  </w:num>
  <w:num w:numId="15" w16cid:durableId="228198941">
    <w:abstractNumId w:val="26"/>
  </w:num>
  <w:num w:numId="16" w16cid:durableId="1450080384">
    <w:abstractNumId w:val="30"/>
  </w:num>
  <w:num w:numId="17" w16cid:durableId="851649044">
    <w:abstractNumId w:val="31"/>
  </w:num>
  <w:num w:numId="18" w16cid:durableId="1020818776">
    <w:abstractNumId w:val="7"/>
  </w:num>
  <w:num w:numId="19" w16cid:durableId="1881093599">
    <w:abstractNumId w:val="9"/>
  </w:num>
  <w:num w:numId="20" w16cid:durableId="2101023467">
    <w:abstractNumId w:val="21"/>
  </w:num>
  <w:num w:numId="21" w16cid:durableId="1023048399">
    <w:abstractNumId w:val="2"/>
  </w:num>
  <w:num w:numId="22" w16cid:durableId="625738462">
    <w:abstractNumId w:val="4"/>
  </w:num>
  <w:num w:numId="23" w16cid:durableId="231084458">
    <w:abstractNumId w:val="15"/>
  </w:num>
  <w:num w:numId="24" w16cid:durableId="1956790683">
    <w:abstractNumId w:val="19"/>
  </w:num>
  <w:num w:numId="25" w16cid:durableId="53747215">
    <w:abstractNumId w:val="28"/>
  </w:num>
  <w:num w:numId="26" w16cid:durableId="574976697">
    <w:abstractNumId w:val="24"/>
  </w:num>
  <w:num w:numId="27" w16cid:durableId="72166718">
    <w:abstractNumId w:val="23"/>
  </w:num>
  <w:num w:numId="28" w16cid:durableId="1046637357">
    <w:abstractNumId w:val="3"/>
  </w:num>
  <w:num w:numId="29" w16cid:durableId="363867878">
    <w:abstractNumId w:val="12"/>
  </w:num>
  <w:num w:numId="30" w16cid:durableId="898130653">
    <w:abstractNumId w:val="29"/>
  </w:num>
  <w:num w:numId="31" w16cid:durableId="898327224">
    <w:abstractNumId w:val="5"/>
  </w:num>
  <w:num w:numId="32" w16cid:durableId="36078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82D"/>
    <w:rsid w:val="00002D63"/>
    <w:rsid w:val="00006E56"/>
    <w:rsid w:val="00010509"/>
    <w:rsid w:val="0002177D"/>
    <w:rsid w:val="00021817"/>
    <w:rsid w:val="000256EF"/>
    <w:rsid w:val="0003086C"/>
    <w:rsid w:val="0003144D"/>
    <w:rsid w:val="00036896"/>
    <w:rsid w:val="00040CC8"/>
    <w:rsid w:val="00041F5D"/>
    <w:rsid w:val="00042976"/>
    <w:rsid w:val="00044362"/>
    <w:rsid w:val="00044A36"/>
    <w:rsid w:val="00047AC4"/>
    <w:rsid w:val="00047E04"/>
    <w:rsid w:val="00052CDD"/>
    <w:rsid w:val="000536CD"/>
    <w:rsid w:val="00053E33"/>
    <w:rsid w:val="000546A0"/>
    <w:rsid w:val="00054A27"/>
    <w:rsid w:val="00055385"/>
    <w:rsid w:val="000565FB"/>
    <w:rsid w:val="000609FD"/>
    <w:rsid w:val="00064862"/>
    <w:rsid w:val="00064FE8"/>
    <w:rsid w:val="0006579F"/>
    <w:rsid w:val="00067D6A"/>
    <w:rsid w:val="00071E31"/>
    <w:rsid w:val="00073907"/>
    <w:rsid w:val="0007495F"/>
    <w:rsid w:val="00077B1D"/>
    <w:rsid w:val="00084FA0"/>
    <w:rsid w:val="00085799"/>
    <w:rsid w:val="00090B66"/>
    <w:rsid w:val="000913E8"/>
    <w:rsid w:val="00091D68"/>
    <w:rsid w:val="00096BA8"/>
    <w:rsid w:val="000B7AFB"/>
    <w:rsid w:val="000C030D"/>
    <w:rsid w:val="000C47D2"/>
    <w:rsid w:val="000C6D56"/>
    <w:rsid w:val="000D0BF3"/>
    <w:rsid w:val="000D12C7"/>
    <w:rsid w:val="000D42C7"/>
    <w:rsid w:val="000D5284"/>
    <w:rsid w:val="000E0810"/>
    <w:rsid w:val="000E0F31"/>
    <w:rsid w:val="000E6C46"/>
    <w:rsid w:val="000E70A2"/>
    <w:rsid w:val="000F421D"/>
    <w:rsid w:val="000F6709"/>
    <w:rsid w:val="0010025D"/>
    <w:rsid w:val="00101D2E"/>
    <w:rsid w:val="00101E1E"/>
    <w:rsid w:val="00104DA2"/>
    <w:rsid w:val="00106CC1"/>
    <w:rsid w:val="00107359"/>
    <w:rsid w:val="001109EC"/>
    <w:rsid w:val="00111C4D"/>
    <w:rsid w:val="001149AB"/>
    <w:rsid w:val="001150AD"/>
    <w:rsid w:val="0011645A"/>
    <w:rsid w:val="0011742D"/>
    <w:rsid w:val="00120264"/>
    <w:rsid w:val="00126539"/>
    <w:rsid w:val="0012787A"/>
    <w:rsid w:val="00127BCA"/>
    <w:rsid w:val="001350AC"/>
    <w:rsid w:val="00136500"/>
    <w:rsid w:val="001432F5"/>
    <w:rsid w:val="00144C01"/>
    <w:rsid w:val="00146914"/>
    <w:rsid w:val="00151B10"/>
    <w:rsid w:val="00153959"/>
    <w:rsid w:val="001603AB"/>
    <w:rsid w:val="001638EE"/>
    <w:rsid w:val="0016612F"/>
    <w:rsid w:val="00177476"/>
    <w:rsid w:val="00180356"/>
    <w:rsid w:val="00180761"/>
    <w:rsid w:val="0018099D"/>
    <w:rsid w:val="00180C3F"/>
    <w:rsid w:val="001837B2"/>
    <w:rsid w:val="00184253"/>
    <w:rsid w:val="00186148"/>
    <w:rsid w:val="001864B9"/>
    <w:rsid w:val="00186FF3"/>
    <w:rsid w:val="00195935"/>
    <w:rsid w:val="00195EE6"/>
    <w:rsid w:val="001965D4"/>
    <w:rsid w:val="00197194"/>
    <w:rsid w:val="001A3F5D"/>
    <w:rsid w:val="001A5DAD"/>
    <w:rsid w:val="001B0C0A"/>
    <w:rsid w:val="001C4E66"/>
    <w:rsid w:val="001C6DBD"/>
    <w:rsid w:val="001D2427"/>
    <w:rsid w:val="001D3FE1"/>
    <w:rsid w:val="001D54B5"/>
    <w:rsid w:val="001D732D"/>
    <w:rsid w:val="001E0C19"/>
    <w:rsid w:val="001E5388"/>
    <w:rsid w:val="001E5967"/>
    <w:rsid w:val="001E692C"/>
    <w:rsid w:val="001F5E2E"/>
    <w:rsid w:val="001F6BDF"/>
    <w:rsid w:val="002000C5"/>
    <w:rsid w:val="00204BB9"/>
    <w:rsid w:val="00210022"/>
    <w:rsid w:val="002151BE"/>
    <w:rsid w:val="002248C3"/>
    <w:rsid w:val="0022567D"/>
    <w:rsid w:val="002277E2"/>
    <w:rsid w:val="00230568"/>
    <w:rsid w:val="00231C02"/>
    <w:rsid w:val="00235D55"/>
    <w:rsid w:val="0023792E"/>
    <w:rsid w:val="0024345F"/>
    <w:rsid w:val="002505AD"/>
    <w:rsid w:val="0025074B"/>
    <w:rsid w:val="00252037"/>
    <w:rsid w:val="0025210B"/>
    <w:rsid w:val="002534C7"/>
    <w:rsid w:val="002566B1"/>
    <w:rsid w:val="00261F4B"/>
    <w:rsid w:val="00262593"/>
    <w:rsid w:val="0026598F"/>
    <w:rsid w:val="0027497E"/>
    <w:rsid w:val="00275D2E"/>
    <w:rsid w:val="0027649F"/>
    <w:rsid w:val="00277847"/>
    <w:rsid w:val="0028315E"/>
    <w:rsid w:val="00290482"/>
    <w:rsid w:val="0029232A"/>
    <w:rsid w:val="00296C11"/>
    <w:rsid w:val="002A078E"/>
    <w:rsid w:val="002A20AF"/>
    <w:rsid w:val="002A4306"/>
    <w:rsid w:val="002B1338"/>
    <w:rsid w:val="002B1C7B"/>
    <w:rsid w:val="002B7059"/>
    <w:rsid w:val="002C3820"/>
    <w:rsid w:val="002C3EE4"/>
    <w:rsid w:val="002C4AF5"/>
    <w:rsid w:val="002C5B9A"/>
    <w:rsid w:val="002C6A78"/>
    <w:rsid w:val="002D7D6D"/>
    <w:rsid w:val="002E0099"/>
    <w:rsid w:val="002E135D"/>
    <w:rsid w:val="002E16CB"/>
    <w:rsid w:val="002E36A2"/>
    <w:rsid w:val="002E37EC"/>
    <w:rsid w:val="002F1129"/>
    <w:rsid w:val="002F4049"/>
    <w:rsid w:val="002F4321"/>
    <w:rsid w:val="002F60D9"/>
    <w:rsid w:val="002F7415"/>
    <w:rsid w:val="002F7952"/>
    <w:rsid w:val="00302073"/>
    <w:rsid w:val="003038AC"/>
    <w:rsid w:val="003054BD"/>
    <w:rsid w:val="003054D8"/>
    <w:rsid w:val="00306A6B"/>
    <w:rsid w:val="00311419"/>
    <w:rsid w:val="00311DBA"/>
    <w:rsid w:val="00314AE6"/>
    <w:rsid w:val="00314ED6"/>
    <w:rsid w:val="0031651E"/>
    <w:rsid w:val="0033046F"/>
    <w:rsid w:val="00330EF3"/>
    <w:rsid w:val="00331FFA"/>
    <w:rsid w:val="0033280E"/>
    <w:rsid w:val="0033299D"/>
    <w:rsid w:val="00332AA4"/>
    <w:rsid w:val="00333520"/>
    <w:rsid w:val="0033558F"/>
    <w:rsid w:val="00335FA1"/>
    <w:rsid w:val="00342407"/>
    <w:rsid w:val="003424EC"/>
    <w:rsid w:val="00344484"/>
    <w:rsid w:val="003445DD"/>
    <w:rsid w:val="003547C2"/>
    <w:rsid w:val="00355747"/>
    <w:rsid w:val="00357326"/>
    <w:rsid w:val="00372285"/>
    <w:rsid w:val="00372B2D"/>
    <w:rsid w:val="00374192"/>
    <w:rsid w:val="003808C5"/>
    <w:rsid w:val="00385E8B"/>
    <w:rsid w:val="00387FAE"/>
    <w:rsid w:val="003904D4"/>
    <w:rsid w:val="00391DA8"/>
    <w:rsid w:val="00392726"/>
    <w:rsid w:val="00392BB0"/>
    <w:rsid w:val="003A0232"/>
    <w:rsid w:val="003A10B9"/>
    <w:rsid w:val="003A1C50"/>
    <w:rsid w:val="003A46B8"/>
    <w:rsid w:val="003A6A43"/>
    <w:rsid w:val="003A7307"/>
    <w:rsid w:val="003A77D0"/>
    <w:rsid w:val="003B112E"/>
    <w:rsid w:val="003B1721"/>
    <w:rsid w:val="003B21AD"/>
    <w:rsid w:val="003B2CBA"/>
    <w:rsid w:val="003B7B1A"/>
    <w:rsid w:val="003C061A"/>
    <w:rsid w:val="003C576D"/>
    <w:rsid w:val="003C5F10"/>
    <w:rsid w:val="003C6CF7"/>
    <w:rsid w:val="003D41D2"/>
    <w:rsid w:val="003D6225"/>
    <w:rsid w:val="003E126B"/>
    <w:rsid w:val="003E329C"/>
    <w:rsid w:val="003F0E83"/>
    <w:rsid w:val="003F1024"/>
    <w:rsid w:val="003F15FE"/>
    <w:rsid w:val="00402BD0"/>
    <w:rsid w:val="00404935"/>
    <w:rsid w:val="00406AC6"/>
    <w:rsid w:val="0041181C"/>
    <w:rsid w:val="00411CB6"/>
    <w:rsid w:val="004127CE"/>
    <w:rsid w:val="00415CD4"/>
    <w:rsid w:val="00416491"/>
    <w:rsid w:val="00420331"/>
    <w:rsid w:val="00420491"/>
    <w:rsid w:val="004225AE"/>
    <w:rsid w:val="004233AD"/>
    <w:rsid w:val="00430CF1"/>
    <w:rsid w:val="0043175D"/>
    <w:rsid w:val="00431C66"/>
    <w:rsid w:val="00432A2C"/>
    <w:rsid w:val="0043724B"/>
    <w:rsid w:val="004459CB"/>
    <w:rsid w:val="00445AEB"/>
    <w:rsid w:val="0046064D"/>
    <w:rsid w:val="00461071"/>
    <w:rsid w:val="00461A10"/>
    <w:rsid w:val="00461B93"/>
    <w:rsid w:val="004624A4"/>
    <w:rsid w:val="00465424"/>
    <w:rsid w:val="0047176D"/>
    <w:rsid w:val="00481111"/>
    <w:rsid w:val="00484376"/>
    <w:rsid w:val="00487804"/>
    <w:rsid w:val="004910CD"/>
    <w:rsid w:val="00494395"/>
    <w:rsid w:val="00495133"/>
    <w:rsid w:val="00495930"/>
    <w:rsid w:val="004A28A9"/>
    <w:rsid w:val="004A42D8"/>
    <w:rsid w:val="004A4B52"/>
    <w:rsid w:val="004A4F08"/>
    <w:rsid w:val="004A6A6F"/>
    <w:rsid w:val="004A7B85"/>
    <w:rsid w:val="004B2098"/>
    <w:rsid w:val="004B2E46"/>
    <w:rsid w:val="004C30E4"/>
    <w:rsid w:val="004C4280"/>
    <w:rsid w:val="004D4BBF"/>
    <w:rsid w:val="004E0DF6"/>
    <w:rsid w:val="004E3FF5"/>
    <w:rsid w:val="004E79BF"/>
    <w:rsid w:val="004F0754"/>
    <w:rsid w:val="004F4AFD"/>
    <w:rsid w:val="00503D4D"/>
    <w:rsid w:val="005050CD"/>
    <w:rsid w:val="0050579B"/>
    <w:rsid w:val="005103E6"/>
    <w:rsid w:val="00511237"/>
    <w:rsid w:val="005123AB"/>
    <w:rsid w:val="005143CB"/>
    <w:rsid w:val="00522EC8"/>
    <w:rsid w:val="00523753"/>
    <w:rsid w:val="00523D08"/>
    <w:rsid w:val="005249DA"/>
    <w:rsid w:val="00524C83"/>
    <w:rsid w:val="00525505"/>
    <w:rsid w:val="0052620C"/>
    <w:rsid w:val="005266B2"/>
    <w:rsid w:val="005266DF"/>
    <w:rsid w:val="00530177"/>
    <w:rsid w:val="00540815"/>
    <w:rsid w:val="0054092A"/>
    <w:rsid w:val="00541D62"/>
    <w:rsid w:val="005522B7"/>
    <w:rsid w:val="00553105"/>
    <w:rsid w:val="00564A24"/>
    <w:rsid w:val="0057004D"/>
    <w:rsid w:val="00570202"/>
    <w:rsid w:val="00571683"/>
    <w:rsid w:val="00573046"/>
    <w:rsid w:val="00575DA4"/>
    <w:rsid w:val="00576320"/>
    <w:rsid w:val="005772B5"/>
    <w:rsid w:val="00581276"/>
    <w:rsid w:val="0058415E"/>
    <w:rsid w:val="00584D3E"/>
    <w:rsid w:val="00587DBC"/>
    <w:rsid w:val="00592283"/>
    <w:rsid w:val="005932F8"/>
    <w:rsid w:val="00595678"/>
    <w:rsid w:val="005979C8"/>
    <w:rsid w:val="005A18E9"/>
    <w:rsid w:val="005A5C7D"/>
    <w:rsid w:val="005B2708"/>
    <w:rsid w:val="005B4DC7"/>
    <w:rsid w:val="005B594B"/>
    <w:rsid w:val="005B76C7"/>
    <w:rsid w:val="005D3E46"/>
    <w:rsid w:val="005D7D1F"/>
    <w:rsid w:val="005E174E"/>
    <w:rsid w:val="005E1A47"/>
    <w:rsid w:val="005E2449"/>
    <w:rsid w:val="005E673C"/>
    <w:rsid w:val="005F2AE2"/>
    <w:rsid w:val="005F5417"/>
    <w:rsid w:val="005F7235"/>
    <w:rsid w:val="00601AA5"/>
    <w:rsid w:val="006041F0"/>
    <w:rsid w:val="0060552E"/>
    <w:rsid w:val="00611D14"/>
    <w:rsid w:val="00614B96"/>
    <w:rsid w:val="00617544"/>
    <w:rsid w:val="006211F3"/>
    <w:rsid w:val="0062537C"/>
    <w:rsid w:val="0062545F"/>
    <w:rsid w:val="00630546"/>
    <w:rsid w:val="00633DB0"/>
    <w:rsid w:val="00634311"/>
    <w:rsid w:val="006348CD"/>
    <w:rsid w:val="00634D84"/>
    <w:rsid w:val="00641B62"/>
    <w:rsid w:val="006431FE"/>
    <w:rsid w:val="00646DE0"/>
    <w:rsid w:val="00647EA3"/>
    <w:rsid w:val="00651C7A"/>
    <w:rsid w:val="00652B6D"/>
    <w:rsid w:val="00655194"/>
    <w:rsid w:val="006606A7"/>
    <w:rsid w:val="00662CC9"/>
    <w:rsid w:val="006653F0"/>
    <w:rsid w:val="0066542C"/>
    <w:rsid w:val="006671CA"/>
    <w:rsid w:val="00670964"/>
    <w:rsid w:val="00671ECD"/>
    <w:rsid w:val="0067332E"/>
    <w:rsid w:val="00682C98"/>
    <w:rsid w:val="00687BA4"/>
    <w:rsid w:val="00690864"/>
    <w:rsid w:val="00697042"/>
    <w:rsid w:val="006977AE"/>
    <w:rsid w:val="006A23E0"/>
    <w:rsid w:val="006A282D"/>
    <w:rsid w:val="006B06AF"/>
    <w:rsid w:val="006B1472"/>
    <w:rsid w:val="006B263C"/>
    <w:rsid w:val="006B3235"/>
    <w:rsid w:val="006B388B"/>
    <w:rsid w:val="006B3A35"/>
    <w:rsid w:val="006B75E1"/>
    <w:rsid w:val="006B7D35"/>
    <w:rsid w:val="006C2DB6"/>
    <w:rsid w:val="006D1F12"/>
    <w:rsid w:val="006D4B9D"/>
    <w:rsid w:val="006D5FD0"/>
    <w:rsid w:val="006D6639"/>
    <w:rsid w:val="006D6DF8"/>
    <w:rsid w:val="006E2888"/>
    <w:rsid w:val="006E6326"/>
    <w:rsid w:val="006E6428"/>
    <w:rsid w:val="006E6CCD"/>
    <w:rsid w:val="006F13AB"/>
    <w:rsid w:val="00707562"/>
    <w:rsid w:val="00717538"/>
    <w:rsid w:val="0072218C"/>
    <w:rsid w:val="00723F39"/>
    <w:rsid w:val="00730921"/>
    <w:rsid w:val="00732232"/>
    <w:rsid w:val="00733C42"/>
    <w:rsid w:val="0074190E"/>
    <w:rsid w:val="007439DD"/>
    <w:rsid w:val="007466D4"/>
    <w:rsid w:val="00746C86"/>
    <w:rsid w:val="00746E6C"/>
    <w:rsid w:val="00747897"/>
    <w:rsid w:val="00750B9D"/>
    <w:rsid w:val="0075677B"/>
    <w:rsid w:val="00757264"/>
    <w:rsid w:val="00761C1A"/>
    <w:rsid w:val="00762F12"/>
    <w:rsid w:val="007701B1"/>
    <w:rsid w:val="00771901"/>
    <w:rsid w:val="00772A6E"/>
    <w:rsid w:val="007755C6"/>
    <w:rsid w:val="00775D0E"/>
    <w:rsid w:val="00775F91"/>
    <w:rsid w:val="00780B6A"/>
    <w:rsid w:val="007859C9"/>
    <w:rsid w:val="007929DC"/>
    <w:rsid w:val="00793C4D"/>
    <w:rsid w:val="00795FA5"/>
    <w:rsid w:val="00797037"/>
    <w:rsid w:val="007A1DAE"/>
    <w:rsid w:val="007A4DFC"/>
    <w:rsid w:val="007A4FA1"/>
    <w:rsid w:val="007A54C8"/>
    <w:rsid w:val="007A7DEA"/>
    <w:rsid w:val="007B2F52"/>
    <w:rsid w:val="007B369E"/>
    <w:rsid w:val="007B3F9B"/>
    <w:rsid w:val="007B4394"/>
    <w:rsid w:val="007B6696"/>
    <w:rsid w:val="007B73F7"/>
    <w:rsid w:val="007C228E"/>
    <w:rsid w:val="007C295D"/>
    <w:rsid w:val="007C4D1D"/>
    <w:rsid w:val="007C720B"/>
    <w:rsid w:val="007D61CE"/>
    <w:rsid w:val="007D6345"/>
    <w:rsid w:val="007D6BAC"/>
    <w:rsid w:val="007E225A"/>
    <w:rsid w:val="007E79B8"/>
    <w:rsid w:val="007F1DF1"/>
    <w:rsid w:val="007F2076"/>
    <w:rsid w:val="007F52A4"/>
    <w:rsid w:val="00801E38"/>
    <w:rsid w:val="0080201D"/>
    <w:rsid w:val="00803930"/>
    <w:rsid w:val="00805FD3"/>
    <w:rsid w:val="008077B1"/>
    <w:rsid w:val="00811329"/>
    <w:rsid w:val="00814BF6"/>
    <w:rsid w:val="00817D93"/>
    <w:rsid w:val="00822F76"/>
    <w:rsid w:val="008233F9"/>
    <w:rsid w:val="00824CB3"/>
    <w:rsid w:val="00832A46"/>
    <w:rsid w:val="0083498C"/>
    <w:rsid w:val="00837DA2"/>
    <w:rsid w:val="00842F3E"/>
    <w:rsid w:val="0084304C"/>
    <w:rsid w:val="0084428D"/>
    <w:rsid w:val="00846DE2"/>
    <w:rsid w:val="00851754"/>
    <w:rsid w:val="00853540"/>
    <w:rsid w:val="00856292"/>
    <w:rsid w:val="00856B12"/>
    <w:rsid w:val="0086732A"/>
    <w:rsid w:val="00867660"/>
    <w:rsid w:val="00877E4B"/>
    <w:rsid w:val="00884B8E"/>
    <w:rsid w:val="00886D0D"/>
    <w:rsid w:val="00890767"/>
    <w:rsid w:val="008945A0"/>
    <w:rsid w:val="0089526A"/>
    <w:rsid w:val="0089596B"/>
    <w:rsid w:val="008A205C"/>
    <w:rsid w:val="008A3CD7"/>
    <w:rsid w:val="008A6915"/>
    <w:rsid w:val="008A742A"/>
    <w:rsid w:val="008A777B"/>
    <w:rsid w:val="008B0100"/>
    <w:rsid w:val="008B3753"/>
    <w:rsid w:val="008B3CE5"/>
    <w:rsid w:val="008B7E38"/>
    <w:rsid w:val="008C21BC"/>
    <w:rsid w:val="008C3988"/>
    <w:rsid w:val="008C4D76"/>
    <w:rsid w:val="008C5A10"/>
    <w:rsid w:val="008D31C4"/>
    <w:rsid w:val="008D6086"/>
    <w:rsid w:val="008E22A5"/>
    <w:rsid w:val="008E44DA"/>
    <w:rsid w:val="008F5CB7"/>
    <w:rsid w:val="008F78C2"/>
    <w:rsid w:val="00900242"/>
    <w:rsid w:val="00903F9B"/>
    <w:rsid w:val="00904A2F"/>
    <w:rsid w:val="00911985"/>
    <w:rsid w:val="009126B6"/>
    <w:rsid w:val="009141CC"/>
    <w:rsid w:val="00914FDC"/>
    <w:rsid w:val="009161B3"/>
    <w:rsid w:val="0092173B"/>
    <w:rsid w:val="009234D2"/>
    <w:rsid w:val="0092520E"/>
    <w:rsid w:val="009274F6"/>
    <w:rsid w:val="00930B80"/>
    <w:rsid w:val="009361FD"/>
    <w:rsid w:val="0094031A"/>
    <w:rsid w:val="00940580"/>
    <w:rsid w:val="009426E2"/>
    <w:rsid w:val="00944AD1"/>
    <w:rsid w:val="00952ABD"/>
    <w:rsid w:val="00953709"/>
    <w:rsid w:val="0095791C"/>
    <w:rsid w:val="009600D7"/>
    <w:rsid w:val="00960665"/>
    <w:rsid w:val="00960AEF"/>
    <w:rsid w:val="00960ECE"/>
    <w:rsid w:val="00962CB6"/>
    <w:rsid w:val="00963959"/>
    <w:rsid w:val="00963C9F"/>
    <w:rsid w:val="00965B95"/>
    <w:rsid w:val="00970919"/>
    <w:rsid w:val="00977A9D"/>
    <w:rsid w:val="00980922"/>
    <w:rsid w:val="00981A21"/>
    <w:rsid w:val="009904A8"/>
    <w:rsid w:val="00992207"/>
    <w:rsid w:val="00995DF9"/>
    <w:rsid w:val="009A08B5"/>
    <w:rsid w:val="009A1B49"/>
    <w:rsid w:val="009A2C9D"/>
    <w:rsid w:val="009B2A9B"/>
    <w:rsid w:val="009B49E3"/>
    <w:rsid w:val="009B6E0C"/>
    <w:rsid w:val="009C0835"/>
    <w:rsid w:val="009C175E"/>
    <w:rsid w:val="009C2053"/>
    <w:rsid w:val="009C4EB3"/>
    <w:rsid w:val="009D2B8A"/>
    <w:rsid w:val="009D3146"/>
    <w:rsid w:val="009D62A1"/>
    <w:rsid w:val="009D6963"/>
    <w:rsid w:val="009D7A69"/>
    <w:rsid w:val="009E0383"/>
    <w:rsid w:val="009E37EF"/>
    <w:rsid w:val="009F0CD1"/>
    <w:rsid w:val="009F4D12"/>
    <w:rsid w:val="009F51BE"/>
    <w:rsid w:val="00A1252B"/>
    <w:rsid w:val="00A1263E"/>
    <w:rsid w:val="00A129F0"/>
    <w:rsid w:val="00A20F18"/>
    <w:rsid w:val="00A2587B"/>
    <w:rsid w:val="00A314BE"/>
    <w:rsid w:val="00A31584"/>
    <w:rsid w:val="00A315D9"/>
    <w:rsid w:val="00A3218C"/>
    <w:rsid w:val="00A34BA9"/>
    <w:rsid w:val="00A34D89"/>
    <w:rsid w:val="00A35D5D"/>
    <w:rsid w:val="00A43DA5"/>
    <w:rsid w:val="00A51FC5"/>
    <w:rsid w:val="00A57BDC"/>
    <w:rsid w:val="00A619C3"/>
    <w:rsid w:val="00A623CF"/>
    <w:rsid w:val="00A6253C"/>
    <w:rsid w:val="00A62EFD"/>
    <w:rsid w:val="00A6325C"/>
    <w:rsid w:val="00A71D8D"/>
    <w:rsid w:val="00A72EE3"/>
    <w:rsid w:val="00A73773"/>
    <w:rsid w:val="00A73D41"/>
    <w:rsid w:val="00A77235"/>
    <w:rsid w:val="00A80008"/>
    <w:rsid w:val="00A83FB5"/>
    <w:rsid w:val="00A85F00"/>
    <w:rsid w:val="00A86DC6"/>
    <w:rsid w:val="00A86EEB"/>
    <w:rsid w:val="00A870DB"/>
    <w:rsid w:val="00A92CF2"/>
    <w:rsid w:val="00A92F69"/>
    <w:rsid w:val="00A934BF"/>
    <w:rsid w:val="00A93D4E"/>
    <w:rsid w:val="00A94B0A"/>
    <w:rsid w:val="00A9684E"/>
    <w:rsid w:val="00AA01B8"/>
    <w:rsid w:val="00AA1A1D"/>
    <w:rsid w:val="00AA37DF"/>
    <w:rsid w:val="00AA396D"/>
    <w:rsid w:val="00AA3B86"/>
    <w:rsid w:val="00AB0D40"/>
    <w:rsid w:val="00AB1D88"/>
    <w:rsid w:val="00AB25E7"/>
    <w:rsid w:val="00AB34EA"/>
    <w:rsid w:val="00AB4A16"/>
    <w:rsid w:val="00AC6114"/>
    <w:rsid w:val="00AC73C9"/>
    <w:rsid w:val="00AD2F16"/>
    <w:rsid w:val="00AD37E3"/>
    <w:rsid w:val="00AD4B89"/>
    <w:rsid w:val="00AD6B1F"/>
    <w:rsid w:val="00AE2D33"/>
    <w:rsid w:val="00AE6F6D"/>
    <w:rsid w:val="00AF0FF4"/>
    <w:rsid w:val="00AF1069"/>
    <w:rsid w:val="00AF6E8D"/>
    <w:rsid w:val="00AF7022"/>
    <w:rsid w:val="00AF746B"/>
    <w:rsid w:val="00B029B0"/>
    <w:rsid w:val="00B060F1"/>
    <w:rsid w:val="00B06575"/>
    <w:rsid w:val="00B1034E"/>
    <w:rsid w:val="00B10A2A"/>
    <w:rsid w:val="00B13EDD"/>
    <w:rsid w:val="00B15CCC"/>
    <w:rsid w:val="00B21396"/>
    <w:rsid w:val="00B21CBA"/>
    <w:rsid w:val="00B2538D"/>
    <w:rsid w:val="00B2570F"/>
    <w:rsid w:val="00B312C3"/>
    <w:rsid w:val="00B322D1"/>
    <w:rsid w:val="00B34D7F"/>
    <w:rsid w:val="00B53BF4"/>
    <w:rsid w:val="00B543B2"/>
    <w:rsid w:val="00B57F64"/>
    <w:rsid w:val="00B63475"/>
    <w:rsid w:val="00B63D66"/>
    <w:rsid w:val="00B64253"/>
    <w:rsid w:val="00B70F22"/>
    <w:rsid w:val="00B74ECD"/>
    <w:rsid w:val="00B815A7"/>
    <w:rsid w:val="00B9057A"/>
    <w:rsid w:val="00B92005"/>
    <w:rsid w:val="00B94D2B"/>
    <w:rsid w:val="00B966FD"/>
    <w:rsid w:val="00BA00B7"/>
    <w:rsid w:val="00BA1401"/>
    <w:rsid w:val="00BA2723"/>
    <w:rsid w:val="00BA2A4D"/>
    <w:rsid w:val="00BA2F76"/>
    <w:rsid w:val="00BA3D80"/>
    <w:rsid w:val="00BA4D91"/>
    <w:rsid w:val="00BA6874"/>
    <w:rsid w:val="00BB1D55"/>
    <w:rsid w:val="00BB2FBB"/>
    <w:rsid w:val="00BB4297"/>
    <w:rsid w:val="00BB7E26"/>
    <w:rsid w:val="00BC1722"/>
    <w:rsid w:val="00BC2A57"/>
    <w:rsid w:val="00BC3F2C"/>
    <w:rsid w:val="00BC6A53"/>
    <w:rsid w:val="00BD3C09"/>
    <w:rsid w:val="00BD3FBE"/>
    <w:rsid w:val="00BD476D"/>
    <w:rsid w:val="00BD5F8B"/>
    <w:rsid w:val="00BD723D"/>
    <w:rsid w:val="00BE70E3"/>
    <w:rsid w:val="00BF13DF"/>
    <w:rsid w:val="00BF14F5"/>
    <w:rsid w:val="00BF254E"/>
    <w:rsid w:val="00BF68CA"/>
    <w:rsid w:val="00C044BA"/>
    <w:rsid w:val="00C069DA"/>
    <w:rsid w:val="00C146D4"/>
    <w:rsid w:val="00C16422"/>
    <w:rsid w:val="00C16972"/>
    <w:rsid w:val="00C20019"/>
    <w:rsid w:val="00C21AE7"/>
    <w:rsid w:val="00C22A02"/>
    <w:rsid w:val="00C23216"/>
    <w:rsid w:val="00C24386"/>
    <w:rsid w:val="00C26852"/>
    <w:rsid w:val="00C270A6"/>
    <w:rsid w:val="00C345D5"/>
    <w:rsid w:val="00C35F3B"/>
    <w:rsid w:val="00C41534"/>
    <w:rsid w:val="00C41D8C"/>
    <w:rsid w:val="00C41E62"/>
    <w:rsid w:val="00C43D24"/>
    <w:rsid w:val="00C47355"/>
    <w:rsid w:val="00C52A64"/>
    <w:rsid w:val="00C613F0"/>
    <w:rsid w:val="00C621A7"/>
    <w:rsid w:val="00C62F40"/>
    <w:rsid w:val="00C63022"/>
    <w:rsid w:val="00C67166"/>
    <w:rsid w:val="00C704F1"/>
    <w:rsid w:val="00C7183F"/>
    <w:rsid w:val="00C77BED"/>
    <w:rsid w:val="00C81B7B"/>
    <w:rsid w:val="00C85300"/>
    <w:rsid w:val="00C9753A"/>
    <w:rsid w:val="00C97E20"/>
    <w:rsid w:val="00CA021C"/>
    <w:rsid w:val="00CA0F74"/>
    <w:rsid w:val="00CA2883"/>
    <w:rsid w:val="00CA438E"/>
    <w:rsid w:val="00CA796F"/>
    <w:rsid w:val="00CB6D14"/>
    <w:rsid w:val="00CC03BA"/>
    <w:rsid w:val="00CC2B84"/>
    <w:rsid w:val="00CC2FC8"/>
    <w:rsid w:val="00CC7082"/>
    <w:rsid w:val="00CC74E3"/>
    <w:rsid w:val="00CD1412"/>
    <w:rsid w:val="00CD1F3F"/>
    <w:rsid w:val="00CD7FE3"/>
    <w:rsid w:val="00CE1812"/>
    <w:rsid w:val="00CE1ECE"/>
    <w:rsid w:val="00CE3555"/>
    <w:rsid w:val="00CE4239"/>
    <w:rsid w:val="00CF1F63"/>
    <w:rsid w:val="00CF3CE1"/>
    <w:rsid w:val="00CF3D67"/>
    <w:rsid w:val="00D0058B"/>
    <w:rsid w:val="00D00917"/>
    <w:rsid w:val="00D01F9E"/>
    <w:rsid w:val="00D06102"/>
    <w:rsid w:val="00D06B8C"/>
    <w:rsid w:val="00D11DFC"/>
    <w:rsid w:val="00D1318A"/>
    <w:rsid w:val="00D1324C"/>
    <w:rsid w:val="00D14A04"/>
    <w:rsid w:val="00D16F49"/>
    <w:rsid w:val="00D173D3"/>
    <w:rsid w:val="00D30ED2"/>
    <w:rsid w:val="00D3246F"/>
    <w:rsid w:val="00D3368C"/>
    <w:rsid w:val="00D33E95"/>
    <w:rsid w:val="00D342C8"/>
    <w:rsid w:val="00D35CC5"/>
    <w:rsid w:val="00D406B1"/>
    <w:rsid w:val="00D426B3"/>
    <w:rsid w:val="00D43207"/>
    <w:rsid w:val="00D43D94"/>
    <w:rsid w:val="00D45104"/>
    <w:rsid w:val="00D46153"/>
    <w:rsid w:val="00D50DD7"/>
    <w:rsid w:val="00D51461"/>
    <w:rsid w:val="00D524C8"/>
    <w:rsid w:val="00D54F7C"/>
    <w:rsid w:val="00D56559"/>
    <w:rsid w:val="00D678FC"/>
    <w:rsid w:val="00D738A4"/>
    <w:rsid w:val="00D74069"/>
    <w:rsid w:val="00D7599A"/>
    <w:rsid w:val="00D76AD8"/>
    <w:rsid w:val="00D803BA"/>
    <w:rsid w:val="00D83E58"/>
    <w:rsid w:val="00D91AF1"/>
    <w:rsid w:val="00D92361"/>
    <w:rsid w:val="00D941BE"/>
    <w:rsid w:val="00D966FE"/>
    <w:rsid w:val="00D97732"/>
    <w:rsid w:val="00DA144F"/>
    <w:rsid w:val="00DA3A1E"/>
    <w:rsid w:val="00DA705D"/>
    <w:rsid w:val="00DB35A7"/>
    <w:rsid w:val="00DB45D8"/>
    <w:rsid w:val="00DB7D81"/>
    <w:rsid w:val="00DB7EB4"/>
    <w:rsid w:val="00DC3EE9"/>
    <w:rsid w:val="00DC4A78"/>
    <w:rsid w:val="00DC6B37"/>
    <w:rsid w:val="00DC78E6"/>
    <w:rsid w:val="00DE28A8"/>
    <w:rsid w:val="00DE5322"/>
    <w:rsid w:val="00DE62F6"/>
    <w:rsid w:val="00DE7AC1"/>
    <w:rsid w:val="00DF1701"/>
    <w:rsid w:val="00DF26D8"/>
    <w:rsid w:val="00DF3DC7"/>
    <w:rsid w:val="00DF717E"/>
    <w:rsid w:val="00E02CBE"/>
    <w:rsid w:val="00E0378D"/>
    <w:rsid w:val="00E046E1"/>
    <w:rsid w:val="00E1010F"/>
    <w:rsid w:val="00E109CD"/>
    <w:rsid w:val="00E10A94"/>
    <w:rsid w:val="00E12270"/>
    <w:rsid w:val="00E15C7F"/>
    <w:rsid w:val="00E1684C"/>
    <w:rsid w:val="00E17360"/>
    <w:rsid w:val="00E20DAA"/>
    <w:rsid w:val="00E21360"/>
    <w:rsid w:val="00E232B3"/>
    <w:rsid w:val="00E24C9D"/>
    <w:rsid w:val="00E24E37"/>
    <w:rsid w:val="00E412E6"/>
    <w:rsid w:val="00E4181A"/>
    <w:rsid w:val="00E52B30"/>
    <w:rsid w:val="00E53A95"/>
    <w:rsid w:val="00E55823"/>
    <w:rsid w:val="00E61958"/>
    <w:rsid w:val="00E631CC"/>
    <w:rsid w:val="00E65C64"/>
    <w:rsid w:val="00E662B4"/>
    <w:rsid w:val="00E708C8"/>
    <w:rsid w:val="00E72337"/>
    <w:rsid w:val="00E730FA"/>
    <w:rsid w:val="00E750F5"/>
    <w:rsid w:val="00E81446"/>
    <w:rsid w:val="00E81498"/>
    <w:rsid w:val="00E8324E"/>
    <w:rsid w:val="00E85B2C"/>
    <w:rsid w:val="00E8748E"/>
    <w:rsid w:val="00E906AB"/>
    <w:rsid w:val="00EA0CF0"/>
    <w:rsid w:val="00EA3C83"/>
    <w:rsid w:val="00EA400D"/>
    <w:rsid w:val="00EA4E3B"/>
    <w:rsid w:val="00EA6DE8"/>
    <w:rsid w:val="00EB049C"/>
    <w:rsid w:val="00EB3225"/>
    <w:rsid w:val="00EB446F"/>
    <w:rsid w:val="00EB47EE"/>
    <w:rsid w:val="00EC117A"/>
    <w:rsid w:val="00EC6407"/>
    <w:rsid w:val="00EE1E2A"/>
    <w:rsid w:val="00EE397C"/>
    <w:rsid w:val="00EE3FC2"/>
    <w:rsid w:val="00EE66CA"/>
    <w:rsid w:val="00EF1F20"/>
    <w:rsid w:val="00EF4EC8"/>
    <w:rsid w:val="00F01A39"/>
    <w:rsid w:val="00F10440"/>
    <w:rsid w:val="00F157E1"/>
    <w:rsid w:val="00F2346F"/>
    <w:rsid w:val="00F24044"/>
    <w:rsid w:val="00F243A9"/>
    <w:rsid w:val="00F26583"/>
    <w:rsid w:val="00F305FB"/>
    <w:rsid w:val="00F31E93"/>
    <w:rsid w:val="00F35179"/>
    <w:rsid w:val="00F4196F"/>
    <w:rsid w:val="00F419D5"/>
    <w:rsid w:val="00F41D3E"/>
    <w:rsid w:val="00F43A1B"/>
    <w:rsid w:val="00F45FBE"/>
    <w:rsid w:val="00F475DC"/>
    <w:rsid w:val="00F527B8"/>
    <w:rsid w:val="00F611B2"/>
    <w:rsid w:val="00F62C08"/>
    <w:rsid w:val="00F63C6F"/>
    <w:rsid w:val="00F64F70"/>
    <w:rsid w:val="00F658D9"/>
    <w:rsid w:val="00F66363"/>
    <w:rsid w:val="00F67095"/>
    <w:rsid w:val="00F758C3"/>
    <w:rsid w:val="00F81656"/>
    <w:rsid w:val="00F827A7"/>
    <w:rsid w:val="00F859A3"/>
    <w:rsid w:val="00F861A1"/>
    <w:rsid w:val="00F90965"/>
    <w:rsid w:val="00F90995"/>
    <w:rsid w:val="00F91F4F"/>
    <w:rsid w:val="00F94E8D"/>
    <w:rsid w:val="00F95BED"/>
    <w:rsid w:val="00F961AD"/>
    <w:rsid w:val="00F967AD"/>
    <w:rsid w:val="00F96DB5"/>
    <w:rsid w:val="00FA085B"/>
    <w:rsid w:val="00FA201D"/>
    <w:rsid w:val="00FA6CF7"/>
    <w:rsid w:val="00FB16FF"/>
    <w:rsid w:val="00FB5968"/>
    <w:rsid w:val="00FB62A6"/>
    <w:rsid w:val="00FB7B35"/>
    <w:rsid w:val="00FD4E6B"/>
    <w:rsid w:val="00FD544B"/>
    <w:rsid w:val="00FD5D08"/>
    <w:rsid w:val="00FE4045"/>
    <w:rsid w:val="00FE4AE0"/>
    <w:rsid w:val="00FF0E77"/>
    <w:rsid w:val="00FF1DB0"/>
    <w:rsid w:val="00FF2DB4"/>
    <w:rsid w:val="00FF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73D6B9"/>
  <w15:chartTrackingRefBased/>
  <w15:docId w15:val="{CE973AAA-CA11-45A6-A172-B31C7B3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401"/>
    <w:pPr>
      <w:spacing w:after="120" w:line="276" w:lineRule="auto" w:before="0"/>
    </w:pPr>
    <w:rPr>
      <w:rFonts w:ascii="Calibri" w:eastAsia="Calibri" w:hAnsi="Calibri" w:cs="Times New Roman"/>
      <w:color w:val="000000"/>
      <w:sz w:val="22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BA1401"/>
    <w:pPr>
      <w:keepNext/>
      <w:spacing w:before="480" w:after="200"/>
      <w:jc w:val="left"/>
      <w:outlineLvl w:val="0"/>
    </w:pPr>
    <w:rPr>
      <w:rFonts w:ascii="Calibri" w:eastAsia="Calibri" w:hAnsi="Calibri" w:cs="Arial"/>
      <w:b/>
      <w:bCs/>
      <w:color w:val="000000"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22D1"/>
    <w:pPr>
      <w:keepNext/>
      <w:keepLines/>
      <w:spacing w:before="320" w:after="160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color w:val="0000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0E83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Calibri" w:hAnsi="Calibri" w:eastAsia="Calibri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maria,h"/>
    <w:basedOn w:val="Normal"/>
    <w:link w:val="EncabezadoCar"/>
    <w:uiPriority w:val="99"/>
    <w:unhideWhenUsed/>
    <w:rsid w:val="00BA14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maria Car,h Car"/>
    <w:basedOn w:val="Fuentedeprrafopredeter"/>
    <w:link w:val="Encabezado"/>
    <w:uiPriority w:val="99"/>
    <w:rsid w:val="00BA1401"/>
  </w:style>
  <w:style w:type="paragraph" w:styleId="Piedepgina">
    <w:name w:val="footer"/>
    <w:basedOn w:val="Normal"/>
    <w:link w:val="PiedepginaCar"/>
    <w:uiPriority w:val="99"/>
    <w:unhideWhenUsed/>
    <w:rsid w:val="00BA14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401"/>
  </w:style>
  <w:style w:type="character" w:customStyle="1" w:styleId="Ttulo1Car">
    <w:name w:val="Título 1 Car"/>
    <w:basedOn w:val="Fuentedeprrafopredeter"/>
    <w:link w:val="Ttulo1"/>
    <w:rsid w:val="00BA1401"/>
    <w:rPr>
      <w:rFonts w:ascii="Arial" w:eastAsia="PMingLiU" w:hAnsi="Arial" w:cs="Arial"/>
      <w:b/>
      <w:bCs/>
      <w:sz w:val="24"/>
      <w:szCs w:val="24"/>
      <w:lang w:val="es-ES" w:eastAsia="es-ES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SCap1,TITULO,de"/>
    <w:basedOn w:val="Normal"/>
    <w:link w:val="PrrafodelistaCar"/>
    <w:uiPriority w:val="34"/>
    <w:qFormat/>
    <w:rsid w:val="00BA1401"/>
    <w:pPr>
      <w:ind w:left="720"/>
      <w:contextualSpacing/>
    </w:p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basedOn w:val="Fuentedeprrafopredeter"/>
    <w:link w:val="Prrafodelista"/>
    <w:uiPriority w:val="34"/>
    <w:qFormat/>
    <w:rsid w:val="00BA140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BA1401"/>
    <w:pPr>
      <w:spacing w:after="120"/>
      <w:ind w:left="283"/>
    </w:pPr>
    <w:rPr>
      <w:sz w:val="16"/>
      <w:szCs w:val="16"/>
      <w:lang w:val="es-PE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BA1401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658D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58D9"/>
    <w:rPr>
      <w:rFonts w:ascii="Segoe UI" w:eastAsia="Times New Roman" w:hAnsi="Segoe UI" w:cs="Segoe UI"/>
      <w:sz w:val="18"/>
      <w:szCs w:val="18"/>
      <w:lang w:val="es-ES" w:eastAsia="es-ES"/>
    </w:rPr>
  </w:style>
  <w:style w:type="paragraph" w:customStyle="1" w:styleId="Standard">
    <w:name w:val="Standard"/>
    <w:rsid w:val="008B375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8B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unhideWhenUsed/>
    <w:rsid w:val="00E750F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750F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A9684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E8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paragraph" w:customStyle="1" w:styleId="texto">
    <w:name w:val="texto"/>
    <w:basedOn w:val="Normal"/>
    <w:link w:val="textoCar2"/>
    <w:autoRedefine/>
    <w:qFormat/>
    <w:rsid w:val="003F0E83"/>
    <w:pPr>
      <w:spacing w:line="276" w:lineRule="auto"/>
      <w:jc w:val="center"/>
    </w:pPr>
    <w:rPr>
      <w:rFonts w:ascii="Arial" w:hAnsi="Arial" w:cs="Arial"/>
      <w:sz w:val="16"/>
      <w:szCs w:val="16"/>
      <w:lang w:eastAsia="x-none"/>
    </w:rPr>
  </w:style>
  <w:style w:type="character" w:customStyle="1" w:styleId="textoCar2">
    <w:name w:val="texto Car2"/>
    <w:link w:val="texto"/>
    <w:rsid w:val="003F0E83"/>
    <w:rPr>
      <w:rFonts w:ascii="Arial" w:eastAsia="Times New Roman" w:hAnsi="Arial" w:cs="Arial"/>
      <w:sz w:val="16"/>
      <w:szCs w:val="16"/>
      <w:lang w:val="es-ES" w:eastAsia="x-none"/>
    </w:rPr>
  </w:style>
  <w:style w:type="table" w:styleId="Tablanormal4">
    <w:name w:val="Plain Table 4"/>
    <w:basedOn w:val="Tablanormal"/>
    <w:uiPriority w:val="44"/>
    <w:rsid w:val="000D52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842F3E"/>
    <w:pPr>
      <w:spacing w:before="100" w:beforeAutospacing="1" w:after="100" w:afterAutospacing="1"/>
    </w:pPr>
    <w:rPr>
      <w:lang w:val="es-PE"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B322D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table" w:customStyle="1" w:styleId="Table">
    <w:name w:val="Table"/>
    <w:semiHidden/>
    <w:unhideWhenUsed/>
    <w:qFormat/>
    <w:rsid w:val="00B322D1"/>
    <w:pPr>
      <w:spacing w:after="200" w:line="240" w:lineRule="auto"/>
    </w:pPr>
    <w:rPr>
      <w:rFonts w:ascii="Calibri" w:hAnsi="Calibri"/>
      <w:sz w:val="18"/>
      <w:szCs w:val="20"/>
      <w:lang w:eastAsia="es-P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Heading4">
    <w:name w:val="heading 4"/>
    <w:pPr>
      <w:spacing w:before="200" w:after="80"/>
      <w:jc w:val="left"/>
    </w:pPr>
    <w:rPr>
      <w:rFonts w:ascii="Calibri" w:hAnsi="Calibri" w:eastAsia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6B612-1DA7-4DE4-B8EF-87C85A250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416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Paolo De la calle</cp:lastModifiedBy>
  <cp:revision>4</cp:revision>
  <cp:lastPrinted>2026-07-23T14:45:00Z</cp:lastPrinted>
  <dcterms:created xsi:type="dcterms:W3CDTF">2026-07-23T14:48:00Z</dcterms:created>
  <dcterms:modified xsi:type="dcterms:W3CDTF">2026-07-23T16:10:00Z</dcterms:modified>
</cp:coreProperties>
</file>