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6FB8" w14:textId="77777777" w:rsidR="00FE430A" w:rsidRPr="004627DD" w:rsidRDefault="00000000" w:rsidP="004627DD">
      <w:pPr>
        <w:keepNext/>
        <w:jc w:val="center"/>
        <w:rPr>
          <w:sz w:val="28"/>
          <w:szCs w:val="32"/>
          <w:lang w:val="pt-PT"/>
        </w:rPr>
      </w:pPr>
      <w:r w:rsidRPr="004627DD">
        <w:rPr>
          <w:b/>
          <w:sz w:val="28"/>
          <w:szCs w:val="32"/>
          <w:lang w:val="pt-PT"/>
        </w:rPr>
        <w:t>INFORME N° 005-2026-EST-PRDV-GRA</w:t>
      </w:r>
    </w:p>
    <w:p w14:paraId="2C0CB100" w14:textId="77777777" w:rsidR="00FE430A" w:rsidRPr="004627DD" w:rsidRDefault="00000000">
      <w:pPr>
        <w:keepNext/>
        <w:jc w:val="both"/>
        <w:rPr>
          <w:lang w:val="pt-PT"/>
        </w:rPr>
      </w:pPr>
      <w:r w:rsidRPr="004627DD">
        <w:rPr>
          <w:b/>
          <w:lang w:val="pt-PT"/>
        </w:rPr>
        <w:t>A</w:t>
      </w:r>
      <w:r w:rsidRPr="004627DD">
        <w:rPr>
          <w:lang w:val="pt-PT"/>
        </w:rPr>
        <w:t xml:space="preserve"> : Ing. Oliver Atiquipa Nieto</w:t>
      </w:r>
    </w:p>
    <w:p w14:paraId="7DEF0797" w14:textId="77777777" w:rsidR="00FE430A" w:rsidRPr="004627DD" w:rsidRDefault="00000000">
      <w:pPr>
        <w:keepNext/>
        <w:jc w:val="both"/>
        <w:rPr>
          <w:lang w:val="pt-PT"/>
        </w:rPr>
      </w:pPr>
      <w:r w:rsidRPr="004627DD">
        <w:rPr>
          <w:lang w:val="pt-PT"/>
        </w:rPr>
        <w:t>Residente de Obra.</w:t>
      </w:r>
    </w:p>
    <w:p w14:paraId="56032DB5" w14:textId="77777777" w:rsidR="00FE430A" w:rsidRDefault="00000000">
      <w:pPr>
        <w:keepNext/>
        <w:jc w:val="both"/>
      </w:pPr>
      <w:r>
        <w:rPr>
          <w:b/>
        </w:rPr>
        <w:t>De</w:t>
      </w:r>
      <w:r>
        <w:t xml:space="preserve"> : Ing. Paolo Renzo De La Calle Vega</w:t>
      </w:r>
    </w:p>
    <w:p w14:paraId="52FD4A5A" w14:textId="77777777" w:rsidR="00FE430A" w:rsidRDefault="00000000">
      <w:pPr>
        <w:keepNext/>
        <w:jc w:val="both"/>
      </w:pPr>
      <w:r>
        <w:t>Especialista en Estructuras</w:t>
      </w:r>
    </w:p>
    <w:p w14:paraId="5A1A311D" w14:textId="4305BC19" w:rsidR="00FE430A" w:rsidRDefault="00000000">
      <w:pPr>
        <w:keepNext/>
        <w:jc w:val="both"/>
      </w:pPr>
      <w:r>
        <w:rPr>
          <w:b/>
        </w:rPr>
        <w:t>Asunto</w:t>
      </w:r>
      <w:r>
        <w:t xml:space="preserve"> : Remisión del RFI-EST-2026-004-R00 — consulta sobre armado y recubrimiento de la pantalla plegada del estribo derecho (CG-1</w:t>
      </w:r>
      <w:r w:rsidR="00A643DF">
        <w:t>1</w:t>
      </w:r>
      <w:r>
        <w:t xml:space="preserve"> a CG-1</w:t>
      </w:r>
      <w:r w:rsidR="00A643DF">
        <w:t>3</w:t>
      </w:r>
      <w:r>
        <w:t>)</w:t>
      </w:r>
    </w:p>
    <w:p w14:paraId="39DB1E3F" w14:textId="77777777" w:rsidR="00FE430A" w:rsidRDefault="00000000">
      <w:pPr>
        <w:keepNext/>
        <w:jc w:val="both"/>
      </w:pPr>
      <w:r>
        <w:rPr>
          <w:b/>
        </w:rPr>
        <w:t>Referencia</w:t>
      </w:r>
      <w:r>
        <w:t xml:space="preserve"> : "Creación de los servicios de transitabilidad mediante Puente Molinohuayco, distrito de Chilcas, provincia de La Mar, departamento de Ayacucho" — CUI N.° 2508483</w:t>
      </w:r>
    </w:p>
    <w:p w14:paraId="26242244" w14:textId="77777777" w:rsidR="00FE430A" w:rsidRDefault="00000000">
      <w:pPr>
        <w:keepNext/>
        <w:jc w:val="both"/>
      </w:pPr>
      <w:r>
        <w:rPr>
          <w:b/>
        </w:rPr>
        <w:t>Fecha</w:t>
      </w:r>
      <w:r>
        <w:t xml:space="preserve"> : 19/08/2026</w:t>
      </w:r>
    </w:p>
    <w:p w14:paraId="53435A34" w14:textId="77777777" w:rsidR="00FE430A" w:rsidRDefault="00FE430A">
      <w:pPr>
        <w:pBdr>
          <w:bottom w:val="single" w:sz="6" w:space="4" w:color="BBBBBB"/>
        </w:pBdr>
        <w:spacing w:before="200" w:after="200"/>
      </w:pPr>
    </w:p>
    <w:p w14:paraId="59E84C03" w14:textId="6265A426" w:rsidR="00FE430A" w:rsidRDefault="00000000">
      <w:pPr>
        <w:jc w:val="both"/>
      </w:pPr>
      <w:r>
        <w:t>Por medio de la presente me dirijo ante usted sobre la remisión del RFI-EST-2026-004-R00, consulta sobre las diferencias CG-1</w:t>
      </w:r>
      <w:r w:rsidR="00491EDF">
        <w:t>1</w:t>
      </w:r>
      <w:r>
        <w:t xml:space="preserve"> a CG-1</w:t>
      </w:r>
      <w:r w:rsidR="00491EDF">
        <w:t>3</w:t>
      </w:r>
      <w:r>
        <w:t xml:space="preserve"> entre el armado contractual de la pantalla plegada del estribo derecho y el resultado del análisis estructural independiente CALC-EST-2026-003-R00, para informarle lo siguiente:</w:t>
      </w:r>
    </w:p>
    <w:p w14:paraId="3FB90819" w14:textId="77777777" w:rsidR="00FE430A" w:rsidRDefault="00000000">
      <w:pPr>
        <w:pStyle w:val="Ttulo3"/>
      </w:pPr>
      <w:r>
        <w:rPr>
          <w:rFonts w:ascii="Calibri" w:hAnsi="Calibri"/>
        </w:rPr>
        <w:t>1. ANALISIS</w:t>
      </w:r>
    </w:p>
    <w:p w14:paraId="38788E56" w14:textId="77777777" w:rsidR="00FE430A" w:rsidRDefault="00000000">
      <w:pPr>
        <w:keepNext/>
        <w:spacing w:before="200" w:after="80"/>
      </w:pPr>
      <w:r>
        <w:rPr>
          <w:b/>
        </w:rPr>
        <w:t>1.1 Antecedentes</w:t>
      </w:r>
    </w:p>
    <w:p w14:paraId="03F93843" w14:textId="77777777" w:rsidR="00FE430A" w:rsidRDefault="00000000">
      <w:pPr>
        <w:jc w:val="both"/>
      </w:pPr>
      <w:r>
        <w:t xml:space="preserve">Mediante el Informe de Estado Situacional N.° 001-IES-EST-PRDV-GRA-2026 (en adelante, IES), de fecha 20/07/2026, se diagnosticaron 5 diferencias (CG-01 a CG-05) entre el expediente técnico y la condición registrada en campo, y se identificó la </w:t>
      </w:r>
      <w:r>
        <w:rPr>
          <w:b/>
        </w:rPr>
        <w:t>ausencia de RFI formales, respuestas del Proyectista y planos actualizados</w:t>
      </w:r>
      <w:r>
        <w:t xml:space="preserve"> que regularicen las variaciones ejecutadas. Como parte del Plan de Acción del IES se elaboraron y remitieron mediante el Informe N.° 003-2026-EST-PRDV-GRA (24/07/2026) los siguientes documentos:</w:t>
      </w:r>
    </w:p>
    <w:p w14:paraId="0AF00C9A" w14:textId="77777777" w:rsidR="00FE430A" w:rsidRDefault="00000000">
      <w:pPr>
        <w:keepNext/>
        <w:numPr>
          <w:ilvl w:val="0"/>
          <w:numId w:val="1"/>
        </w:numPr>
        <w:jc w:val="both"/>
      </w:pPr>
      <w:r>
        <w:rPr>
          <w:b/>
        </w:rPr>
        <w:t>RFI-EST-2026-001-R00</w:t>
      </w:r>
      <w:r>
        <w:t xml:space="preserve"> — consulta sobre ubicación y geometría en elevación (CG-01 a CG-03), dirigido al Proyectista con copia a la Supervisión.</w:t>
      </w:r>
    </w:p>
    <w:p w14:paraId="36203481" w14:textId="77777777" w:rsidR="00FE430A" w:rsidRDefault="00000000">
      <w:pPr>
        <w:keepNext/>
        <w:numPr>
          <w:ilvl w:val="0"/>
          <w:numId w:val="1"/>
        </w:numPr>
        <w:jc w:val="both"/>
      </w:pPr>
      <w:r>
        <w:rPr>
          <w:b/>
        </w:rPr>
        <w:t>RFI-EST-2026-002-R00</w:t>
      </w:r>
      <w:r>
        <w:t xml:space="preserve"> — consulta sobre rediseño estructural (CG-04 ancho de zapatas y CG-05 dentellón del estribo derecho), dirigido al Proyectista con copia a la Supervisión.</w:t>
      </w:r>
    </w:p>
    <w:p w14:paraId="0C8B1A6C" w14:textId="77777777" w:rsidR="00FE430A" w:rsidRDefault="00000000">
      <w:pPr>
        <w:keepNext/>
        <w:numPr>
          <w:ilvl w:val="0"/>
          <w:numId w:val="1"/>
        </w:numPr>
        <w:jc w:val="both"/>
      </w:pPr>
      <w:r>
        <w:rPr>
          <w:b/>
        </w:rPr>
        <w:t>CALC-EST-2026-001-R01</w:t>
      </w:r>
      <w:r>
        <w:t xml:space="preserve"> — memoria de cálculo preliminar de estabilidad y diseño E.060 de zapata y dentellón, como sustento técnico del RFI-EST-2026-002.</w:t>
      </w:r>
    </w:p>
    <w:p w14:paraId="4F8167BE" w14:textId="77777777" w:rsidR="00FE430A" w:rsidRDefault="00000000">
      <w:pPr>
        <w:keepNext/>
        <w:jc w:val="both"/>
      </w:pPr>
      <w:r>
        <w:t xml:space="preserve">A la fecha del presente informe, </w:t>
      </w:r>
      <w:r>
        <w:rPr>
          <w:b/>
        </w:rPr>
        <w:t>dichas consultas continúan sin respuesta del Proyectista</w:t>
      </w:r>
      <w:r>
        <w:t>.</w:t>
      </w:r>
    </w:p>
    <w:p w14:paraId="3275BAF1" w14:textId="315F1596" w:rsidR="00FE430A" w:rsidRDefault="00000000">
      <w:pPr>
        <w:jc w:val="both"/>
      </w:pPr>
      <w:r>
        <w:t xml:space="preserve">El presente informe remite el </w:t>
      </w:r>
      <w:r>
        <w:rPr>
          <w:b/>
        </w:rPr>
        <w:t>RFI-EST-2026-004-R00</w:t>
      </w:r>
      <w:r>
        <w:t xml:space="preserve">, consulta sobre las diferencias </w:t>
      </w:r>
      <w:r>
        <w:rPr>
          <w:b/>
        </w:rPr>
        <w:t>CG-1</w:t>
      </w:r>
      <w:r w:rsidR="00491EDF">
        <w:rPr>
          <w:b/>
        </w:rPr>
        <w:t>1</w:t>
      </w:r>
      <w:r>
        <w:rPr>
          <w:b/>
        </w:rPr>
        <w:t xml:space="preserve"> a CG-1</w:t>
      </w:r>
      <w:r w:rsidR="00491EDF">
        <w:rPr>
          <w:b/>
        </w:rPr>
        <w:t>3</w:t>
      </w:r>
      <w:r>
        <w:t xml:space="preserve"> relativas al </w:t>
      </w:r>
      <w:r>
        <w:rPr>
          <w:b/>
        </w:rPr>
        <w:t>armado y recubrimiento de la pantalla plegada del estribo derecho</w:t>
      </w:r>
      <w:r>
        <w:t xml:space="preserve">, sustentada en el </w:t>
      </w:r>
      <w:r>
        <w:lastRenderedPageBreak/>
        <w:t xml:space="preserve">análisis estructural independiente </w:t>
      </w:r>
      <w:r>
        <w:rPr>
          <w:b/>
        </w:rPr>
        <w:t>CALC-EST-2026-003-R00</w:t>
      </w:r>
      <w:r>
        <w:t xml:space="preserve">, y clasifica el cambio propuesto como </w:t>
      </w:r>
      <w:r>
        <w:rPr>
          <w:b/>
        </w:rPr>
        <w:t>mejora no significativa</w:t>
      </w:r>
      <w:r>
        <w:t xml:space="preserve"> del expediente técnico.</w:t>
      </w:r>
    </w:p>
    <w:p w14:paraId="69917E00" w14:textId="77777777" w:rsidR="00FE430A" w:rsidRDefault="00000000">
      <w:pPr>
        <w:keepNext/>
        <w:spacing w:before="200" w:after="80"/>
      </w:pPr>
      <w:r>
        <w:rPr>
          <w:b/>
        </w:rPr>
        <w:t>1.2 Diferencias identificadas entre el expediente y el análisis independiente</w:t>
      </w:r>
    </w:p>
    <w:p w14:paraId="0D9BA6A9" w14:textId="77777777" w:rsidR="00FE430A" w:rsidRDefault="00000000">
      <w:pPr>
        <w:jc w:val="both"/>
      </w:pPr>
      <w:r>
        <w:t xml:space="preserve">El </w:t>
      </w:r>
      <w:r>
        <w:rPr>
          <w:b/>
        </w:rPr>
        <w:t>plano E-04</w:t>
      </w:r>
      <w:r>
        <w:t xml:space="preserve"> y la memoria de cálculo del expediente técnico (Anexo 4 — Estribo derecho) definen para la pantalla plegada del estribo derecho un armado de </w:t>
      </w:r>
      <w:r>
        <w:rPr>
          <w:b/>
        </w:rPr>
        <w:t>Ø 5/8" @ 200 mm</w:t>
      </w:r>
      <w:r>
        <w:t xml:space="preserve"> en el refuerzo horizontal y </w:t>
      </w:r>
      <w:r>
        <w:rPr>
          <w:b/>
        </w:rPr>
        <w:t>Ø 5/8" @ 250 mm</w:t>
      </w:r>
      <w:r>
        <w:t xml:space="preserve"> en el refuerzo vertical, en las caras interior y exterior, tanto en la zona central como en los aleros, con </w:t>
      </w:r>
      <w:r>
        <w:rPr>
          <w:b/>
        </w:rPr>
        <w:t>recubrimiento de 50 mm</w:t>
      </w:r>
      <w:r>
        <w:t xml:space="preserve"> en ambas caras.</w:t>
      </w:r>
    </w:p>
    <w:p w14:paraId="27556103" w14:textId="77777777" w:rsidR="00FE430A" w:rsidRDefault="00000000">
      <w:pPr>
        <w:jc w:val="both"/>
      </w:pPr>
      <w:r>
        <w:t xml:space="preserve">El análisis estructural independiente </w:t>
      </w:r>
      <w:r>
        <w:rPr>
          <w:b/>
        </w:rPr>
        <w:t>CALC-EST-2026-003-R00</w:t>
      </w:r>
      <w:r>
        <w:t xml:space="preserve"> (19/08/2026) modela la pantalla plegada como cascarón FEM 3D (1 298 nodos y 1 218 elementos Q4, malla de 0.50 m, base empotrada y apoyos normales en los nueve ejes de contrafuerte) bajo las combinaciones Servicio I, Resistencia I-a, Resistencia I-b y Evento Extremo I (concurrencias A y B), con envolventes Wood-Armer y tracción de membrana para el diseño por cara. Los resultados principales son los siguientes:</w:t>
      </w:r>
    </w:p>
    <w:p w14:paraId="11776BBC" w14:textId="77777777" w:rsidR="00FE430A" w:rsidRDefault="00000000">
      <w:pPr>
        <w:keepNext/>
        <w:numPr>
          <w:ilvl w:val="0"/>
          <w:numId w:val="1"/>
        </w:numPr>
        <w:jc w:val="both"/>
      </w:pPr>
      <w:r>
        <w:t xml:space="preserve">El </w:t>
      </w:r>
      <w:r>
        <w:rPr>
          <w:b/>
        </w:rPr>
        <w:t>control del acero es el mínimo de flexión E.060</w:t>
      </w:r>
      <w:r>
        <w:t xml:space="preserve"> (8.01 cm²/m en la cara exterior y 8.71 cm²/m en la cara interior), superior al mínimo por temperatura de ambas normas; la demanda de flexión no gobierna en ninguna celda (DCR máximo global 0.678).</w:t>
      </w:r>
    </w:p>
    <w:p w14:paraId="2D6CD541" w14:textId="77777777" w:rsidR="00FE430A" w:rsidRDefault="00000000">
      <w:pPr>
        <w:keepNext/>
        <w:numPr>
          <w:ilvl w:val="0"/>
          <w:numId w:val="1"/>
        </w:numPr>
        <w:jc w:val="both"/>
      </w:pPr>
      <w:r>
        <w:t xml:space="preserve">El </w:t>
      </w:r>
      <w:r>
        <w:rPr>
          <w:b/>
        </w:rPr>
        <w:t>armado vertical contractual Ø 5/8" @ 250 mm</w:t>
      </w:r>
      <w:r>
        <w:t xml:space="preserve"> (As = 7.92 cm²/m por cara) resulta </w:t>
      </w:r>
      <w:r>
        <w:rPr>
          <w:b/>
        </w:rPr>
        <w:t>inferior al mínimo de flexión E.060 calculado</w:t>
      </w:r>
      <w:r>
        <w:t xml:space="preserve"> para la cara exterior (8.01 cm²/m), por lo que no satisface el requisito normativo mínimo.</w:t>
      </w:r>
    </w:p>
    <w:p w14:paraId="433DDCCE" w14:textId="77777777" w:rsidR="00FE430A" w:rsidRDefault="00000000">
      <w:pPr>
        <w:keepNext/>
        <w:numPr>
          <w:ilvl w:val="0"/>
          <w:numId w:val="1"/>
        </w:numPr>
        <w:jc w:val="both"/>
      </w:pPr>
      <w:r>
        <w:t xml:space="preserve">El </w:t>
      </w:r>
      <w:r>
        <w:rPr>
          <w:b/>
        </w:rPr>
        <w:t>armado horizontal contractual Ø 5/8" @ 200 mm</w:t>
      </w:r>
      <w:r>
        <w:t xml:space="preserve"> (As = 9.90 cm²/m por cara) supera en aproximadamente 15 % el acero requerido calculado (8.01–8.71 cm²/m).</w:t>
      </w:r>
    </w:p>
    <w:p w14:paraId="374C9B89" w14:textId="77777777" w:rsidR="00FE430A" w:rsidRDefault="00000000">
      <w:pPr>
        <w:keepNext/>
        <w:numPr>
          <w:ilvl w:val="0"/>
          <w:numId w:val="1"/>
        </w:numPr>
        <w:jc w:val="both"/>
      </w:pPr>
      <w:r>
        <w:t xml:space="preserve">El </w:t>
      </w:r>
      <w:r>
        <w:rPr>
          <w:b/>
        </w:rPr>
        <w:t>recubrimiento contractual de 50 mm</w:t>
      </w:r>
      <w:r>
        <w:t xml:space="preserve"> es </w:t>
      </w:r>
      <w:r>
        <w:rPr>
          <w:b/>
        </w:rPr>
        <w:t>insuficiente</w:t>
      </w:r>
      <w:r>
        <w:t xml:space="preserve"> frente a las condiciones de exposición del elemento; el análisis independiente adopta </w:t>
      </w:r>
      <w:r>
        <w:rPr>
          <w:b/>
        </w:rPr>
        <w:t>100 mm en la cara exterior</w:t>
      </w:r>
      <w:r>
        <w:t xml:space="preserve"> (+n, en contacto con agua con abrasión) y </w:t>
      </w:r>
      <w:r>
        <w:rPr>
          <w:b/>
        </w:rPr>
        <w:t>75 mm en la cara interior</w:t>
      </w:r>
      <w:r>
        <w:t xml:space="preserve"> (−n, en contacto con el relleno). Con estos recubrimientos, la memoria de cálculo CALC-EST-2026-003-R00 define los </w:t>
      </w:r>
      <w:r>
        <w:rPr>
          <w:b/>
        </w:rPr>
        <w:t>peraltes efectivos de diseño</w:t>
      </w:r>
      <w:r>
        <w:t xml:space="preserve"> — d = 287.3 mm en la cara exterior y d = 312.3 mm en la cara interior —, que gobiernan los brazos mecánicos y el control de fisuración.</w:t>
      </w:r>
    </w:p>
    <w:p w14:paraId="10F7A24D" w14:textId="77777777" w:rsidR="00FE430A" w:rsidRDefault="00000000">
      <w:pPr>
        <w:keepNext/>
        <w:spacing w:before="200" w:after="80"/>
      </w:pPr>
      <w:r>
        <w:rPr>
          <w:b/>
        </w:rPr>
        <w:t>1.3 Características del cambio propuesto CG-10 a CG-12</w:t>
      </w:r>
    </w:p>
    <w:p w14:paraId="071A1B0C" w14:textId="77777777" w:rsidR="00FE430A" w:rsidRDefault="00000000">
      <w:pPr>
        <w:jc w:val="both"/>
      </w:pPr>
      <w:r>
        <w:t xml:space="preserve">Frente a las diferencias descritas, se propone </w:t>
      </w:r>
      <w:r>
        <w:rPr>
          <w:b/>
        </w:rPr>
        <w:t>uniformizar el armado a Ø 5/8" @ 230 mm en todas las caras y direcciones</w:t>
      </w:r>
      <w:r>
        <w:t xml:space="preserve"> (zona central y aleros, caras interior y exterior), con recubrimiento de </w:t>
      </w:r>
      <w:r>
        <w:rPr>
          <w:b/>
        </w:rPr>
        <w:t>100 mm en la cara exterior</w:t>
      </w:r>
      <w:r>
        <w:t xml:space="preserve"> y </w:t>
      </w:r>
      <w:r>
        <w:rPr>
          <w:b/>
        </w:rPr>
        <w:t>75 mm en la cara interior</w:t>
      </w:r>
      <w:r>
        <w:t>, de modo que el espaciamiento único simplifique el habilitado y la colocación del refuerzo sin comprometer las verificaciones estructurales del panel.</w:t>
      </w:r>
    </w:p>
    <w:p w14:paraId="0F8C623F" w14:textId="77777777" w:rsidR="00FE430A" w:rsidRDefault="00000000">
      <w:pPr>
        <w:keepNext/>
        <w:spacing w:before="80" w:after="40"/>
        <w:jc w:val="center"/>
      </w:pPr>
      <w:r>
        <w:rPr>
          <w:i/>
          <w:sz w:val="20"/>
        </w:rPr>
        <w:t>Tabla N.° 1 — Comparativo expediente, calculado y propuesta (CG-10 a CG-12)</w:t>
      </w:r>
    </w:p>
    <w:tbl>
      <w:tblPr>
        <w:tblStyle w:val="Tablaconcuadrcula"/>
        <w:tblW w:w="907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FE430A" w14:paraId="33C10326" w14:textId="77777777">
        <w:trPr>
          <w:tblHeader/>
          <w:jc w:val="center"/>
        </w:trPr>
        <w:tc>
          <w:tcPr>
            <w:tcW w:w="1814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A1B7EC" w14:textId="77777777" w:rsidR="00FE430A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199295" w14:textId="77777777" w:rsidR="00FE430A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191A4D" w14:textId="77777777" w:rsidR="00FE430A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Expediente técnico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12A9FA" w14:textId="77777777" w:rsidR="00FE430A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Calculado (CALC-EST-2026-003-R00)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0FC9E3" w14:textId="77777777" w:rsidR="00FE430A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Propuesta técnica</w:t>
            </w:r>
          </w:p>
        </w:tc>
      </w:tr>
      <w:tr w:rsidR="00FE430A" w14:paraId="07519C83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A2A20C" w14:textId="066FFF46" w:rsidR="00FE430A" w:rsidRDefault="00000000">
            <w:pPr>
              <w:spacing w:before="20" w:after="20"/>
            </w:pPr>
            <w:r>
              <w:rPr>
                <w:b/>
                <w:sz w:val="16"/>
              </w:rPr>
              <w:t>CG-1</w:t>
            </w:r>
            <w:r w:rsidR="00A643DF">
              <w:rPr>
                <w:b/>
                <w:sz w:val="16"/>
              </w:rPr>
              <w:t>1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2F66A7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Refuerzo horizontal — zona central (pantalla central)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81C24E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200 mm en cara interior y exterior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07CF33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Cara exterior: Ø 5/8" @ 245 mm; cara interior: Ø 5/8" @ 225 mm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CA4BF73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230 mm en cara interior y exterior</w:t>
            </w:r>
          </w:p>
        </w:tc>
      </w:tr>
      <w:tr w:rsidR="00FE430A" w14:paraId="037E3F7B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EDF945" w14:textId="5F591AB2" w:rsidR="00FE430A" w:rsidRDefault="00000000">
            <w:pPr>
              <w:spacing w:before="20" w:after="20"/>
            </w:pPr>
            <w:r>
              <w:rPr>
                <w:b/>
                <w:sz w:val="16"/>
              </w:rPr>
              <w:lastRenderedPageBreak/>
              <w:t>CG-1</w:t>
            </w:r>
            <w:r w:rsidR="00A643DF">
              <w:rPr>
                <w:b/>
                <w:sz w:val="16"/>
              </w:rPr>
              <w:t>1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80C84D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Refuerzo horizontal — aleros (alas izquierda y derecha)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90EB97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200 mm en cara interior y exterior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AAF3D9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Cara exterior: Ø 5/8" @ 230 mm; cara interior: Ø 5/8" @ 225 mm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598634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230 mm en cara interior y exterior</w:t>
            </w:r>
          </w:p>
        </w:tc>
      </w:tr>
      <w:tr w:rsidR="00FE430A" w14:paraId="685840F5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55F9D9" w14:textId="6586907E" w:rsidR="00FE430A" w:rsidRDefault="00000000">
            <w:pPr>
              <w:spacing w:before="20" w:after="20"/>
            </w:pPr>
            <w:r>
              <w:rPr>
                <w:b/>
                <w:sz w:val="16"/>
              </w:rPr>
              <w:t>CG-1</w:t>
            </w:r>
            <w:r w:rsidR="00A643DF">
              <w:rPr>
                <w:b/>
                <w:sz w:val="16"/>
              </w:rPr>
              <w:t>2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5EBB19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Refuerzo vertical — zona central (pantalla central, nivel de base)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3C6992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250 mm en cara interior y exterior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AB0EC8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Cara exterior: Ø 5/8" @ 245 mm; cara interior: Ø 5/8" @ 225 mm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62FB87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230 mm en cara interior y exterior</w:t>
            </w:r>
          </w:p>
        </w:tc>
      </w:tr>
      <w:tr w:rsidR="00FE430A" w14:paraId="2FDA035E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C0EBD2" w14:textId="2EB4260C" w:rsidR="00FE430A" w:rsidRDefault="00000000">
            <w:pPr>
              <w:spacing w:before="20" w:after="20"/>
            </w:pPr>
            <w:r>
              <w:rPr>
                <w:b/>
                <w:sz w:val="16"/>
              </w:rPr>
              <w:t>CG-1</w:t>
            </w:r>
            <w:r w:rsidR="00A643DF">
              <w:rPr>
                <w:b/>
                <w:sz w:val="16"/>
              </w:rPr>
              <w:t>2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239196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Refuerzo vertical — aleros (alas izquierda y derecha, nivel de base)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94E71B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250 mm en cara interior y exterior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72D8D0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Cara exterior: Ø 5/8" @ 245 mm; cara interior: Ø 5/8" @ 225 mm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F493E1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Ø 5/8" @ 230 mm en cara interior y exterior</w:t>
            </w:r>
          </w:p>
        </w:tc>
      </w:tr>
      <w:tr w:rsidR="00FE430A" w14:paraId="42A4A4F1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C004D0" w14:textId="200F2B46" w:rsidR="00FE430A" w:rsidRDefault="00000000">
            <w:pPr>
              <w:spacing w:before="20" w:after="20"/>
            </w:pPr>
            <w:r>
              <w:rPr>
                <w:b/>
                <w:sz w:val="16"/>
              </w:rPr>
              <w:t>CG-1</w:t>
            </w:r>
            <w:r w:rsidR="00A643DF">
              <w:rPr>
                <w:b/>
                <w:sz w:val="16"/>
              </w:rPr>
              <w:t>3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858D55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Recubrimiento — cara exterior (+n)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8BD3B1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50 mm (memoria de cálculo)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44F0A9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100 mm (agua con abrasión)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D1688B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100 mm</w:t>
            </w:r>
          </w:p>
        </w:tc>
      </w:tr>
      <w:tr w:rsidR="00FE430A" w14:paraId="13CE0384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58828C" w14:textId="585AFDD4" w:rsidR="00FE430A" w:rsidRDefault="00000000">
            <w:pPr>
              <w:spacing w:before="20" w:after="20"/>
            </w:pPr>
            <w:r>
              <w:rPr>
                <w:b/>
                <w:sz w:val="16"/>
              </w:rPr>
              <w:t>CG-1</w:t>
            </w:r>
            <w:r w:rsidR="00A643DF">
              <w:rPr>
                <w:b/>
                <w:sz w:val="16"/>
              </w:rPr>
              <w:t>3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951C42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Recubrimiento — cara interior (−n)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6A034B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50 mm (memoria de cálculo)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0D1CB3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75 mm (relleno)</w:t>
            </w:r>
          </w:p>
        </w:tc>
        <w:tc>
          <w:tcPr>
            <w:tcW w:w="1814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12F1AC" w14:textId="77777777" w:rsidR="00FE430A" w:rsidRDefault="00000000">
            <w:pPr>
              <w:spacing w:before="20" w:after="20"/>
            </w:pPr>
            <w:r>
              <w:rPr>
                <w:sz w:val="16"/>
              </w:rPr>
              <w:t>75 mm</w:t>
            </w:r>
          </w:p>
        </w:tc>
      </w:tr>
    </w:tbl>
    <w:p w14:paraId="6169A2FC" w14:textId="77777777" w:rsidR="00FE430A" w:rsidRDefault="00FE430A">
      <w:pPr>
        <w:spacing w:before="40" w:after="40"/>
      </w:pPr>
    </w:p>
    <w:p w14:paraId="2C9E9B0E" w14:textId="6F5DB46A" w:rsidR="00FE430A" w:rsidRDefault="00000000">
      <w:pPr>
        <w:jc w:val="both"/>
      </w:pPr>
      <w:r>
        <w:rPr>
          <w:b/>
        </w:rPr>
        <w:t>Interrelación de los cambios:</w:t>
      </w:r>
      <w:r>
        <w:t xml:space="preserve"> los tres cambios son </w:t>
      </w:r>
      <w:r>
        <w:rPr>
          <w:b/>
        </w:rPr>
        <w:t>complementarios y de detalle</w:t>
      </w:r>
      <w:r>
        <w:t>: CG-1</w:t>
      </w:r>
      <w:r w:rsidR="00491EDF">
        <w:t>1</w:t>
      </w:r>
      <w:r>
        <w:t xml:space="preserve"> y CG-1</w:t>
      </w:r>
      <w:r w:rsidR="00491EDF">
        <w:t>2</w:t>
      </w:r>
      <w:r>
        <w:t xml:space="preserve"> uniformizan el espaciamiento del refuerzo horizontal y vertical de la pantalla en todas las caras y regiones, y CG-1</w:t>
      </w:r>
      <w:r w:rsidR="00491EDF">
        <w:t>3</w:t>
      </w:r>
      <w:r>
        <w:t xml:space="preserve"> fija los recubrimientos por condiciones de exposición. El conjunto no modifica la geometría del elemento (espesor 0.40 m), el sistema resistente, la concepción técnica ni el dimensionamiento de la estructura.</w:t>
      </w:r>
    </w:p>
    <w:p w14:paraId="1E74A5BC" w14:textId="77777777" w:rsidR="004627DD" w:rsidRDefault="004627DD" w:rsidP="004627DD">
      <w:pPr>
        <w:keepNext/>
        <w:spacing w:before="200" w:after="80"/>
      </w:pPr>
      <w:r>
        <w:rPr>
          <w:b/>
        </w:rPr>
        <w:t>1.4 Seguridad de la estructura con el cambio propuesto</w:t>
      </w:r>
    </w:p>
    <w:p w14:paraId="7C06E11B" w14:textId="77777777" w:rsidR="004627DD" w:rsidRDefault="004627DD" w:rsidP="004627DD">
      <w:pPr>
        <w:keepNext/>
        <w:jc w:val="both"/>
      </w:pPr>
      <w:r>
        <w:t xml:space="preserve">La propuesta </w:t>
      </w:r>
      <w:r>
        <w:rPr>
          <w:b/>
        </w:rPr>
        <w:t>mantiene o eleva el nivel de seguridad del panel</w:t>
      </w:r>
      <w:r>
        <w:t xml:space="preserve"> respecto del diseño contractual, sobre la base del sustento técnico disponible:</w:t>
      </w:r>
    </w:p>
    <w:p w14:paraId="2EF6B169" w14:textId="77777777" w:rsidR="004627DD" w:rsidRDefault="004627DD" w:rsidP="004627DD">
      <w:pPr>
        <w:keepNext/>
        <w:jc w:val="both"/>
      </w:pPr>
      <w:r>
        <w:rPr>
          <w:b/>
        </w:rPr>
        <w:t>a) Verificaciones estructurales (CALC-EST-2026-003-R00):</w:t>
      </w:r>
      <w:r>
        <w:t xml:space="preserve"> la configuración evaluada resulta </w:t>
      </w:r>
      <w:r>
        <w:rPr>
          <w:b/>
        </w:rPr>
        <w:t>conforme</w:t>
      </w:r>
      <w:r>
        <w:t xml:space="preserve"> en todos los estados límite:</w:t>
      </w:r>
    </w:p>
    <w:p w14:paraId="4900D280" w14:textId="77777777" w:rsidR="004627DD" w:rsidRDefault="004627DD" w:rsidP="004627DD">
      <w:pPr>
        <w:keepNext/>
        <w:numPr>
          <w:ilvl w:val="0"/>
          <w:numId w:val="1"/>
        </w:numPr>
        <w:jc w:val="both"/>
      </w:pPr>
      <w:r>
        <w:rPr>
          <w:b/>
        </w:rPr>
        <w:t>Resistencia (flexión + membrana):</w:t>
      </w:r>
      <w:r>
        <w:t xml:space="preserve"> el armado calculado cubre la envolvente Wood-Armer factorizada y la tracción de membrana en todas las celdas; DCR máximo global </w:t>
      </w:r>
      <w:r>
        <w:rPr>
          <w:b/>
        </w:rPr>
        <w:t>0.678</w:t>
      </w:r>
      <w:r>
        <w:t xml:space="preserve"> ≤ 1.00 (el nivel intermedio gobierna con DCR 0.676; el nivel de la base con DCR 0.612).</w:t>
      </w:r>
    </w:p>
    <w:p w14:paraId="3F984BAC" w14:textId="77777777" w:rsidR="004627DD" w:rsidRDefault="004627DD" w:rsidP="004627DD">
      <w:pPr>
        <w:keepNext/>
        <w:numPr>
          <w:ilvl w:val="0"/>
          <w:numId w:val="1"/>
        </w:numPr>
        <w:jc w:val="both"/>
      </w:pPr>
      <w:r>
        <w:rPr>
          <w:b/>
        </w:rPr>
        <w:t>Control de acero:</w:t>
      </w:r>
      <w:r>
        <w:t xml:space="preserve"> el requisito gobernante es el </w:t>
      </w:r>
      <w:r>
        <w:rPr>
          <w:b/>
        </w:rPr>
        <w:t>mínimo de flexión E.060</w:t>
      </w:r>
      <w:r>
        <w:t xml:space="preserve"> (8.01/8.71 cm²/m por cara), superior al mínimo de temperatura de E.060 (3.60 cm²/m) y MTC/AASHTO (2.33 cm²/m); la demanda de flexión vertical no controla en ninguna celda.</w:t>
      </w:r>
    </w:p>
    <w:p w14:paraId="509BD0C9" w14:textId="77777777" w:rsidR="004627DD" w:rsidRDefault="004627DD" w:rsidP="004627DD">
      <w:pPr>
        <w:keepNext/>
        <w:numPr>
          <w:ilvl w:val="0"/>
          <w:numId w:val="1"/>
        </w:numPr>
        <w:jc w:val="both"/>
      </w:pPr>
      <w:r>
        <w:rPr>
          <w:b/>
        </w:rPr>
        <w:t>Cortante del concreto:</w:t>
      </w:r>
      <w:r>
        <w:t xml:space="preserve"> capacidad adoptada φVc = 217.54 kN/m (menor entre E.060 y MTC, con d = 287.3 mm); DCR máximo </w:t>
      </w:r>
      <w:r>
        <w:rPr>
          <w:b/>
        </w:rPr>
        <w:t>0.510</w:t>
      </w:r>
      <w:r>
        <w:t xml:space="preserve"> ≤ 1.00 (alas, nivel inferior, Resistencia I-a); no requiere refuerzo de cortante.</w:t>
      </w:r>
    </w:p>
    <w:p w14:paraId="04A59DEB" w14:textId="77777777" w:rsidR="004627DD" w:rsidRDefault="004627DD" w:rsidP="004627DD">
      <w:pPr>
        <w:keepNext/>
        <w:numPr>
          <w:ilvl w:val="0"/>
          <w:numId w:val="1"/>
        </w:numPr>
        <w:jc w:val="both"/>
      </w:pPr>
      <w:r>
        <w:rPr>
          <w:b/>
        </w:rPr>
        <w:t>Compresión de membrana:</w:t>
      </w:r>
      <w:r>
        <w:t xml:space="preserve"> σc máxima = 0.447 MPa frente al límite de referencia 0.45 f'c = 12.36 MPa (DCR 0.036); sin riesgo de aplastamiento local.</w:t>
      </w:r>
    </w:p>
    <w:p w14:paraId="6750B675" w14:textId="77777777" w:rsidR="004627DD" w:rsidRDefault="004627DD">
      <w:pPr>
        <w:jc w:val="both"/>
      </w:pPr>
    </w:p>
    <w:p w14:paraId="129CCEF1" w14:textId="77777777" w:rsidR="004627DD" w:rsidRDefault="004627DD" w:rsidP="004627DD">
      <w:pPr>
        <w:keepNext/>
        <w:numPr>
          <w:ilvl w:val="0"/>
          <w:numId w:val="1"/>
        </w:numPr>
        <w:jc w:val="both"/>
      </w:pPr>
      <w:r>
        <w:rPr>
          <w:b/>
        </w:rPr>
        <w:lastRenderedPageBreak/>
        <w:t>Servicio:</w:t>
      </w:r>
      <w:r>
        <w:t xml:space="preserve"> desplazamiento máximo de 0.35 mm; control de fisuración evaluado con los recubrimientos adoptados (100/75 mm) y fss ≤ 0.60 fy.</w:t>
      </w:r>
    </w:p>
    <w:p w14:paraId="4CD99BAB" w14:textId="11FE7D42" w:rsidR="004627DD" w:rsidRDefault="004627DD" w:rsidP="004627DD">
      <w:pPr>
        <w:keepNext/>
        <w:numPr>
          <w:ilvl w:val="0"/>
          <w:numId w:val="1"/>
        </w:numPr>
        <w:jc w:val="both"/>
      </w:pPr>
      <w:r>
        <w:rPr>
          <w:b/>
        </w:rPr>
        <w:t>Longitudes:</w:t>
      </w:r>
      <w:r>
        <w:t xml:space="preserve"> desarrollo adoptado 1 500 mm y empalme Clase B de referencia 1 950 mm.</w:t>
      </w:r>
    </w:p>
    <w:p w14:paraId="23830AA5" w14:textId="77777777" w:rsidR="00FE430A" w:rsidRDefault="00000000">
      <w:pPr>
        <w:jc w:val="both"/>
      </w:pPr>
      <w:r>
        <w:rPr>
          <w:b/>
        </w:rPr>
        <w:t>b) Acero provisto por la propuesta uniformizada:</w:t>
      </w:r>
      <w:r>
        <w:t xml:space="preserve"> con Ø 5/8" (As = 1.98 cm²), el espaciamiento @ 230 mm provee </w:t>
      </w:r>
      <w:r>
        <w:rPr>
          <w:b/>
        </w:rPr>
        <w:t>As = 8.61 cm²/m por cara</w:t>
      </w:r>
      <w:r>
        <w:t xml:space="preserve">, que satisface el mínimo de flexión E.060 calculado para la cara exterior (8.01 cm²/m) y la demanda de todas las celdas (DCR ≤ 0.676). Respecto del mínimo interior calculado (8.71 cm²/m, correspondiente a la cara con recubrimiento de 75 mm), la diferencia es del orden de </w:t>
      </w:r>
      <w:r>
        <w:rPr>
          <w:b/>
        </w:rPr>
        <w:t>1 %</w:t>
      </w:r>
      <w:r>
        <w:t>, por lo que la validación del diseño de detalle de la cara interior (cálculo con barra real y brazo efectivo, o mantenimiento de @ 225 mm en esa cara) queda sujeta al pronunciamiento de la Supervisión, conforme se ha consignado en el RFI-EST-2026-004-R00.</w:t>
      </w:r>
    </w:p>
    <w:p w14:paraId="753C27EA" w14:textId="77777777" w:rsidR="00FE430A" w:rsidRDefault="00000000">
      <w:pPr>
        <w:jc w:val="both"/>
      </w:pPr>
      <w:r>
        <w:rPr>
          <w:b/>
        </w:rPr>
        <w:t>c) Durabilidad:</w:t>
      </w:r>
      <w:r>
        <w:t xml:space="preserve"> los recubrimientos propuestos de </w:t>
      </w:r>
      <w:r>
        <w:rPr>
          <w:b/>
        </w:rPr>
        <w:t>100 mm (cara exterior, agua con abrasión)</w:t>
      </w:r>
      <w:r>
        <w:t xml:space="preserve"> y </w:t>
      </w:r>
      <w:r>
        <w:rPr>
          <w:b/>
        </w:rPr>
        <w:t>75 mm (cara interior, relleno)</w:t>
      </w:r>
      <w:r>
        <w:t xml:space="preserve"> superan los 50 mm contractuales y son coherentes con las condiciones de exposición del elemento y con las recomendaciones del estudio hidrológico actual (concreto resistente a la abrasión); con ellos se mantienen los peraltes efectivos de la memoria de cálculo (d = 287.3 mm exterior y d = 312.3 mm interior), mejorando la protección del refuerzo y el control de fisuración.</w:t>
      </w:r>
    </w:p>
    <w:p w14:paraId="1FD44341" w14:textId="77777777" w:rsidR="00FE430A" w:rsidRDefault="00000000">
      <w:pPr>
        <w:jc w:val="both"/>
      </w:pPr>
      <w:r>
        <w:t xml:space="preserve">Conforme a lo anterior, el cambio propuesto no responde a una deficiencia estructural del diseño contractual en términos de resistencia (el control es el acero mínimo normativo), sino que </w:t>
      </w:r>
      <w:r>
        <w:rPr>
          <w:b/>
        </w:rPr>
        <w:t>regulariza el cumplimiento del acero mínimo de flexión E.060</w:t>
      </w:r>
      <w:r>
        <w:t xml:space="preserve"> (armado vertical), </w:t>
      </w:r>
      <w:r>
        <w:rPr>
          <w:b/>
        </w:rPr>
        <w:t>mejora la durabilidad</w:t>
      </w:r>
      <w:r>
        <w:t xml:space="preserve"> (recubrimientos por exposición) y </w:t>
      </w:r>
      <w:r>
        <w:rPr>
          <w:b/>
        </w:rPr>
        <w:t>simplifica la constructibilidad</w:t>
      </w:r>
      <w:r>
        <w:t xml:space="preserve"> (espaciamiento único en todas las caras y direcciones).</w:t>
      </w:r>
    </w:p>
    <w:p w14:paraId="2D24E935" w14:textId="77777777" w:rsidR="00FE430A" w:rsidRDefault="00000000">
      <w:pPr>
        <w:keepNext/>
        <w:spacing w:before="200" w:after="80"/>
      </w:pPr>
      <w:r>
        <w:rPr>
          <w:b/>
        </w:rPr>
        <w:t>1.5 Clasificación y alcance de la consulta</w:t>
      </w:r>
    </w:p>
    <w:p w14:paraId="7C1372DD" w14:textId="46657AA6" w:rsidR="00FE430A" w:rsidRDefault="00000000">
      <w:pPr>
        <w:jc w:val="both"/>
      </w:pPr>
      <w:r>
        <w:t>El cambio CG-1</w:t>
      </w:r>
      <w:r w:rsidR="00491EDF">
        <w:t>1</w:t>
      </w:r>
      <w:r>
        <w:t xml:space="preserve"> a CG-1</w:t>
      </w:r>
      <w:r w:rsidR="00491EDF">
        <w:t>3</w:t>
      </w:r>
      <w:r>
        <w:t xml:space="preserve"> </w:t>
      </w:r>
      <w:r>
        <w:rPr>
          <w:b/>
        </w:rPr>
        <w:t>no modifica la geometría, el sistema resistente, el mecanismo de transferencia de cargas, la capacidad de servicio ni la concepción técnica</w:t>
      </w:r>
      <w:r>
        <w:t xml:space="preserve"> de la pantalla plegada (espesor 0.40 m y altura modelada 9.80 m se mantienen); únicamente ajusta espaciamientos del refuerzo dentro de los márgenes verificados y los recubrimientos por condiciones de exposición. En consecuencia, se clasifica como </w:t>
      </w:r>
      <w:r>
        <w:rPr>
          <w:b/>
        </w:rPr>
        <w:t>modificación NO SIGNIFICATIVA — mejora</w:t>
      </w:r>
      <w:r>
        <w:t xml:space="preserve"> del expediente técnico. El RFI-EST-2026-004-R00 solicita a la Supervisión:</w:t>
      </w:r>
    </w:p>
    <w:p w14:paraId="112A759C" w14:textId="4D4EFBE6" w:rsidR="00FE430A" w:rsidRDefault="00000000">
      <w:pPr>
        <w:keepNext/>
        <w:ind w:left="567" w:hanging="283"/>
        <w:jc w:val="both"/>
      </w:pPr>
      <w:r>
        <w:t xml:space="preserve">1. Pronunciarse sobre la uniformización del armado de la pantalla plegada a </w:t>
      </w:r>
      <w:r>
        <w:rPr>
          <w:b/>
        </w:rPr>
        <w:t>Ø 5/8" @ 230 mm en todas las caras y direcciones</w:t>
      </w:r>
      <w:r>
        <w:t xml:space="preserve">, con recubrimientos de </w:t>
      </w:r>
      <w:r>
        <w:rPr>
          <w:b/>
        </w:rPr>
        <w:t>100 mm exterior</w:t>
      </w:r>
      <w:r>
        <w:t xml:space="preserve"> y </w:t>
      </w:r>
      <w:r>
        <w:rPr>
          <w:b/>
        </w:rPr>
        <w:t>75 mm interior</w:t>
      </w:r>
      <w:r>
        <w:t xml:space="preserve"> (CG-1</w:t>
      </w:r>
      <w:r w:rsidR="00491EDF">
        <w:t>1</w:t>
      </w:r>
      <w:r>
        <w:t xml:space="preserve"> a CG-1</w:t>
      </w:r>
      <w:r w:rsidR="00491EDF">
        <w:t>3</w:t>
      </w:r>
      <w:r>
        <w:t>).</w:t>
      </w:r>
    </w:p>
    <w:p w14:paraId="24EE95C0" w14:textId="77777777" w:rsidR="00FE430A" w:rsidRDefault="00000000">
      <w:pPr>
        <w:keepNext/>
        <w:ind w:left="567" w:hanging="283"/>
        <w:jc w:val="both"/>
      </w:pPr>
      <w:r>
        <w:t>2. Validar el diseño de detalle de la cara interior (espaciamiento @ 230 mm o @ 225 mm) y las longitudes de desarrollo y empalme.</w:t>
      </w:r>
    </w:p>
    <w:p w14:paraId="6FF3A370" w14:textId="77777777" w:rsidR="00FE430A" w:rsidRDefault="00000000">
      <w:pPr>
        <w:keepNext/>
        <w:ind w:left="567" w:hanging="283"/>
        <w:jc w:val="both"/>
      </w:pPr>
      <w:r>
        <w:t>3. Precisar si corresponde actualizar los planos estructurales y el expediente técnico, y las condiciones para continuar los trabajos.</w:t>
      </w:r>
    </w:p>
    <w:p w14:paraId="70D204D5" w14:textId="77777777" w:rsidR="00FE430A" w:rsidRDefault="00000000">
      <w:pPr>
        <w:jc w:val="both"/>
      </w:pPr>
      <w:r>
        <w:rPr>
          <w:b/>
        </w:rPr>
        <w:t>Restricción preventiva:</w:t>
      </w:r>
      <w:r>
        <w:t xml:space="preserve"> no ejecutar el armado ni el vaciado de la pantalla plegada del estribo derecho hasta contar con el pronunciamiento de la Supervisión sobre CG-10 a CG-12, los planos actualizados y las modificaciones aprobadas que correspondan.</w:t>
      </w:r>
    </w:p>
    <w:p w14:paraId="4410570A" w14:textId="77777777" w:rsidR="00FE430A" w:rsidRDefault="00000000">
      <w:pPr>
        <w:pStyle w:val="Ttulo3"/>
      </w:pPr>
      <w:r>
        <w:rPr>
          <w:rFonts w:ascii="Calibri" w:hAnsi="Calibri"/>
        </w:rPr>
        <w:lastRenderedPageBreak/>
        <w:t>2. CONCLUSIONES</w:t>
      </w:r>
    </w:p>
    <w:p w14:paraId="41E7F79E" w14:textId="77777777" w:rsidR="00FE430A" w:rsidRDefault="00000000">
      <w:pPr>
        <w:keepNext/>
        <w:jc w:val="both"/>
      </w:pPr>
      <w:r>
        <w:t>Se recomienda:</w:t>
      </w:r>
    </w:p>
    <w:p w14:paraId="7B135232" w14:textId="670F74FB" w:rsidR="00FE430A" w:rsidRDefault="00000000">
      <w:pPr>
        <w:keepNext/>
        <w:ind w:left="567" w:hanging="283"/>
        <w:jc w:val="both"/>
      </w:pPr>
      <w:r>
        <w:t xml:space="preserve">1. </w:t>
      </w:r>
      <w:r>
        <w:rPr>
          <w:b/>
        </w:rPr>
        <w:t>Remitir a la Supervisión de Obra el RFI-EST-2026-004-R00</w:t>
      </w:r>
      <w:r>
        <w:t>, adjuntando la memoria de cálculo CALC-EST-2026-003-R00, para su pronunciamiento sobre las diferencias CG-1</w:t>
      </w:r>
      <w:r w:rsidR="00491EDF">
        <w:t>1</w:t>
      </w:r>
      <w:r>
        <w:t xml:space="preserve"> a CG-1</w:t>
      </w:r>
      <w:r w:rsidR="00491EDF">
        <w:t>3</w:t>
      </w:r>
      <w:r>
        <w:t xml:space="preserve"> del armado y recubrimiento de la pantalla plegada del estribo derecho.</w:t>
      </w:r>
    </w:p>
    <w:p w14:paraId="2F453449" w14:textId="77777777" w:rsidR="00FE430A" w:rsidRDefault="00000000">
      <w:pPr>
        <w:keepNext/>
        <w:ind w:left="567" w:hanging="283"/>
        <w:jc w:val="both"/>
      </w:pPr>
      <w:r>
        <w:t xml:space="preserve">2. </w:t>
      </w:r>
      <w:r>
        <w:rPr>
          <w:b/>
        </w:rPr>
        <w:t>Sustentar la clasificación</w:t>
      </w:r>
      <w:r>
        <w:t xml:space="preserve"> del cambio propuesto como </w:t>
      </w:r>
      <w:r>
        <w:rPr>
          <w:b/>
        </w:rPr>
        <w:t>modificación no significativa — mejora</w:t>
      </w:r>
      <w:r>
        <w:t xml:space="preserve"> del expediente técnico, por no alterar la geometría, la concepción técnica ni el dimensionamiento de la estructura; el pronunciamiento de la Supervisión deberá precisar la validación del diseño de detalle de la cara interior y la necesidad de actualizar planos y expediente.</w:t>
      </w:r>
    </w:p>
    <w:p w14:paraId="0CF3B28F" w14:textId="77777777" w:rsidR="00FE430A" w:rsidRDefault="00000000">
      <w:pPr>
        <w:keepNext/>
        <w:ind w:left="567" w:hanging="283"/>
        <w:jc w:val="both"/>
      </w:pPr>
      <w:r>
        <w:t xml:space="preserve">3. </w:t>
      </w:r>
      <w:r>
        <w:rPr>
          <w:b/>
        </w:rPr>
        <w:t>Declarar que la propuesta mantiene la seguridad de la estructura:</w:t>
      </w:r>
      <w:r>
        <w:t xml:space="preserve"> las verificaciones de CALC-EST-2026-003-R00 (resistencia flexión + membrana, acero mínimo, cortante y compresión de membrana) resultan conformes con DCR máximos de 0.678, 0.510 y 0.036; el acero provisto con @ 230 mm (8.61 cm²/m) satisface el mínimo exterior calculado (8.01 cm²/m) y la demanda de todas las celdas, quedando la validación de la cara interior (diferencia del orden de 1 % frente al mínimo de 8.71 cm²/m) sujeta al pronunciamiento.</w:t>
      </w:r>
    </w:p>
    <w:p w14:paraId="7C15C9D9" w14:textId="77777777" w:rsidR="00FE430A" w:rsidRDefault="00000000">
      <w:pPr>
        <w:keepNext/>
        <w:ind w:left="567" w:hanging="283"/>
        <w:jc w:val="both"/>
      </w:pPr>
      <w:r>
        <w:t xml:space="preserve">4. </w:t>
      </w:r>
      <w:r>
        <w:rPr>
          <w:b/>
        </w:rPr>
        <w:t>Mantener la restricción de no ejecutar</w:t>
      </w:r>
      <w:r>
        <w:t xml:space="preserve"> el armado ni el vaciado de la pantalla plegada del estribo derecho hasta contar con el pronunciamiento de la Supervisión sobre el RFI-EST-2026-004-R00 y las modificaciones aprobadas que correspondan.</w:t>
      </w:r>
    </w:p>
    <w:p w14:paraId="6AED88FC" w14:textId="77777777" w:rsidR="00FE430A" w:rsidRDefault="00000000">
      <w:pPr>
        <w:pStyle w:val="Ttulo3"/>
      </w:pPr>
      <w:r>
        <w:rPr>
          <w:rFonts w:ascii="Calibri" w:hAnsi="Calibri"/>
        </w:rPr>
        <w:t>3. ANEXOS</w:t>
      </w:r>
    </w:p>
    <w:p w14:paraId="35AD0ED4" w14:textId="77777777" w:rsidR="00FE430A" w:rsidRDefault="00000000">
      <w:pPr>
        <w:keepNext/>
        <w:jc w:val="both"/>
      </w:pPr>
      <w:r>
        <w:t>Se adjunta:</w:t>
      </w:r>
    </w:p>
    <w:p w14:paraId="4B1EA86B" w14:textId="0E48C73F" w:rsidR="00FE430A" w:rsidRDefault="00000000">
      <w:pPr>
        <w:keepNext/>
        <w:numPr>
          <w:ilvl w:val="0"/>
          <w:numId w:val="1"/>
        </w:numPr>
        <w:jc w:val="both"/>
      </w:pPr>
      <w:r>
        <w:t>RFI-EST-2026-004-R00 — Consulta sobre armado y recubrimiento de la pantalla plegada del estribo derecho (CG-1</w:t>
      </w:r>
      <w:r w:rsidR="00A643DF">
        <w:t>1</w:t>
      </w:r>
      <w:r>
        <w:t xml:space="preserve"> a CG-1</w:t>
      </w:r>
      <w:r w:rsidR="00A643DF">
        <w:t>3</w:t>
      </w:r>
      <w:r>
        <w:t>).</w:t>
      </w:r>
    </w:p>
    <w:p w14:paraId="722FDCB2" w14:textId="77777777" w:rsidR="00FE430A" w:rsidRDefault="00000000">
      <w:pPr>
        <w:keepNext/>
        <w:numPr>
          <w:ilvl w:val="0"/>
          <w:numId w:val="1"/>
        </w:numPr>
        <w:jc w:val="both"/>
      </w:pPr>
      <w:r>
        <w:t>CALC-EST-2026-003-R00 — Memoria de cálculo: análisis estructural y diseño del refuerzo de la pantalla plegada del estribo derecho (FEM 3D de cascarón).</w:t>
      </w:r>
    </w:p>
    <w:p w14:paraId="313291F9" w14:textId="77777777" w:rsidR="00FE430A" w:rsidRDefault="00000000">
      <w:pPr>
        <w:keepNext/>
        <w:jc w:val="both"/>
      </w:pPr>
      <w:r>
        <w:t>Siendo todo lo que puedo informar</w:t>
      </w:r>
    </w:p>
    <w:p w14:paraId="7C16DA4A" w14:textId="77777777" w:rsidR="00FE430A" w:rsidRDefault="00000000">
      <w:pPr>
        <w:keepNext/>
        <w:jc w:val="both"/>
      </w:pPr>
      <w:r>
        <w:t>Atentamente,</w:t>
      </w:r>
    </w:p>
    <w:sectPr w:rsidR="00FE430A" w:rsidSect="008D31C4">
      <w:headerReference w:type="default" r:id="rId8"/>
      <w:footerReference w:type="default" r:id="rId9"/>
      <w:pgSz w:w="11906" w:h="16838"/>
      <w:pgMar w:top="1417" w:right="1417" w:bottom="1417" w:left="1417" w:header="56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26A6" w14:textId="77777777" w:rsidR="00294200" w:rsidRDefault="00294200" w:rsidP="00BA1401">
      <w:r>
        <w:separator/>
      </w:r>
    </w:p>
  </w:endnote>
  <w:endnote w:type="continuationSeparator" w:id="0">
    <w:p w14:paraId="72225612" w14:textId="77777777" w:rsidR="00294200" w:rsidRDefault="00294200" w:rsidP="00BA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charset w:val="00"/>
    <w:family w:val="swiss"/>
    <w:pitch w:val="variable"/>
    <w:sig w:usb0="E7002EFF" w:usb1="D200F5FF" w:usb2="0A042028" w:usb3="00000000" w:csb0="8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2C26" w14:textId="304BFADB" w:rsidR="00BA1401" w:rsidRDefault="00BC2AB1" w:rsidP="00BA1401">
    <w:pPr>
      <w:pStyle w:val="Encabezado"/>
      <w:spacing w:before="80"/>
      <w:jc w:val="center"/>
    </w:pPr>
    <w:r w:rsidRPr="0002177D">
      <w:rPr>
        <w:rFonts w:ascii="Arial Narrow" w:hAnsi="Arial Narrow" w:cs="Arial"/>
        <w:noProof/>
        <w:szCs w:val="22"/>
        <w:lang w:val="es-PE"/>
      </w:rPr>
      <w:drawing>
        <wp:anchor distT="0" distB="0" distL="114300" distR="114300" simplePos="0" relativeHeight="251664384" behindDoc="0" locked="0" layoutInCell="1" allowOverlap="1" wp14:anchorId="6DE36D96" wp14:editId="0EDC5F81">
          <wp:simplePos x="0" y="0"/>
          <wp:positionH relativeFrom="column">
            <wp:posOffset>3638550</wp:posOffset>
          </wp:positionH>
          <wp:positionV relativeFrom="paragraph">
            <wp:posOffset>-918210</wp:posOffset>
          </wp:positionV>
          <wp:extent cx="1639956" cy="918715"/>
          <wp:effectExtent l="0" t="0" r="0" b="0"/>
          <wp:wrapNone/>
          <wp:docPr id="12345309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9956" cy="91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0835">
      <w:rPr>
        <w:color w:val="666666"/>
        <w:sz w:val="16"/>
      </w:rPr>
      <w:fldChar w:fldCharType="begin"/>
    </w:r>
    <w:r w:rsidR="009C0835">
      <w:rPr>
        <w:color w:val="666666"/>
        <w:sz w:val="16"/>
      </w:rPr>
      <w:instrText xml:space="preserve"> PAGE </w:instrText>
    </w:r>
    <w:r w:rsidR="009C0835">
      <w:rPr>
        <w:color w:val="666666"/>
        <w:sz w:val="16"/>
      </w:rPr>
      <w:fldChar w:fldCharType="separate"/>
    </w:r>
    <w:r w:rsidR="004627DD">
      <w:rPr>
        <w:noProof/>
        <w:color w:val="666666"/>
        <w:sz w:val="16"/>
      </w:rPr>
      <w:t>1</w:t>
    </w:r>
    <w:r w:rsidR="009C0835">
      <w:rPr>
        <w:color w:val="666666"/>
        <w:sz w:val="16"/>
      </w:rPr>
      <w:fldChar w:fldCharType="end"/>
    </w:r>
    <w:r w:rsidR="009C0835">
      <w:rPr>
        <w:color w:val="666666"/>
        <w:sz w:val="16"/>
      </w:rPr>
      <w:t xml:space="preserve"> / </w:t>
    </w:r>
    <w:r w:rsidR="009C0835">
      <w:rPr>
        <w:color w:val="666666"/>
        <w:sz w:val="16"/>
      </w:rPr>
      <w:fldChar w:fldCharType="begin"/>
    </w:r>
    <w:r w:rsidR="009C0835">
      <w:rPr>
        <w:color w:val="666666"/>
        <w:sz w:val="16"/>
      </w:rPr>
      <w:instrText xml:space="preserve"> NUMPAGES </w:instrText>
    </w:r>
    <w:r w:rsidR="009C0835">
      <w:rPr>
        <w:color w:val="666666"/>
        <w:sz w:val="16"/>
      </w:rPr>
      <w:fldChar w:fldCharType="separate"/>
    </w:r>
    <w:r w:rsidR="004627DD">
      <w:rPr>
        <w:noProof/>
        <w:color w:val="666666"/>
        <w:sz w:val="16"/>
      </w:rPr>
      <w:t>2</w:t>
    </w:r>
    <w:r w:rsidR="009C0835"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DD14" w14:textId="77777777" w:rsidR="00294200" w:rsidRDefault="00294200" w:rsidP="00BA1401">
      <w:r>
        <w:separator/>
      </w:r>
    </w:p>
  </w:footnote>
  <w:footnote w:type="continuationSeparator" w:id="0">
    <w:p w14:paraId="12FBF20D" w14:textId="77777777" w:rsidR="00294200" w:rsidRDefault="00294200" w:rsidP="00BA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415C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1312" behindDoc="1" locked="0" layoutInCell="1" allowOverlap="1" wp14:anchorId="20223B1E" wp14:editId="5C42A485">
          <wp:simplePos x="0" y="0"/>
          <wp:positionH relativeFrom="margin">
            <wp:align>right</wp:align>
          </wp:positionH>
          <wp:positionV relativeFrom="paragraph">
            <wp:posOffset>-123825</wp:posOffset>
          </wp:positionV>
          <wp:extent cx="634718" cy="792000"/>
          <wp:effectExtent l="0" t="0" r="0" b="8255"/>
          <wp:wrapSquare wrapText="bothSides"/>
          <wp:docPr id="268532877" name="Imagen 1" descr="Consejo Regional de Ayacucho - CRA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3782383" name="Imagen 1" descr="Consejo Regional de Ayacucho - CRA‎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469" t="8215" r="27046" b="36071"/>
                  <a:stretch/>
                </pic:blipFill>
                <pic:spPr bwMode="auto">
                  <a:xfrm>
                    <a:off x="0" y="0"/>
                    <a:ext cx="63471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2336" behindDoc="0" locked="0" layoutInCell="1" allowOverlap="1" wp14:anchorId="03AE6C1F" wp14:editId="557680A8">
          <wp:simplePos x="0" y="0"/>
          <wp:positionH relativeFrom="margin">
            <wp:align>left</wp:align>
          </wp:positionH>
          <wp:positionV relativeFrom="paragraph">
            <wp:posOffset>-139065</wp:posOffset>
          </wp:positionV>
          <wp:extent cx="692738" cy="792000"/>
          <wp:effectExtent l="0" t="0" r="0" b="8255"/>
          <wp:wrapSquare wrapText="bothSides"/>
          <wp:docPr id="1360731075" name="Imagen 2" descr="Escudo del Perú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cudo del Perú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3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sz w:val="18"/>
        <w:szCs w:val="18"/>
      </w:rPr>
      <w:t>GOBIERNO REGIONAL DE AYACUCHO</w:t>
    </w:r>
  </w:p>
  <w:p w14:paraId="153C5432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sz w:val="18"/>
        <w:szCs w:val="18"/>
      </w:rPr>
      <w:t>GERENCIA REGIONAL DE INFRAESTRUCTURA</w:t>
    </w:r>
  </w:p>
  <w:p w14:paraId="4676B99C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sz w:val="18"/>
        <w:szCs w:val="18"/>
      </w:rPr>
      <w:t>SUB GERENCIA DE EJECUCIÓN E INVERSIONES</w:t>
    </w:r>
  </w:p>
  <w:p w14:paraId="53BB7F65" w14:textId="77777777" w:rsidR="00A85F00" w:rsidRPr="00015FFC" w:rsidRDefault="00A85F00" w:rsidP="00A85F00">
    <w:pPr>
      <w:pStyle w:val="Encabezado"/>
      <w:jc w:val="center"/>
      <w:rPr>
        <w:sz w:val="18"/>
        <w:szCs w:val="18"/>
      </w:rPr>
    </w:pPr>
    <w:r w:rsidRPr="000259ED">
      <w:rPr>
        <w:noProof/>
        <w:sz w:val="18"/>
        <w:szCs w:val="18"/>
      </w:rPr>
      <w:t>“Año de la Esperanza y el Fortalecimiento de la Democracia”</w:t>
    </w:r>
  </w:p>
  <w:p w14:paraId="5B132AD8" w14:textId="77777777" w:rsidR="00B1034E" w:rsidRPr="002505AD" w:rsidRDefault="00B1034E" w:rsidP="002505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854A6"/>
    <w:multiLevelType w:val="multilevel"/>
    <w:tmpl w:val="DE82D286"/>
    <w:lvl w:ilvl="0">
      <w:start w:val="1"/>
      <w:numFmt w:val="bullet"/>
      <w:lvlText w:val="•"/>
      <w:lvlJc w:val="left"/>
      <w:pPr>
        <w:ind w:left="567" w:hanging="28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4430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2D"/>
    <w:rsid w:val="00002D63"/>
    <w:rsid w:val="00006E56"/>
    <w:rsid w:val="00010509"/>
    <w:rsid w:val="0002177D"/>
    <w:rsid w:val="00021817"/>
    <w:rsid w:val="000256EF"/>
    <w:rsid w:val="0003086C"/>
    <w:rsid w:val="0003144D"/>
    <w:rsid w:val="00036896"/>
    <w:rsid w:val="00040CC8"/>
    <w:rsid w:val="00041F5D"/>
    <w:rsid w:val="00042976"/>
    <w:rsid w:val="00044362"/>
    <w:rsid w:val="00044A36"/>
    <w:rsid w:val="00047AC4"/>
    <w:rsid w:val="00047E04"/>
    <w:rsid w:val="00052CDD"/>
    <w:rsid w:val="000536CD"/>
    <w:rsid w:val="00053E33"/>
    <w:rsid w:val="000546A0"/>
    <w:rsid w:val="00054A27"/>
    <w:rsid w:val="00055385"/>
    <w:rsid w:val="000565FB"/>
    <w:rsid w:val="000609FD"/>
    <w:rsid w:val="00064862"/>
    <w:rsid w:val="00064FE8"/>
    <w:rsid w:val="0006579F"/>
    <w:rsid w:val="00067D6A"/>
    <w:rsid w:val="00071E31"/>
    <w:rsid w:val="00073907"/>
    <w:rsid w:val="0007495F"/>
    <w:rsid w:val="00077B1D"/>
    <w:rsid w:val="00084FA0"/>
    <w:rsid w:val="00085799"/>
    <w:rsid w:val="00090B66"/>
    <w:rsid w:val="000913E8"/>
    <w:rsid w:val="00091D68"/>
    <w:rsid w:val="00096BA8"/>
    <w:rsid w:val="000B7AFB"/>
    <w:rsid w:val="000C030D"/>
    <w:rsid w:val="000C47D2"/>
    <w:rsid w:val="000C6D56"/>
    <w:rsid w:val="000D0BF3"/>
    <w:rsid w:val="000D12C7"/>
    <w:rsid w:val="000D42C7"/>
    <w:rsid w:val="000D5284"/>
    <w:rsid w:val="000E0810"/>
    <w:rsid w:val="000E0F31"/>
    <w:rsid w:val="000E6C46"/>
    <w:rsid w:val="000E70A2"/>
    <w:rsid w:val="000F421D"/>
    <w:rsid w:val="000F6709"/>
    <w:rsid w:val="0010025D"/>
    <w:rsid w:val="00101D2E"/>
    <w:rsid w:val="00101E1E"/>
    <w:rsid w:val="00104DA2"/>
    <w:rsid w:val="00106CC1"/>
    <w:rsid w:val="00107359"/>
    <w:rsid w:val="001109EC"/>
    <w:rsid w:val="00111C4D"/>
    <w:rsid w:val="001149AB"/>
    <w:rsid w:val="001150AD"/>
    <w:rsid w:val="0011645A"/>
    <w:rsid w:val="0011742D"/>
    <w:rsid w:val="00120264"/>
    <w:rsid w:val="00126539"/>
    <w:rsid w:val="0012787A"/>
    <w:rsid w:val="00127BCA"/>
    <w:rsid w:val="001350AC"/>
    <w:rsid w:val="00136500"/>
    <w:rsid w:val="001432F5"/>
    <w:rsid w:val="00144C01"/>
    <w:rsid w:val="00146914"/>
    <w:rsid w:val="00151B10"/>
    <w:rsid w:val="00153959"/>
    <w:rsid w:val="001603AB"/>
    <w:rsid w:val="001638EE"/>
    <w:rsid w:val="0016612F"/>
    <w:rsid w:val="00177476"/>
    <w:rsid w:val="00180356"/>
    <w:rsid w:val="00180761"/>
    <w:rsid w:val="0018099D"/>
    <w:rsid w:val="00180C3F"/>
    <w:rsid w:val="001837B2"/>
    <w:rsid w:val="00184253"/>
    <w:rsid w:val="00186148"/>
    <w:rsid w:val="001864B9"/>
    <w:rsid w:val="00186FF3"/>
    <w:rsid w:val="00195935"/>
    <w:rsid w:val="00195EE6"/>
    <w:rsid w:val="001965D4"/>
    <w:rsid w:val="00197194"/>
    <w:rsid w:val="001A3F5D"/>
    <w:rsid w:val="001A5DAD"/>
    <w:rsid w:val="001B0C0A"/>
    <w:rsid w:val="001C4E66"/>
    <w:rsid w:val="001C6DBD"/>
    <w:rsid w:val="001D2427"/>
    <w:rsid w:val="001D3FE1"/>
    <w:rsid w:val="001D54B5"/>
    <w:rsid w:val="001D732D"/>
    <w:rsid w:val="001E0C19"/>
    <w:rsid w:val="001E5388"/>
    <w:rsid w:val="001E5967"/>
    <w:rsid w:val="001E692C"/>
    <w:rsid w:val="001F5E2E"/>
    <w:rsid w:val="001F6BDF"/>
    <w:rsid w:val="002000C5"/>
    <w:rsid w:val="00204BB9"/>
    <w:rsid w:val="00210022"/>
    <w:rsid w:val="002151BE"/>
    <w:rsid w:val="002248C3"/>
    <w:rsid w:val="0022567D"/>
    <w:rsid w:val="002277E2"/>
    <w:rsid w:val="00230568"/>
    <w:rsid w:val="00231C02"/>
    <w:rsid w:val="00235D55"/>
    <w:rsid w:val="0023792E"/>
    <w:rsid w:val="0024345F"/>
    <w:rsid w:val="002505AD"/>
    <w:rsid w:val="0025074B"/>
    <w:rsid w:val="00252037"/>
    <w:rsid w:val="0025210B"/>
    <w:rsid w:val="002534C7"/>
    <w:rsid w:val="002566B1"/>
    <w:rsid w:val="00261F4B"/>
    <w:rsid w:val="00262593"/>
    <w:rsid w:val="0026598F"/>
    <w:rsid w:val="0027497E"/>
    <w:rsid w:val="00275D2E"/>
    <w:rsid w:val="0027649F"/>
    <w:rsid w:val="00277847"/>
    <w:rsid w:val="0028315E"/>
    <w:rsid w:val="00290482"/>
    <w:rsid w:val="0029232A"/>
    <w:rsid w:val="00294200"/>
    <w:rsid w:val="00296C11"/>
    <w:rsid w:val="002A078E"/>
    <w:rsid w:val="002A20AF"/>
    <w:rsid w:val="002A4306"/>
    <w:rsid w:val="002B1338"/>
    <w:rsid w:val="002B1C7B"/>
    <w:rsid w:val="002B7059"/>
    <w:rsid w:val="002C3820"/>
    <w:rsid w:val="002C3EE4"/>
    <w:rsid w:val="002C4AF5"/>
    <w:rsid w:val="002C5B9A"/>
    <w:rsid w:val="002C6A78"/>
    <w:rsid w:val="002D7D6D"/>
    <w:rsid w:val="002E0099"/>
    <w:rsid w:val="002E135D"/>
    <w:rsid w:val="002E16CB"/>
    <w:rsid w:val="002E36A2"/>
    <w:rsid w:val="002E37EC"/>
    <w:rsid w:val="002F1129"/>
    <w:rsid w:val="002F4049"/>
    <w:rsid w:val="002F4321"/>
    <w:rsid w:val="002F60D9"/>
    <w:rsid w:val="002F7415"/>
    <w:rsid w:val="002F7952"/>
    <w:rsid w:val="00302073"/>
    <w:rsid w:val="003038AC"/>
    <w:rsid w:val="003054BD"/>
    <w:rsid w:val="003054D8"/>
    <w:rsid w:val="00306A6B"/>
    <w:rsid w:val="00311419"/>
    <w:rsid w:val="00311DBA"/>
    <w:rsid w:val="00314AE6"/>
    <w:rsid w:val="00314ED6"/>
    <w:rsid w:val="0031651E"/>
    <w:rsid w:val="0033046F"/>
    <w:rsid w:val="00330EF3"/>
    <w:rsid w:val="00331FFA"/>
    <w:rsid w:val="0033280E"/>
    <w:rsid w:val="0033299D"/>
    <w:rsid w:val="00332AA4"/>
    <w:rsid w:val="00333520"/>
    <w:rsid w:val="0033558F"/>
    <w:rsid w:val="00335FA1"/>
    <w:rsid w:val="00342407"/>
    <w:rsid w:val="003424EC"/>
    <w:rsid w:val="00344484"/>
    <w:rsid w:val="003445DD"/>
    <w:rsid w:val="003547C2"/>
    <w:rsid w:val="00355747"/>
    <w:rsid w:val="00357326"/>
    <w:rsid w:val="00372285"/>
    <w:rsid w:val="00372B2D"/>
    <w:rsid w:val="00374192"/>
    <w:rsid w:val="003808C5"/>
    <w:rsid w:val="00385E8B"/>
    <w:rsid w:val="00387FAE"/>
    <w:rsid w:val="003904D4"/>
    <w:rsid w:val="00391DA8"/>
    <w:rsid w:val="00392726"/>
    <w:rsid w:val="00392BB0"/>
    <w:rsid w:val="003A0232"/>
    <w:rsid w:val="003A10B9"/>
    <w:rsid w:val="003A1C50"/>
    <w:rsid w:val="003A46B8"/>
    <w:rsid w:val="003A6A43"/>
    <w:rsid w:val="003A7307"/>
    <w:rsid w:val="003A77D0"/>
    <w:rsid w:val="003B112E"/>
    <w:rsid w:val="003B1721"/>
    <w:rsid w:val="003B21AD"/>
    <w:rsid w:val="003B2CBA"/>
    <w:rsid w:val="003B7B1A"/>
    <w:rsid w:val="003C061A"/>
    <w:rsid w:val="003C576D"/>
    <w:rsid w:val="003C5F10"/>
    <w:rsid w:val="003C6CF7"/>
    <w:rsid w:val="003D41D2"/>
    <w:rsid w:val="003D6225"/>
    <w:rsid w:val="003E126B"/>
    <w:rsid w:val="003E329C"/>
    <w:rsid w:val="003F0E83"/>
    <w:rsid w:val="003F1024"/>
    <w:rsid w:val="003F15FE"/>
    <w:rsid w:val="00402BD0"/>
    <w:rsid w:val="00404935"/>
    <w:rsid w:val="00406AC6"/>
    <w:rsid w:val="0041181C"/>
    <w:rsid w:val="00411CB6"/>
    <w:rsid w:val="004127CE"/>
    <w:rsid w:val="00415CD4"/>
    <w:rsid w:val="00416491"/>
    <w:rsid w:val="00420331"/>
    <w:rsid w:val="00420491"/>
    <w:rsid w:val="004225AE"/>
    <w:rsid w:val="004233AD"/>
    <w:rsid w:val="00430CF1"/>
    <w:rsid w:val="0043175D"/>
    <w:rsid w:val="00431C66"/>
    <w:rsid w:val="00432A2C"/>
    <w:rsid w:val="0043724B"/>
    <w:rsid w:val="004459CB"/>
    <w:rsid w:val="00445AEB"/>
    <w:rsid w:val="0046064D"/>
    <w:rsid w:val="00461071"/>
    <w:rsid w:val="00461A10"/>
    <w:rsid w:val="00461B93"/>
    <w:rsid w:val="004624A4"/>
    <w:rsid w:val="004627DD"/>
    <w:rsid w:val="00465424"/>
    <w:rsid w:val="0047176D"/>
    <w:rsid w:val="00481111"/>
    <w:rsid w:val="00484376"/>
    <w:rsid w:val="00487804"/>
    <w:rsid w:val="004910CD"/>
    <w:rsid w:val="00491EDF"/>
    <w:rsid w:val="00494395"/>
    <w:rsid w:val="00495133"/>
    <w:rsid w:val="00495930"/>
    <w:rsid w:val="004A28A9"/>
    <w:rsid w:val="004A42D8"/>
    <w:rsid w:val="004A4B52"/>
    <w:rsid w:val="004A4F08"/>
    <w:rsid w:val="004A6A6F"/>
    <w:rsid w:val="004A7B85"/>
    <w:rsid w:val="004B2098"/>
    <w:rsid w:val="004B2E46"/>
    <w:rsid w:val="004C30E4"/>
    <w:rsid w:val="004C4280"/>
    <w:rsid w:val="004D4BBF"/>
    <w:rsid w:val="004E0DF6"/>
    <w:rsid w:val="004E3FF5"/>
    <w:rsid w:val="004E79BF"/>
    <w:rsid w:val="004F0754"/>
    <w:rsid w:val="004F4AFD"/>
    <w:rsid w:val="00503D4D"/>
    <w:rsid w:val="005050CD"/>
    <w:rsid w:val="0050579B"/>
    <w:rsid w:val="005103E6"/>
    <w:rsid w:val="00511237"/>
    <w:rsid w:val="005123AB"/>
    <w:rsid w:val="005143CB"/>
    <w:rsid w:val="00522EC8"/>
    <w:rsid w:val="00523753"/>
    <w:rsid w:val="00523D08"/>
    <w:rsid w:val="005249DA"/>
    <w:rsid w:val="00524C83"/>
    <w:rsid w:val="00525505"/>
    <w:rsid w:val="0052620C"/>
    <w:rsid w:val="005266B2"/>
    <w:rsid w:val="005266DF"/>
    <w:rsid w:val="00530177"/>
    <w:rsid w:val="00540815"/>
    <w:rsid w:val="0054092A"/>
    <w:rsid w:val="00541D62"/>
    <w:rsid w:val="0054661D"/>
    <w:rsid w:val="005522B7"/>
    <w:rsid w:val="00553105"/>
    <w:rsid w:val="00564A24"/>
    <w:rsid w:val="0057004D"/>
    <w:rsid w:val="00570202"/>
    <w:rsid w:val="00571683"/>
    <w:rsid w:val="00573046"/>
    <w:rsid w:val="00575DA4"/>
    <w:rsid w:val="00576320"/>
    <w:rsid w:val="005772B5"/>
    <w:rsid w:val="00581276"/>
    <w:rsid w:val="0058415E"/>
    <w:rsid w:val="00584D3E"/>
    <w:rsid w:val="00587DBC"/>
    <w:rsid w:val="00592283"/>
    <w:rsid w:val="005932F8"/>
    <w:rsid w:val="00595678"/>
    <w:rsid w:val="005979C8"/>
    <w:rsid w:val="005A06FE"/>
    <w:rsid w:val="005A18E9"/>
    <w:rsid w:val="005A5C7D"/>
    <w:rsid w:val="005B2708"/>
    <w:rsid w:val="005B4DC7"/>
    <w:rsid w:val="005B594B"/>
    <w:rsid w:val="005B76C7"/>
    <w:rsid w:val="005D3E46"/>
    <w:rsid w:val="005D7D1F"/>
    <w:rsid w:val="005E174E"/>
    <w:rsid w:val="005E1A47"/>
    <w:rsid w:val="005E2449"/>
    <w:rsid w:val="005E673C"/>
    <w:rsid w:val="005F2AE2"/>
    <w:rsid w:val="005F5417"/>
    <w:rsid w:val="005F7235"/>
    <w:rsid w:val="00601AA5"/>
    <w:rsid w:val="006041F0"/>
    <w:rsid w:val="0060552E"/>
    <w:rsid w:val="00611D14"/>
    <w:rsid w:val="00614B96"/>
    <w:rsid w:val="00617544"/>
    <w:rsid w:val="006211F3"/>
    <w:rsid w:val="0062537C"/>
    <w:rsid w:val="0062545F"/>
    <w:rsid w:val="00630546"/>
    <w:rsid w:val="00633DB0"/>
    <w:rsid w:val="00634311"/>
    <w:rsid w:val="006348CD"/>
    <w:rsid w:val="00634D84"/>
    <w:rsid w:val="00641B62"/>
    <w:rsid w:val="006431FE"/>
    <w:rsid w:val="00646DE0"/>
    <w:rsid w:val="00647EA3"/>
    <w:rsid w:val="00651C7A"/>
    <w:rsid w:val="00652B6D"/>
    <w:rsid w:val="00655194"/>
    <w:rsid w:val="006606A7"/>
    <w:rsid w:val="00662CC9"/>
    <w:rsid w:val="006653F0"/>
    <w:rsid w:val="0066542C"/>
    <w:rsid w:val="006671CA"/>
    <w:rsid w:val="00670964"/>
    <w:rsid w:val="00671ECD"/>
    <w:rsid w:val="0067332E"/>
    <w:rsid w:val="00682C98"/>
    <w:rsid w:val="00687BA4"/>
    <w:rsid w:val="00690864"/>
    <w:rsid w:val="00697042"/>
    <w:rsid w:val="006977AE"/>
    <w:rsid w:val="006A23E0"/>
    <w:rsid w:val="006A282D"/>
    <w:rsid w:val="006B06AF"/>
    <w:rsid w:val="006B1472"/>
    <w:rsid w:val="006B263C"/>
    <w:rsid w:val="006B3235"/>
    <w:rsid w:val="006B388B"/>
    <w:rsid w:val="006B3A35"/>
    <w:rsid w:val="006B75E1"/>
    <w:rsid w:val="006B7D35"/>
    <w:rsid w:val="006C2DB6"/>
    <w:rsid w:val="006D1F12"/>
    <w:rsid w:val="006D4B9D"/>
    <w:rsid w:val="006D5FD0"/>
    <w:rsid w:val="006D6639"/>
    <w:rsid w:val="006D6DF8"/>
    <w:rsid w:val="006E2888"/>
    <w:rsid w:val="006E6326"/>
    <w:rsid w:val="006E6428"/>
    <w:rsid w:val="006E6CCD"/>
    <w:rsid w:val="006F13AB"/>
    <w:rsid w:val="00707562"/>
    <w:rsid w:val="00717538"/>
    <w:rsid w:val="0072218C"/>
    <w:rsid w:val="00723F39"/>
    <w:rsid w:val="00730921"/>
    <w:rsid w:val="00732232"/>
    <w:rsid w:val="00733C42"/>
    <w:rsid w:val="0074190E"/>
    <w:rsid w:val="007439DD"/>
    <w:rsid w:val="007466D4"/>
    <w:rsid w:val="00746C86"/>
    <w:rsid w:val="00746E6C"/>
    <w:rsid w:val="00747897"/>
    <w:rsid w:val="00750B9D"/>
    <w:rsid w:val="0075677B"/>
    <w:rsid w:val="00757264"/>
    <w:rsid w:val="00761C1A"/>
    <w:rsid w:val="00762F12"/>
    <w:rsid w:val="007701B1"/>
    <w:rsid w:val="00771901"/>
    <w:rsid w:val="00772A6E"/>
    <w:rsid w:val="007755C6"/>
    <w:rsid w:val="00775D0E"/>
    <w:rsid w:val="00775F91"/>
    <w:rsid w:val="00780B6A"/>
    <w:rsid w:val="007859C9"/>
    <w:rsid w:val="007929DC"/>
    <w:rsid w:val="00793C4D"/>
    <w:rsid w:val="00795FA5"/>
    <w:rsid w:val="00797037"/>
    <w:rsid w:val="007A1DAE"/>
    <w:rsid w:val="007A4DFC"/>
    <w:rsid w:val="007A4FA1"/>
    <w:rsid w:val="007A54C8"/>
    <w:rsid w:val="007A7DEA"/>
    <w:rsid w:val="007B2F52"/>
    <w:rsid w:val="007B369E"/>
    <w:rsid w:val="007B3F9B"/>
    <w:rsid w:val="007B4394"/>
    <w:rsid w:val="007B6696"/>
    <w:rsid w:val="007B73F7"/>
    <w:rsid w:val="007C228E"/>
    <w:rsid w:val="007C295D"/>
    <w:rsid w:val="007C4D1D"/>
    <w:rsid w:val="007C720B"/>
    <w:rsid w:val="007D61CE"/>
    <w:rsid w:val="007D6345"/>
    <w:rsid w:val="007D6BAC"/>
    <w:rsid w:val="007E225A"/>
    <w:rsid w:val="007E79B8"/>
    <w:rsid w:val="007F1DF1"/>
    <w:rsid w:val="007F2076"/>
    <w:rsid w:val="007F52A4"/>
    <w:rsid w:val="00801E38"/>
    <w:rsid w:val="0080201D"/>
    <w:rsid w:val="00803930"/>
    <w:rsid w:val="00805FD3"/>
    <w:rsid w:val="008077B1"/>
    <w:rsid w:val="00811329"/>
    <w:rsid w:val="00814BF6"/>
    <w:rsid w:val="00817D93"/>
    <w:rsid w:val="00822F76"/>
    <w:rsid w:val="008233F9"/>
    <w:rsid w:val="00824CB3"/>
    <w:rsid w:val="00832A46"/>
    <w:rsid w:val="0083498C"/>
    <w:rsid w:val="00837DA2"/>
    <w:rsid w:val="00842F3E"/>
    <w:rsid w:val="0084304C"/>
    <w:rsid w:val="0084428D"/>
    <w:rsid w:val="00846DE2"/>
    <w:rsid w:val="00851754"/>
    <w:rsid w:val="00853540"/>
    <w:rsid w:val="00856292"/>
    <w:rsid w:val="00856B12"/>
    <w:rsid w:val="0086732A"/>
    <w:rsid w:val="00867660"/>
    <w:rsid w:val="00877E4B"/>
    <w:rsid w:val="00884B8E"/>
    <w:rsid w:val="00886D0D"/>
    <w:rsid w:val="00890767"/>
    <w:rsid w:val="008945A0"/>
    <w:rsid w:val="0089526A"/>
    <w:rsid w:val="0089596B"/>
    <w:rsid w:val="008A205C"/>
    <w:rsid w:val="008A3CD7"/>
    <w:rsid w:val="008A6915"/>
    <w:rsid w:val="008A742A"/>
    <w:rsid w:val="008A777B"/>
    <w:rsid w:val="008B0100"/>
    <w:rsid w:val="008B3753"/>
    <w:rsid w:val="008B3CE5"/>
    <w:rsid w:val="008B7E38"/>
    <w:rsid w:val="008C21BC"/>
    <w:rsid w:val="008C3988"/>
    <w:rsid w:val="008C4D76"/>
    <w:rsid w:val="008C5A10"/>
    <w:rsid w:val="008D31C4"/>
    <w:rsid w:val="008D6086"/>
    <w:rsid w:val="008E22A5"/>
    <w:rsid w:val="008E44DA"/>
    <w:rsid w:val="008F5CB7"/>
    <w:rsid w:val="008F78C2"/>
    <w:rsid w:val="00900242"/>
    <w:rsid w:val="00903F9B"/>
    <w:rsid w:val="00904A2F"/>
    <w:rsid w:val="00911985"/>
    <w:rsid w:val="009126B6"/>
    <w:rsid w:val="009141CC"/>
    <w:rsid w:val="00914FDC"/>
    <w:rsid w:val="009161B3"/>
    <w:rsid w:val="0092173B"/>
    <w:rsid w:val="009234D2"/>
    <w:rsid w:val="0092520E"/>
    <w:rsid w:val="009274F6"/>
    <w:rsid w:val="00930B80"/>
    <w:rsid w:val="009361FD"/>
    <w:rsid w:val="0094031A"/>
    <w:rsid w:val="00940580"/>
    <w:rsid w:val="009426E2"/>
    <w:rsid w:val="00944AD1"/>
    <w:rsid w:val="00952ABD"/>
    <w:rsid w:val="00953709"/>
    <w:rsid w:val="0095791C"/>
    <w:rsid w:val="009600D7"/>
    <w:rsid w:val="00960665"/>
    <w:rsid w:val="00960AEF"/>
    <w:rsid w:val="00960ECE"/>
    <w:rsid w:val="00962CB6"/>
    <w:rsid w:val="00963959"/>
    <w:rsid w:val="00963C9F"/>
    <w:rsid w:val="00965B95"/>
    <w:rsid w:val="00970919"/>
    <w:rsid w:val="00977A9D"/>
    <w:rsid w:val="00980922"/>
    <w:rsid w:val="00981A21"/>
    <w:rsid w:val="009904A8"/>
    <w:rsid w:val="00992207"/>
    <w:rsid w:val="00995DF9"/>
    <w:rsid w:val="009A08B5"/>
    <w:rsid w:val="009A1B49"/>
    <w:rsid w:val="009A2C9D"/>
    <w:rsid w:val="009B2A9B"/>
    <w:rsid w:val="009B49E3"/>
    <w:rsid w:val="009B6E0C"/>
    <w:rsid w:val="009C0835"/>
    <w:rsid w:val="009C175E"/>
    <w:rsid w:val="009C2053"/>
    <w:rsid w:val="009C4EB3"/>
    <w:rsid w:val="009D2B8A"/>
    <w:rsid w:val="009D3146"/>
    <w:rsid w:val="009D62A1"/>
    <w:rsid w:val="009D6963"/>
    <w:rsid w:val="009D7A69"/>
    <w:rsid w:val="009E0383"/>
    <w:rsid w:val="009E37EF"/>
    <w:rsid w:val="009F0CD1"/>
    <w:rsid w:val="009F4D12"/>
    <w:rsid w:val="009F51BE"/>
    <w:rsid w:val="00A1252B"/>
    <w:rsid w:val="00A1263E"/>
    <w:rsid w:val="00A129F0"/>
    <w:rsid w:val="00A20F18"/>
    <w:rsid w:val="00A2587B"/>
    <w:rsid w:val="00A314BE"/>
    <w:rsid w:val="00A31584"/>
    <w:rsid w:val="00A315D9"/>
    <w:rsid w:val="00A3218C"/>
    <w:rsid w:val="00A34BA9"/>
    <w:rsid w:val="00A34D89"/>
    <w:rsid w:val="00A35D5D"/>
    <w:rsid w:val="00A43DA5"/>
    <w:rsid w:val="00A51FC5"/>
    <w:rsid w:val="00A57BDC"/>
    <w:rsid w:val="00A619C3"/>
    <w:rsid w:val="00A623CF"/>
    <w:rsid w:val="00A6253C"/>
    <w:rsid w:val="00A62EFD"/>
    <w:rsid w:val="00A6325C"/>
    <w:rsid w:val="00A643DF"/>
    <w:rsid w:val="00A71D8D"/>
    <w:rsid w:val="00A72EE3"/>
    <w:rsid w:val="00A73773"/>
    <w:rsid w:val="00A73D41"/>
    <w:rsid w:val="00A77235"/>
    <w:rsid w:val="00A80008"/>
    <w:rsid w:val="00A83FB5"/>
    <w:rsid w:val="00A85F00"/>
    <w:rsid w:val="00A86DC6"/>
    <w:rsid w:val="00A86EEB"/>
    <w:rsid w:val="00A870DB"/>
    <w:rsid w:val="00A92CF2"/>
    <w:rsid w:val="00A92F69"/>
    <w:rsid w:val="00A934BF"/>
    <w:rsid w:val="00A93D4E"/>
    <w:rsid w:val="00A94B0A"/>
    <w:rsid w:val="00A9684E"/>
    <w:rsid w:val="00AA01B8"/>
    <w:rsid w:val="00AA1A1D"/>
    <w:rsid w:val="00AA37DF"/>
    <w:rsid w:val="00AA396D"/>
    <w:rsid w:val="00AA3B86"/>
    <w:rsid w:val="00AB0D40"/>
    <w:rsid w:val="00AB1D88"/>
    <w:rsid w:val="00AB25E7"/>
    <w:rsid w:val="00AB34EA"/>
    <w:rsid w:val="00AB4A16"/>
    <w:rsid w:val="00AC6114"/>
    <w:rsid w:val="00AC73C9"/>
    <w:rsid w:val="00AD2F16"/>
    <w:rsid w:val="00AD37E3"/>
    <w:rsid w:val="00AD4B89"/>
    <w:rsid w:val="00AD6B1F"/>
    <w:rsid w:val="00AE2D33"/>
    <w:rsid w:val="00AE6F6D"/>
    <w:rsid w:val="00AF0FF4"/>
    <w:rsid w:val="00AF1069"/>
    <w:rsid w:val="00AF6E8D"/>
    <w:rsid w:val="00AF7022"/>
    <w:rsid w:val="00AF746B"/>
    <w:rsid w:val="00B029B0"/>
    <w:rsid w:val="00B060F1"/>
    <w:rsid w:val="00B06575"/>
    <w:rsid w:val="00B1034E"/>
    <w:rsid w:val="00B10A2A"/>
    <w:rsid w:val="00B13EDD"/>
    <w:rsid w:val="00B15CCC"/>
    <w:rsid w:val="00B21396"/>
    <w:rsid w:val="00B21CBA"/>
    <w:rsid w:val="00B2538D"/>
    <w:rsid w:val="00B2570F"/>
    <w:rsid w:val="00B312C3"/>
    <w:rsid w:val="00B322D1"/>
    <w:rsid w:val="00B34D7F"/>
    <w:rsid w:val="00B53BF4"/>
    <w:rsid w:val="00B543B2"/>
    <w:rsid w:val="00B57F64"/>
    <w:rsid w:val="00B63475"/>
    <w:rsid w:val="00B63D66"/>
    <w:rsid w:val="00B64253"/>
    <w:rsid w:val="00B70F22"/>
    <w:rsid w:val="00B74ECD"/>
    <w:rsid w:val="00B815A7"/>
    <w:rsid w:val="00B9057A"/>
    <w:rsid w:val="00B92005"/>
    <w:rsid w:val="00B94D2B"/>
    <w:rsid w:val="00B966FD"/>
    <w:rsid w:val="00BA00B7"/>
    <w:rsid w:val="00BA1401"/>
    <w:rsid w:val="00BA2723"/>
    <w:rsid w:val="00BA2A4D"/>
    <w:rsid w:val="00BA2F76"/>
    <w:rsid w:val="00BA3D80"/>
    <w:rsid w:val="00BA4D91"/>
    <w:rsid w:val="00BA6874"/>
    <w:rsid w:val="00BB1D55"/>
    <w:rsid w:val="00BB2FBB"/>
    <w:rsid w:val="00BB4297"/>
    <w:rsid w:val="00BB7E26"/>
    <w:rsid w:val="00BC1722"/>
    <w:rsid w:val="00BC2A57"/>
    <w:rsid w:val="00BC2AB1"/>
    <w:rsid w:val="00BC3F2C"/>
    <w:rsid w:val="00BC6A53"/>
    <w:rsid w:val="00BD3C09"/>
    <w:rsid w:val="00BD3FBE"/>
    <w:rsid w:val="00BD476D"/>
    <w:rsid w:val="00BD5F8B"/>
    <w:rsid w:val="00BD723D"/>
    <w:rsid w:val="00BE70E3"/>
    <w:rsid w:val="00BF13DF"/>
    <w:rsid w:val="00BF14F5"/>
    <w:rsid w:val="00BF254E"/>
    <w:rsid w:val="00BF68CA"/>
    <w:rsid w:val="00C044BA"/>
    <w:rsid w:val="00C069DA"/>
    <w:rsid w:val="00C146D4"/>
    <w:rsid w:val="00C16422"/>
    <w:rsid w:val="00C16972"/>
    <w:rsid w:val="00C20019"/>
    <w:rsid w:val="00C21AE7"/>
    <w:rsid w:val="00C22A02"/>
    <w:rsid w:val="00C23216"/>
    <w:rsid w:val="00C24386"/>
    <w:rsid w:val="00C26852"/>
    <w:rsid w:val="00C270A6"/>
    <w:rsid w:val="00C345D5"/>
    <w:rsid w:val="00C35F3B"/>
    <w:rsid w:val="00C41534"/>
    <w:rsid w:val="00C41D8C"/>
    <w:rsid w:val="00C41E62"/>
    <w:rsid w:val="00C43D24"/>
    <w:rsid w:val="00C47355"/>
    <w:rsid w:val="00C52A64"/>
    <w:rsid w:val="00C613F0"/>
    <w:rsid w:val="00C621A7"/>
    <w:rsid w:val="00C62F40"/>
    <w:rsid w:val="00C63022"/>
    <w:rsid w:val="00C67166"/>
    <w:rsid w:val="00C704F1"/>
    <w:rsid w:val="00C7183F"/>
    <w:rsid w:val="00C77BED"/>
    <w:rsid w:val="00C81B7B"/>
    <w:rsid w:val="00C85300"/>
    <w:rsid w:val="00C9753A"/>
    <w:rsid w:val="00C97E20"/>
    <w:rsid w:val="00CA021C"/>
    <w:rsid w:val="00CA0F74"/>
    <w:rsid w:val="00CA2883"/>
    <w:rsid w:val="00CA438E"/>
    <w:rsid w:val="00CA4B57"/>
    <w:rsid w:val="00CA796F"/>
    <w:rsid w:val="00CB6D14"/>
    <w:rsid w:val="00CC03BA"/>
    <w:rsid w:val="00CC2B84"/>
    <w:rsid w:val="00CC2FC8"/>
    <w:rsid w:val="00CC7082"/>
    <w:rsid w:val="00CC74E3"/>
    <w:rsid w:val="00CD1412"/>
    <w:rsid w:val="00CD1F3F"/>
    <w:rsid w:val="00CD7FE3"/>
    <w:rsid w:val="00CE1812"/>
    <w:rsid w:val="00CE1ECE"/>
    <w:rsid w:val="00CE3555"/>
    <w:rsid w:val="00CE4239"/>
    <w:rsid w:val="00CF1F63"/>
    <w:rsid w:val="00CF3CE1"/>
    <w:rsid w:val="00CF3D67"/>
    <w:rsid w:val="00D0058B"/>
    <w:rsid w:val="00D00917"/>
    <w:rsid w:val="00D01F9E"/>
    <w:rsid w:val="00D06102"/>
    <w:rsid w:val="00D06B8C"/>
    <w:rsid w:val="00D11DFC"/>
    <w:rsid w:val="00D1318A"/>
    <w:rsid w:val="00D1324C"/>
    <w:rsid w:val="00D14A04"/>
    <w:rsid w:val="00D16F49"/>
    <w:rsid w:val="00D173D3"/>
    <w:rsid w:val="00D30ED2"/>
    <w:rsid w:val="00D3246F"/>
    <w:rsid w:val="00D3368C"/>
    <w:rsid w:val="00D33E95"/>
    <w:rsid w:val="00D342C8"/>
    <w:rsid w:val="00D35CC5"/>
    <w:rsid w:val="00D406B1"/>
    <w:rsid w:val="00D426B3"/>
    <w:rsid w:val="00D43207"/>
    <w:rsid w:val="00D43D94"/>
    <w:rsid w:val="00D45104"/>
    <w:rsid w:val="00D46153"/>
    <w:rsid w:val="00D50DD7"/>
    <w:rsid w:val="00D51461"/>
    <w:rsid w:val="00D524C8"/>
    <w:rsid w:val="00D54F7C"/>
    <w:rsid w:val="00D56559"/>
    <w:rsid w:val="00D678FC"/>
    <w:rsid w:val="00D738A4"/>
    <w:rsid w:val="00D74069"/>
    <w:rsid w:val="00D7599A"/>
    <w:rsid w:val="00D76AD8"/>
    <w:rsid w:val="00D803BA"/>
    <w:rsid w:val="00D83E58"/>
    <w:rsid w:val="00D91AF1"/>
    <w:rsid w:val="00D92361"/>
    <w:rsid w:val="00D941BE"/>
    <w:rsid w:val="00D966FE"/>
    <w:rsid w:val="00D97732"/>
    <w:rsid w:val="00DA144F"/>
    <w:rsid w:val="00DA3A1E"/>
    <w:rsid w:val="00DA705D"/>
    <w:rsid w:val="00DB35A7"/>
    <w:rsid w:val="00DB45D8"/>
    <w:rsid w:val="00DB7D81"/>
    <w:rsid w:val="00DB7EB4"/>
    <w:rsid w:val="00DC3EE9"/>
    <w:rsid w:val="00DC4A78"/>
    <w:rsid w:val="00DC52AA"/>
    <w:rsid w:val="00DC6B37"/>
    <w:rsid w:val="00DC78E6"/>
    <w:rsid w:val="00DE28A8"/>
    <w:rsid w:val="00DE5322"/>
    <w:rsid w:val="00DE62F6"/>
    <w:rsid w:val="00DE7AC1"/>
    <w:rsid w:val="00DF1701"/>
    <w:rsid w:val="00DF26D8"/>
    <w:rsid w:val="00DF3DC7"/>
    <w:rsid w:val="00DF717E"/>
    <w:rsid w:val="00E02CBE"/>
    <w:rsid w:val="00E0378D"/>
    <w:rsid w:val="00E046E1"/>
    <w:rsid w:val="00E1010F"/>
    <w:rsid w:val="00E109CD"/>
    <w:rsid w:val="00E10A94"/>
    <w:rsid w:val="00E12270"/>
    <w:rsid w:val="00E15C7F"/>
    <w:rsid w:val="00E1684C"/>
    <w:rsid w:val="00E17360"/>
    <w:rsid w:val="00E20DAA"/>
    <w:rsid w:val="00E21360"/>
    <w:rsid w:val="00E232B3"/>
    <w:rsid w:val="00E24C9D"/>
    <w:rsid w:val="00E24E37"/>
    <w:rsid w:val="00E412E6"/>
    <w:rsid w:val="00E4181A"/>
    <w:rsid w:val="00E52B30"/>
    <w:rsid w:val="00E53A95"/>
    <w:rsid w:val="00E55823"/>
    <w:rsid w:val="00E61958"/>
    <w:rsid w:val="00E631CC"/>
    <w:rsid w:val="00E65C64"/>
    <w:rsid w:val="00E662B4"/>
    <w:rsid w:val="00E708C8"/>
    <w:rsid w:val="00E72337"/>
    <w:rsid w:val="00E730FA"/>
    <w:rsid w:val="00E750F5"/>
    <w:rsid w:val="00E81446"/>
    <w:rsid w:val="00E81498"/>
    <w:rsid w:val="00E8324E"/>
    <w:rsid w:val="00E85B2C"/>
    <w:rsid w:val="00E8748E"/>
    <w:rsid w:val="00E906AB"/>
    <w:rsid w:val="00EA0CF0"/>
    <w:rsid w:val="00EA3C83"/>
    <w:rsid w:val="00EA400D"/>
    <w:rsid w:val="00EA4E3B"/>
    <w:rsid w:val="00EA6DE8"/>
    <w:rsid w:val="00EB049C"/>
    <w:rsid w:val="00EB3225"/>
    <w:rsid w:val="00EB446F"/>
    <w:rsid w:val="00EB47EE"/>
    <w:rsid w:val="00EC117A"/>
    <w:rsid w:val="00EC6407"/>
    <w:rsid w:val="00EE1E2A"/>
    <w:rsid w:val="00EE397C"/>
    <w:rsid w:val="00EE3FC2"/>
    <w:rsid w:val="00EE66CA"/>
    <w:rsid w:val="00EF1F20"/>
    <w:rsid w:val="00EF4EC8"/>
    <w:rsid w:val="00F01A39"/>
    <w:rsid w:val="00F10440"/>
    <w:rsid w:val="00F157E1"/>
    <w:rsid w:val="00F2346F"/>
    <w:rsid w:val="00F24044"/>
    <w:rsid w:val="00F243A9"/>
    <w:rsid w:val="00F26583"/>
    <w:rsid w:val="00F305FB"/>
    <w:rsid w:val="00F31E93"/>
    <w:rsid w:val="00F35179"/>
    <w:rsid w:val="00F4196F"/>
    <w:rsid w:val="00F419D5"/>
    <w:rsid w:val="00F41D3E"/>
    <w:rsid w:val="00F43A1B"/>
    <w:rsid w:val="00F45FBE"/>
    <w:rsid w:val="00F475DC"/>
    <w:rsid w:val="00F527B8"/>
    <w:rsid w:val="00F611B2"/>
    <w:rsid w:val="00F62C08"/>
    <w:rsid w:val="00F63C6F"/>
    <w:rsid w:val="00F64F70"/>
    <w:rsid w:val="00F658D9"/>
    <w:rsid w:val="00F66363"/>
    <w:rsid w:val="00F67095"/>
    <w:rsid w:val="00F758C3"/>
    <w:rsid w:val="00F81656"/>
    <w:rsid w:val="00F827A7"/>
    <w:rsid w:val="00F859A3"/>
    <w:rsid w:val="00F861A1"/>
    <w:rsid w:val="00F90965"/>
    <w:rsid w:val="00F90995"/>
    <w:rsid w:val="00F91F4F"/>
    <w:rsid w:val="00F94E8D"/>
    <w:rsid w:val="00F95BED"/>
    <w:rsid w:val="00F961AD"/>
    <w:rsid w:val="00F967AD"/>
    <w:rsid w:val="00F96DB5"/>
    <w:rsid w:val="00FA085B"/>
    <w:rsid w:val="00FA201D"/>
    <w:rsid w:val="00FA6CF7"/>
    <w:rsid w:val="00FB16FF"/>
    <w:rsid w:val="00FB5968"/>
    <w:rsid w:val="00FB62A6"/>
    <w:rsid w:val="00FB7B35"/>
    <w:rsid w:val="00FD4E6B"/>
    <w:rsid w:val="00FD544B"/>
    <w:rsid w:val="00FD5D08"/>
    <w:rsid w:val="00FE4045"/>
    <w:rsid w:val="00FE430A"/>
    <w:rsid w:val="00FE4AE0"/>
    <w:rsid w:val="00FF0E77"/>
    <w:rsid w:val="00FF1DB0"/>
    <w:rsid w:val="00FF2DB4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34F3D9"/>
  <w15:chartTrackingRefBased/>
  <w15:docId w15:val="{CE973AAA-CA11-45A6-A172-B31C7B3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01"/>
    <w:pPr>
      <w:spacing w:after="120" w:line="276" w:lineRule="auto"/>
    </w:pPr>
    <w:rPr>
      <w:rFonts w:ascii="Calibri" w:eastAsia="Calibri" w:hAnsi="Calibri" w:cs="Times New Roman"/>
      <w:color w:val="00000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A1401"/>
    <w:pPr>
      <w:keepNext/>
      <w:jc w:val="center"/>
      <w:outlineLvl w:val="0"/>
    </w:pPr>
    <w:rPr>
      <w:rFonts w:ascii="Arial" w:eastAsia="PMingLiU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22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0E83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ria,h"/>
    <w:basedOn w:val="Normal"/>
    <w:link w:val="Encabezado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maria Car,h Car"/>
    <w:basedOn w:val="Fuentedeprrafopredeter"/>
    <w:link w:val="Encabezado"/>
    <w:uiPriority w:val="99"/>
    <w:rsid w:val="00BA1401"/>
  </w:style>
  <w:style w:type="paragraph" w:styleId="Piedepgina">
    <w:name w:val="footer"/>
    <w:basedOn w:val="Normal"/>
    <w:link w:val="Piedepgina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01"/>
  </w:style>
  <w:style w:type="character" w:customStyle="1" w:styleId="Ttulo1Car">
    <w:name w:val="Título 1 Car"/>
    <w:basedOn w:val="Fuentedeprrafopredeter"/>
    <w:link w:val="Ttulo1"/>
    <w:rsid w:val="00BA1401"/>
    <w:rPr>
      <w:rFonts w:ascii="Arial" w:eastAsia="PMingLiU" w:hAnsi="Arial" w:cs="Arial"/>
      <w:b/>
      <w:bCs/>
      <w:sz w:val="24"/>
      <w:szCs w:val="24"/>
      <w:lang w:val="es-ES" w:eastAsia="es-ES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SCap1,TITULO,de"/>
    <w:basedOn w:val="Normal"/>
    <w:link w:val="PrrafodelistaCar"/>
    <w:uiPriority w:val="34"/>
    <w:qFormat/>
    <w:rsid w:val="00BA1401"/>
    <w:pPr>
      <w:ind w:left="720"/>
      <w:contextualSpacing/>
    </w:p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basedOn w:val="Fuentedeprrafopredeter"/>
    <w:link w:val="Prrafodelista"/>
    <w:uiPriority w:val="34"/>
    <w:qFormat/>
    <w:rsid w:val="00BA140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A1401"/>
    <w:pPr>
      <w:ind w:left="283"/>
    </w:pPr>
    <w:rPr>
      <w:sz w:val="16"/>
      <w:szCs w:val="16"/>
      <w:lang w:val="es-P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A1401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58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58D9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Standard">
    <w:name w:val="Standard"/>
    <w:rsid w:val="008B375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B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E750F5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750F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A968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E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customStyle="1" w:styleId="texto">
    <w:name w:val="texto"/>
    <w:basedOn w:val="Normal"/>
    <w:link w:val="textoCar2"/>
    <w:autoRedefine/>
    <w:qFormat/>
    <w:rsid w:val="003F0E83"/>
    <w:pPr>
      <w:jc w:val="center"/>
    </w:pPr>
    <w:rPr>
      <w:rFonts w:ascii="Arial" w:hAnsi="Arial" w:cs="Arial"/>
      <w:sz w:val="16"/>
      <w:szCs w:val="16"/>
      <w:lang w:eastAsia="x-none"/>
    </w:rPr>
  </w:style>
  <w:style w:type="character" w:customStyle="1" w:styleId="textoCar2">
    <w:name w:val="texto Car2"/>
    <w:link w:val="texto"/>
    <w:rsid w:val="003F0E83"/>
    <w:rPr>
      <w:rFonts w:ascii="Arial" w:eastAsia="Times New Roman" w:hAnsi="Arial" w:cs="Arial"/>
      <w:sz w:val="16"/>
      <w:szCs w:val="16"/>
      <w:lang w:val="es-ES" w:eastAsia="x-none"/>
    </w:rPr>
  </w:style>
  <w:style w:type="table" w:styleId="Tablanormal4">
    <w:name w:val="Plain Table 4"/>
    <w:basedOn w:val="Tablanormal"/>
    <w:uiPriority w:val="44"/>
    <w:rsid w:val="000D52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42F3E"/>
    <w:pPr>
      <w:spacing w:before="100" w:beforeAutospacing="1" w:after="100" w:afterAutospacing="1"/>
    </w:pPr>
    <w:rPr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322D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customStyle="1" w:styleId="Table">
    <w:name w:val="Table"/>
    <w:semiHidden/>
    <w:unhideWhenUsed/>
    <w:qFormat/>
    <w:rsid w:val="00B322D1"/>
    <w:pPr>
      <w:spacing w:after="200" w:line="240" w:lineRule="auto"/>
    </w:pPr>
    <w:rPr>
      <w:rFonts w:ascii="Calibri" w:hAnsi="Calibri"/>
      <w:sz w:val="18"/>
      <w:szCs w:val="20"/>
      <w:lang w:eastAsia="es-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B612-1DA7-4DE4-B8EF-87C85A250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1908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Paolo De la calle</cp:lastModifiedBy>
  <cp:revision>8</cp:revision>
  <cp:lastPrinted>2026-08-19T21:08:00Z</cp:lastPrinted>
  <dcterms:created xsi:type="dcterms:W3CDTF">2026-07-23T14:48:00Z</dcterms:created>
  <dcterms:modified xsi:type="dcterms:W3CDTF">2026-08-19T21:15:00Z</dcterms:modified>
</cp:coreProperties>
</file>