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hdphoto1.wdp" ContentType="image/vnd.ms-photo"/>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spacing w:before="120" w:after="120"/>
        <w:ind w:left="720" w:right="720" w:hanging="0"/>
        <w:jc w:val="left"/>
        <w:rPr/>
      </w:pPr>
      <w:r>
        <w:rPr/>
        <mc:AlternateContent>
          <mc:Choice Requires="wpg">
            <w:drawing>
              <wp:anchor behindDoc="1" distT="0" distB="0" distL="0" distR="0" simplePos="0" locked="0" layoutInCell="0" allowOverlap="1" relativeHeight="4" wp14:anchorId="032D208B">
                <wp:simplePos x="0" y="0"/>
                <wp:positionH relativeFrom="page">
                  <wp:align>left</wp:align>
                </wp:positionH>
                <wp:positionV relativeFrom="paragraph">
                  <wp:posOffset>-457200</wp:posOffset>
                </wp:positionV>
                <wp:extent cx="8247380" cy="2339975"/>
                <wp:effectExtent l="0" t="0" r="0" b="0"/>
                <wp:wrapNone/>
                <wp:docPr id="1" name="Graphique 17"/>
                <a:graphic xmlns:a="http://schemas.openxmlformats.org/drawingml/2006/main">
                  <a:graphicData uri="http://schemas.microsoft.com/office/word/2010/wordprocessingGroup">
                    <wpg:wgp>
                      <wpg:cNvGrpSpPr/>
                      <wpg:grpSpPr>
                        <a:xfrm>
                          <a:off x="0" y="0"/>
                          <a:ext cx="8247240" cy="2340000"/>
                          <a:chOff x="0" y="0"/>
                          <a:chExt cx="8247240" cy="2340000"/>
                        </a:xfrm>
                      </wpg:grpSpPr>
                      <wps:wsp>
                        <wps:cNvSpPr/>
                        <wps:spPr>
                          <a:xfrm>
                            <a:off x="2923560" y="0"/>
                            <a:ext cx="5323680" cy="2143080"/>
                          </a:xfrm>
                          <a:custGeom>
                            <a:avLst/>
                            <a:gdLst/>
                            <a:ah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a:noFill/>
                          </a:ln>
                        </wps:spPr>
                        <wps:style>
                          <a:lnRef idx="0"/>
                          <a:fillRef idx="0"/>
                          <a:effectRef idx="0"/>
                          <a:fontRef idx="minor"/>
                        </wps:style>
                        <wps:bodyPr/>
                      </wps:wsp>
                      <wps:wsp>
                        <wps:cNvSpPr/>
                        <wps:spPr>
                          <a:xfrm>
                            <a:off x="0" y="0"/>
                            <a:ext cx="8241120" cy="2340000"/>
                          </a:xfrm>
                          <a:custGeom>
                            <a:avLst/>
                            <a:gdLst/>
                            <a:ah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a:noFill/>
                          </a:ln>
                        </wps:spPr>
                        <wps:style>
                          <a:lnRef idx="0"/>
                          <a:fillRef idx="0"/>
                          <a:effectRef idx="0"/>
                          <a:fontRef idx="minor"/>
                        </wps:style>
                        <wps:bodyPr/>
                      </wps:wsp>
                      <wps:wsp>
                        <wps:cNvSpPr/>
                        <wps:spPr>
                          <a:xfrm>
                            <a:off x="0" y="0"/>
                            <a:ext cx="8241120" cy="1099800"/>
                          </a:xfrm>
                          <a:custGeom>
                            <a:avLst/>
                            <a:gdLst/>
                            <a:ah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0">
                            <a:gsLst>
                              <a:gs pos="0">
                                <a:schemeClr val="accent1"/>
                              </a:gs>
                              <a:gs pos="100000">
                                <a:schemeClr val="accent1">
                                  <a:lumMod val="60000"/>
                                  <a:lumOff val="40000"/>
                                </a:schemeClr>
                              </a:gs>
                            </a:gsLst>
                            <a:lin ang="0"/>
                          </a:gradFill>
                          <a:ln w="9525">
                            <a:noFill/>
                          </a:ln>
                        </wps:spPr>
                        <wps:style>
                          <a:lnRef idx="0"/>
                          <a:fillRef idx="0"/>
                          <a:effectRef idx="0"/>
                          <a:fontRef idx="minor"/>
                        </wps:style>
                        <wps:bodyPr/>
                      </wps:wsp>
                      <wps:wsp>
                        <wps:cNvSpPr/>
                        <wps:spPr>
                          <a:xfrm>
                            <a:off x="4371840" y="1132920"/>
                            <a:ext cx="3871080" cy="1007280"/>
                          </a:xfrm>
                          <a:custGeom>
                            <a:avLst/>
                            <a:gdLst/>
                            <a:ah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rotWithShape="0">
                            <a:gsLst>
                              <a:gs pos="0">
                                <a:schemeClr val="accent2"/>
                              </a:gs>
                              <a:gs pos="100000">
                                <a:schemeClr val="accent2">
                                  <a:lumMod val="75000"/>
                                </a:schemeClr>
                              </a:gs>
                            </a:gsLst>
                            <a:lin ang="0"/>
                          </a:gradFill>
                          <a:ln w="9525">
                            <a:noFill/>
                          </a:ln>
                        </wps:spPr>
                        <wps:style>
                          <a:lnRef idx="0"/>
                          <a:fillRef idx="0"/>
                          <a:effectRef idx="0"/>
                          <a:fontRef idx="minor"/>
                        </wps:style>
                        <wps:bodyPr/>
                      </wps:wsp>
                    </wpg:wgp>
                  </a:graphicData>
                </a:graphic>
              </wp:anchor>
            </w:drawing>
          </mc:Choice>
          <mc:Fallback>
            <w:pict>
              <v:group id="shape_0" alt="Graphique 17" style="position:absolute;margin-left:0pt;margin-top:-36pt;width:649.4pt;height:184.25pt" coordorigin="0,-720" coordsize="12988,3685"/>
            </w:pict>
          </mc:Fallback>
        </mc:AlternateContent>
      </w:r>
    </w:p>
    <w:tbl>
      <w:tblPr>
        <w:tblW w:w="5000" w:type="pct"/>
        <w:jc w:val="center"/>
        <w:tblInd w:w="0" w:type="dxa"/>
        <w:tblLayout w:type="fixed"/>
        <w:tblCellMar>
          <w:top w:w="0" w:type="dxa"/>
          <w:left w:w="0" w:type="dxa"/>
          <w:bottom w:w="0" w:type="dxa"/>
          <w:right w:w="0" w:type="dxa"/>
        </w:tblCellMar>
        <w:tblLook w:val="0600" w:noHBand="1" w:noVBand="1" w:firstColumn="0" w:lastRow="0" w:lastColumn="0" w:firstRow="0"/>
      </w:tblPr>
      <w:tblGrid>
        <w:gridCol w:w="10466"/>
      </w:tblGrid>
      <w:tr>
        <w:trPr>
          <w:trHeight w:val="270" w:hRule="atLeast"/>
        </w:trPr>
        <w:tc>
          <w:tcPr>
            <w:tcW w:w="10466" w:type="dxa"/>
            <w:tcBorders/>
            <w:shd w:color="auto" w:fill="auto" w:val="clear"/>
          </w:tcPr>
          <w:p>
            <w:pPr>
              <w:pStyle w:val="Titreprincipal"/>
              <w:widowControl w:val="false"/>
              <w:rPr>
                <w:color w:val="FFFFFF" w:themeColor="background1" w:themeTint="a6"/>
                <w:shd w:fill="auto" w:val="clear"/>
                <w14:textFill>
                  <w14:solidFill>
                    <w14:schemeClr w14:val="bg1">
                      <w14:lumMod w14:val="65000"/>
                      <w14:lumOff w14:val="35000"/>
                      <w14:lumMod w14:val="65000"/>
                      <w14:lumOff w14:val="35000"/>
                    </w14:schemeClr>
                  </w14:solidFill>
                </w14:textFill>
              </w:rPr>
            </w:pPr>
            <w:r>
              <w:rPr>
                <w:color w:val="FFFFFF" w:themeColor="background1" w:themeTint="a6"/>
                <w:shd w:fill="auto" w:val="clear"/>
                <w14:textFill>
                  <w14:solidFill>
                    <w14:schemeClr w14:val="bg1">
                      <w14:lumMod w14:val="65000"/>
                      <w14:lumOff w14:val="35000"/>
                      <w14:lumMod w14:val="65000"/>
                      <w14:lumOff w14:val="35000"/>
                    </w14:schemeClr>
                  </w14:solidFill>
                </w14:textFill>
              </w:rPr>
              <w:t>R2.15 – Initiation à l’analyse de données</w:t>
            </w:r>
          </w:p>
        </w:tc>
      </w:tr>
      <w:tr>
        <w:trPr>
          <w:trHeight w:val="1823" w:hRule="atLeast"/>
        </w:trPr>
        <w:tc>
          <w:tcPr>
            <w:tcW w:w="10466" w:type="dxa"/>
            <w:tcBorders/>
            <w:shd w:color="auto" w:fill="auto" w:val="clear"/>
            <w:vAlign w:val="bottom"/>
          </w:tcPr>
          <w:p>
            <w:pPr>
              <w:pStyle w:val="Coordonnes"/>
              <w:widowControl w:val="false"/>
              <w:spacing w:before="0" w:after="240"/>
              <w:ind w:left="709" w:right="720" w:hanging="0"/>
              <w:rPr>
                <w:sz w:val="28"/>
                <w:szCs w:val="22"/>
                <w:shd w:fill="auto" w:val="clear"/>
              </w:rPr>
            </w:pPr>
            <w:r>
              <w:rPr>
                <w:sz w:val="28"/>
                <w:szCs w:val="22"/>
                <w:shd w:fill="auto" w:val="clear"/>
              </w:rPr>
              <w:t>BUT Informatique</w:t>
            </w:r>
          </w:p>
          <w:p>
            <w:pPr>
              <w:pStyle w:val="Coordonnes"/>
              <w:widowControl w:val="false"/>
              <w:ind w:left="709" w:right="720" w:hanging="0"/>
              <w:rPr>
                <w:shd w:fill="auto" w:val="clear"/>
              </w:rPr>
            </w:pPr>
            <w:r>
              <w:rPr/>
              <w:drawing>
                <wp:inline distT="0" distB="0" distL="0" distR="0">
                  <wp:extent cx="1493520" cy="581025"/>
                  <wp:effectExtent l="0" t="0" r="0" b="0"/>
                  <wp:docPr id="2"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descr=""/>
                          <pic:cNvPicPr>
                            <a:picLocks noChangeAspect="1" noChangeArrowheads="1"/>
                          </pic:cNvPicPr>
                        </pic:nvPicPr>
                        <pic:blipFill>
                          <a:blip r:embed="rId2"/>
                          <a:stretch>
                            <a:fillRect/>
                          </a:stretch>
                        </pic:blipFill>
                        <pic:spPr bwMode="auto">
                          <a:xfrm>
                            <a:off x="0" y="0"/>
                            <a:ext cx="1493520" cy="581025"/>
                          </a:xfrm>
                          <a:prstGeom prst="rect">
                            <a:avLst/>
                          </a:prstGeom>
                        </pic:spPr>
                      </pic:pic>
                    </a:graphicData>
                  </a:graphic>
                </wp:inline>
              </w:drawing>
            </w:r>
          </w:p>
          <w:p>
            <w:pPr>
              <w:pStyle w:val="Coordonnes"/>
              <w:widowControl w:val="false"/>
              <w:ind w:left="0" w:right="720" w:hanging="0"/>
              <w:rPr>
                <w:shd w:fill="auto" w:val="clear"/>
              </w:rPr>
            </w:pPr>
            <w:r>
              <w:rPr>
                <w:shd w:fill="auto" w:val="clear"/>
              </w:rPr>
            </w:r>
          </w:p>
          <w:p>
            <w:pPr>
              <w:pStyle w:val="Coordonnes"/>
              <w:widowControl w:val="false"/>
              <w:ind w:left="0" w:right="720" w:hanging="0"/>
              <w:rPr>
                <w:shd w:fill="auto" w:val="clear"/>
              </w:rPr>
            </w:pPr>
            <w:r>
              <w:rPr>
                <w:shd w:fill="auto" w:val="clear"/>
              </w:rPr>
            </w:r>
          </w:p>
        </w:tc>
      </w:tr>
    </w:tbl>
    <w:p>
      <w:pPr>
        <w:pStyle w:val="Titre1"/>
        <w:spacing w:before="240" w:after="240"/>
        <w:contextualSpacing/>
        <w:rPr>
          <w:sz w:val="36"/>
          <w:szCs w:val="28"/>
        </w:rPr>
      </w:pPr>
      <w:r>
        <w:rPr>
          <w:sz w:val="36"/>
          <w:szCs w:val="28"/>
        </w:rPr>
        <w:t>Activité #2 – Loi de Benford</w:t>
      </w:r>
    </w:p>
    <w:p>
      <w:pPr>
        <w:pStyle w:val="Normal"/>
        <w:rPr>
          <w:shd w:fill="auto" w:val="clear"/>
          <w:lang w:eastAsia="fr-FR"/>
        </w:rPr>
      </w:pPr>
      <w:r>
        <w:rPr>
          <w:shd w:fill="auto" w:val="clear"/>
          <w:lang w:eastAsia="fr-FR"/>
        </w:rPr>
        <w:t>Cette activité propose une initiation à l'analyse de données centrée sur la loi de Benford. Cette loi stipule que dans une liste de nombres, les chiffres initiaux suivent une distribution logarithmique, avec le chiffre 1 apparaissant plus fr</w:t>
      </w:r>
      <w:r>
        <w:rPr>
          <w:rFonts w:cs="Aptos"/>
          <w:shd w:fill="auto" w:val="clear"/>
          <w:lang w:eastAsia="fr-FR"/>
        </w:rPr>
        <w:t>é</w:t>
      </w:r>
      <w:r>
        <w:rPr>
          <w:shd w:fill="auto" w:val="clear"/>
          <w:lang w:eastAsia="fr-FR"/>
        </w:rPr>
        <w:t>quemment que les autres.</w:t>
      </w:r>
    </w:p>
    <w:p>
      <w:pPr>
        <w:pStyle w:val="Normal"/>
        <w:rPr>
          <w:shd w:fill="auto" w:val="clear"/>
          <w:lang w:eastAsia="fr-FR"/>
        </w:rPr>
      </w:pPr>
      <w:r>
        <w:rPr/>
        <w:t>Les applications pratiques de la loi de Benford sont nombreuses et diverses. Elles touchent, par exemple, le domaine de la détection des fraudes (comptables, électorales, scientifiques, …), la génomique (prédiction de la longueur maximale du génome), la cybersécurité (identification d’activités anormales), ou encore dans le cadre de l’étude de données environnementales.</w:t>
      </w:r>
    </w:p>
    <w:p>
      <w:pPr>
        <w:pStyle w:val="Normal"/>
        <w:spacing w:before="240" w:after="120"/>
        <w:rPr>
          <w:shd w:fill="auto" w:val="clear"/>
          <w:lang w:eastAsia="fr-FR"/>
        </w:rPr>
      </w:pPr>
      <w:r>
        <w:rPr>
          <w:shd w:fill="auto" w:val="clear"/>
          <w:lang w:eastAsia="fr-FR"/>
        </w:rPr>
        <w:t>L'activité est divisée en trois étapes :</w:t>
      </w:r>
    </w:p>
    <w:p>
      <w:pPr>
        <w:pStyle w:val="ListParagraph"/>
        <w:numPr>
          <w:ilvl w:val="0"/>
          <w:numId w:val="4"/>
        </w:numPr>
        <w:spacing w:before="120" w:after="120"/>
        <w:ind w:left="1434" w:right="720" w:hanging="357"/>
        <w:contextualSpacing w:val="false"/>
        <w:rPr>
          <w:shd w:fill="auto" w:val="clear"/>
          <w:lang w:eastAsia="fr-FR"/>
        </w:rPr>
      </w:pPr>
      <w:r>
        <w:rPr>
          <w:b/>
          <w:bCs/>
          <w:shd w:fill="auto" w:val="clear"/>
          <w:lang w:eastAsia="fr-FR"/>
        </w:rPr>
        <w:t>Code source utile </w:t>
      </w:r>
      <w:r>
        <w:rPr>
          <w:shd w:fill="auto" w:val="clear"/>
          <w:lang w:eastAsia="fr-FR"/>
        </w:rPr>
        <w:t>: Comprendre et utiliser des fonctions Python pour calculer les probabilités de la loi de Benford, extraire le premier chiffre significatif d'un nombre, compter les occurrences de ces chiffres et calculer leurs fréquences.</w:t>
      </w:r>
    </w:p>
    <w:p>
      <w:pPr>
        <w:pStyle w:val="ListParagraph"/>
        <w:numPr>
          <w:ilvl w:val="0"/>
          <w:numId w:val="4"/>
        </w:numPr>
        <w:spacing w:before="120" w:after="120"/>
        <w:ind w:left="1434" w:right="720" w:hanging="357"/>
        <w:contextualSpacing w:val="false"/>
        <w:rPr>
          <w:shd w:fill="auto" w:val="clear"/>
          <w:lang w:eastAsia="fr-FR"/>
        </w:rPr>
      </w:pPr>
      <w:r>
        <w:rPr>
          <w:b/>
          <w:bCs/>
          <w:shd w:fill="auto" w:val="clear"/>
          <w:lang w:eastAsia="fr-FR"/>
        </w:rPr>
        <w:t>Vérifications sur des données simulées </w:t>
      </w:r>
      <w:r>
        <w:rPr>
          <w:shd w:fill="auto" w:val="clear"/>
          <w:lang w:eastAsia="fr-FR"/>
        </w:rPr>
        <w:t xml:space="preserve">: Adapter un code source pour vérifier la loi de Benford sur des suites de nombres comme les puissances de 2, la suite de Fibonacci, et des nombres aléatoires. </w:t>
      </w:r>
      <w:r>
        <w:rPr>
          <w:rFonts w:cs="Arial" w:ascii="Arial" w:hAnsi="Arial"/>
          <w:shd w:fill="auto" w:val="clear"/>
          <w:lang w:eastAsia="fr-FR"/>
        </w:rPr>
        <w:t>​</w:t>
      </w:r>
    </w:p>
    <w:p>
      <w:pPr>
        <w:pStyle w:val="ListParagraph"/>
        <w:numPr>
          <w:ilvl w:val="0"/>
          <w:numId w:val="4"/>
        </w:numPr>
        <w:spacing w:before="120" w:after="120"/>
        <w:ind w:left="1434" w:right="720" w:hanging="357"/>
        <w:contextualSpacing w:val="false"/>
        <w:rPr>
          <w:shd w:fill="auto" w:val="clear"/>
          <w:lang w:eastAsia="fr-FR"/>
        </w:rPr>
      </w:pPr>
      <w:r>
        <w:rPr>
          <w:b/>
          <w:bCs/>
          <w:shd w:fill="auto" w:val="clear"/>
          <w:lang w:eastAsia="fr-FR"/>
        </w:rPr>
        <w:t>Application sur des données réelles </w:t>
      </w:r>
      <w:r>
        <w:rPr>
          <w:shd w:fill="auto" w:val="clear"/>
          <w:lang w:eastAsia="fr-FR"/>
        </w:rPr>
        <w:t>: Télécharger des données de population de l'INSEE, les analyser pour vérifier si elles suivent la loi de Benford, et séparer les données par sexe et par commune pour des analyses plus détaillées.</w:t>
      </w:r>
    </w:p>
    <w:p>
      <w:pPr>
        <w:pStyle w:val="Normal"/>
        <w:spacing w:before="240" w:after="120"/>
        <w:rPr>
          <w:shd w:fill="auto" w:val="clear"/>
          <w:lang w:eastAsia="fr-FR"/>
        </w:rPr>
      </w:pPr>
      <w:r>
        <w:rPr>
          <w:shd w:fill="auto" w:val="clear"/>
          <w:lang w:eastAsia="fr-FR"/>
        </w:rPr>
        <w:t>En supplément, cette activité inclut également des instructions pour télécharger et analyser d'autres jeux de données disponibles en ligne pour vérifier leur conformité à la loi de Benford.</w:t>
      </w:r>
    </w:p>
    <w:p>
      <w:pPr>
        <w:pStyle w:val="Normal"/>
        <w:spacing w:before="0" w:after="0"/>
        <w:ind w:left="0" w:right="0" w:hanging="0"/>
        <w:rPr/>
      </w:pPr>
      <w:r>
        <w:rPr/>
      </w:r>
      <w:r>
        <w:br w:type="page"/>
      </w:r>
    </w:p>
    <w:p>
      <w:pPr>
        <w:pStyle w:val="Titre2"/>
        <w:rPr/>
      </w:pPr>
      <w:r>
        <w:rPr/>
        <w:t>Loi de Benford</w:t>
      </w:r>
    </w:p>
    <w:p>
      <w:pPr>
        <w:pStyle w:val="Normal"/>
        <w:rPr/>
      </w:pPr>
      <w:r>
        <w:rPr/>
        <w:t xml:space="preserve">La loi de Benford prédit que statistiquement dans une liste de nombres donnés, la probabilité qu'un de ces nombres commence par le chiffre 1 est plus importante que celle qu'un nombre commence par le chiffre 9. Plus précisément la loi de Benford prédit que la probabilité </w:t>
      </w:r>
      <w:r>
        <w:rPr/>
      </w:r>
      <m:oMath xmlns:m="http://schemas.openxmlformats.org/officeDocument/2006/math">
        <m:sSub>
          <m:e>
            <m:r>
              <w:rPr>
                <w:rFonts w:ascii="Cambria Math" w:hAnsi="Cambria Math"/>
              </w:rPr>
              <m:t xml:space="preserve">p</m:t>
            </m:r>
          </m:e>
          <m:sub>
            <m:r>
              <w:rPr>
                <w:rFonts w:ascii="Cambria Math" w:hAnsi="Cambria Math"/>
              </w:rPr>
              <m:t xml:space="preserve">d</m:t>
            </m:r>
          </m:sub>
        </m:sSub>
      </m:oMath>
      <w:r>
        <w:rPr>
          <w:rFonts w:eastAsia="HGｺﾞｼｯｸE" w:eastAsiaTheme="minorEastAsia"/>
        </w:rPr>
        <w:t xml:space="preserve"> </w:t>
      </w:r>
      <w:r>
        <w:rPr/>
        <w:t xml:space="preserve">qu'un nombre commence par le chiffre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1,2,3</m:t>
            </m:r>
            <m:r>
              <w:rPr>
                <w:rFonts w:ascii="Cambria Math" w:hAnsi="Cambria Math"/>
              </w:rPr>
              <m:t xml:space="preserve">,</m:t>
            </m:r>
            <m:r>
              <w:rPr>
                <w:rFonts w:ascii="Cambria Math" w:hAnsi="Cambria Math"/>
              </w:rPr>
              <m:t xml:space="preserve">⋯</m:t>
            </m:r>
            <m:r>
              <w:rPr>
                <w:rFonts w:ascii="Cambria Math" w:hAnsi="Cambria Math"/>
              </w:rPr>
              <m:t xml:space="preserve">,9</m:t>
            </m:r>
          </m:e>
        </m:d>
      </m:oMath>
      <w:r>
        <w:rPr/>
        <w:t xml:space="preserve"> est :</w:t>
      </w:r>
    </w:p>
    <w:p>
      <w:pPr>
        <w:pStyle w:val="Normal"/>
        <w:jc w:val="center"/>
        <w:rPr>
          <w:vertAlign w:val="subscript"/>
        </w:rPr>
      </w:pPr>
      <w:r>
        <w:rPr/>
      </w:r>
      <m:oMathPara xmlns:m="http://schemas.openxmlformats.org/officeDocument/2006/math">
        <m:oMathParaPr>
          <m:jc m:val="center"/>
        </m:oMathParaPr>
        <m:oMath>
          <m:sSub>
            <m:e>
              <m:r>
                <w:rPr>
                  <w:rFonts w:ascii="Cambria Math" w:hAnsi="Cambria Math"/>
                </w:rPr>
                <m:t xml:space="preserve">p</m:t>
              </m:r>
            </m:e>
            <m:sub>
              <m:r>
                <w:rPr>
                  <w:rFonts w:ascii="Cambria Math" w:hAnsi="Cambria Math"/>
                </w:rPr>
                <m:t xml:space="preserve">d</m:t>
              </m:r>
            </m:sub>
          </m:sSub>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1</m:t>
                  </m:r>
                </m:num>
                <m:den>
                  <m:r>
                    <w:rPr>
                      <w:rFonts w:ascii="Cambria Math" w:hAnsi="Cambria Math"/>
                    </w:rPr>
                    <m:t xml:space="preserve">d</m:t>
                  </m:r>
                </m:den>
              </m:f>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d</m:t>
              </m:r>
              <m:r>
                <w:rPr>
                  <w:rFonts w:ascii="Cambria Math" w:hAnsi="Cambria Math"/>
                </w:rPr>
                <m:t xml:space="preserve">+</m:t>
              </m:r>
              <m:r>
                <w:rPr>
                  <w:rFonts w:ascii="Cambria Math" w:hAnsi="Cambria Math"/>
                </w:rPr>
                <m:t xml:space="preserve">1</m:t>
              </m:r>
            </m:e>
          </m:d>
          <m:r>
            <w:rPr>
              <w:rFonts w:ascii="Cambria Math" w:hAnsi="Cambria Math"/>
            </w:rPr>
            <m:t xml:space="preserve">−</m:t>
          </m:r>
          <m:sSub>
            <m:e>
              <m:r>
                <w:rPr>
                  <w:rFonts w:ascii="Cambria Math" w:hAnsi="Cambria Math"/>
                </w:rPr>
                <m:t xml:space="preserve">log</m:t>
              </m:r>
            </m:e>
            <m:sub>
              <m:r>
                <w:rPr>
                  <w:rFonts w:ascii="Cambria Math" w:hAnsi="Cambria Math"/>
                </w:rPr>
                <m:t xml:space="preserve">10</m:t>
              </m:r>
            </m:sub>
          </m:sSub>
          <m:d>
            <m:dPr>
              <m:begChr m:val="("/>
              <m:endChr m:val=")"/>
            </m:dPr>
            <m:e>
              <m:r>
                <w:rPr>
                  <w:rFonts w:ascii="Cambria Math" w:hAnsi="Cambria Math"/>
                </w:rPr>
                <m:t xml:space="preserve">d</m:t>
              </m:r>
            </m:e>
          </m:d>
        </m:oMath>
      </m:oMathPara>
    </w:p>
    <w:p>
      <w:pPr>
        <w:pStyle w:val="Normal"/>
        <w:jc w:val="center"/>
        <w:rPr/>
      </w:pPr>
      <w:r>
        <w:rPr/>
        <mc:AlternateContent>
          <mc:Choice Requires="wps">
            <w:drawing>
              <wp:inline distT="0" distB="0" distL="0" distR="0" wp14:anchorId="6878F501">
                <wp:extent cx="4152265" cy="2503170"/>
                <wp:effectExtent l="0" t="0" r="1270" b="0"/>
                <wp:docPr id="3" name="Picture 1" descr="undefined"/>
                <a:graphic xmlns:a="http://schemas.openxmlformats.org/drawingml/2006/main">
                  <a:graphicData uri="http://schemas.openxmlformats.org/drawingml/2006/picture">
                    <pic:pic xmlns:pic="http://schemas.openxmlformats.org/drawingml/2006/picture">
                      <pic:nvPicPr>
                        <pic:cNvPr id="0" name="Picture 1" descr="undefined"/>
                        <pic:cNvPicPr/>
                      </pic:nvPicPr>
                      <pic:blipFill>
                        <a:blip r:embed="rId3">
                          <a:extLst>
                            <a:ext uri="{BEBA8EAE-BF5A-486C-A8C5-ECC9F3942E4B}">
                              <a14:imgProps xmlns:a14="http://schemas.microsoft.com/office/drawing/2010/main">
                                <a14:imgLayer r:embed="rId4">
                                  <a14:imgEffect>
                                    <a14:saturation sat="66000"/>
                                  </a14:imgEffect>
                                </a14:imgLayer>
                              </a14:imgProps>
                            </a:ext>
                          </a:extLst>
                        </a:blip>
                        <a:stretch/>
                      </pic:blipFill>
                      <pic:spPr>
                        <a:xfrm>
                          <a:off x="0" y="0"/>
                          <a:ext cx="4152240" cy="250308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o:allowincell="f" style="position:absolute;margin-left:0pt;margin-top:-197.15pt;width:326.9pt;height:197.05pt;mso-wrap-style:none;v-text-anchor:middle;mso-position-vertical:top" wp14:anchorId="6878F501" type="_x0000_t75">
                <v:imagedata r:id="rId3" o:detectmouseclick="t"/>
                <v:stroke color="#3465a4" joinstyle="round" endcap="flat"/>
                <w10:wrap type="square"/>
              </v:shape>
            </w:pict>
          </mc:Fallback>
        </mc:AlternateContent>
      </w:r>
    </w:p>
    <w:p>
      <w:pPr>
        <w:pStyle w:val="Titre2"/>
        <w:rPr/>
      </w:pPr>
      <w:r>
        <w:rPr/>
        <w:t>Mise en œuvre</w:t>
      </w:r>
    </w:p>
    <w:p>
      <w:pPr>
        <w:pStyle w:val="Normal"/>
        <w:rPr>
          <w:b/>
          <w:b/>
          <w:bCs/>
          <w:spacing w:val="20"/>
        </w:rPr>
      </w:pPr>
      <w:r>
        <w:rPr>
          <w:b/>
          <w:bCs/>
          <w:spacing w:val="20"/>
        </w:rPr>
        <w:t>Etape #1 – Code source utile</w:t>
      </w:r>
    </w:p>
    <w:p>
      <w:pPr>
        <w:pStyle w:val="Normal"/>
        <w:rPr/>
      </w:pPr>
      <w:r>
        <w:rPr/>
        <w:t>Les fonctions suivantes sont fournies. Vous devez les comprendre avant de les utiliser :</w:t>
      </w:r>
    </w:p>
    <w:p>
      <w:pPr>
        <w:pStyle w:val="ListParagraph"/>
        <w:numPr>
          <w:ilvl w:val="0"/>
          <w:numId w:val="1"/>
        </w:numPr>
        <w:spacing w:before="60" w:after="60"/>
        <w:ind w:left="1276" w:right="720" w:hanging="357"/>
        <w:contextualSpacing w:val="false"/>
        <w:rPr/>
      </w:pPr>
      <w:r>
        <w:rPr/>
        <w:t xml:space="preserve">Une fonction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benford()</w:t>
      </w:r>
      <w:r>
        <w:rPr/>
        <w:t xml:space="preserve"> qui retourne les valeurs de </w:t>
      </w:r>
      <w:r>
        <w:rPr/>
      </w:r>
      <m:oMath xmlns:m="http://schemas.openxmlformats.org/officeDocument/2006/math">
        <m:sSub>
          <m:e>
            <m:r>
              <w:rPr>
                <w:rFonts w:ascii="Cambria Math" w:hAnsi="Cambria Math"/>
              </w:rPr>
              <m:t xml:space="preserve">p</m:t>
            </m:r>
          </m:e>
          <m:sub>
            <m:r>
              <w:rPr>
                <w:rFonts w:ascii="Cambria Math" w:hAnsi="Cambria Math"/>
              </w:rPr>
              <m:t xml:space="preserve">d</m:t>
            </m:r>
          </m:sub>
        </m:sSub>
      </m:oMath>
      <w:r>
        <w:rPr/>
        <w:t xml:space="preserve">données par la loi de Benford pour </w:t>
      </w:r>
      <w:r>
        <w:rPr/>
      </w:r>
      <m:oMath xmlns:m="http://schemas.openxmlformats.org/officeDocument/2006/math">
        <m:r>
          <w:rPr>
            <w:rFonts w:ascii="Cambria Math" w:hAnsi="Cambria Math"/>
          </w:rPr>
          <m:t xml:space="preserve">d</m:t>
        </m:r>
        <m:r>
          <w:rPr>
            <w:rFonts w:ascii="Cambria Math" w:hAnsi="Cambria Math"/>
          </w:rPr>
          <m:t xml:space="preserve">∈</m:t>
        </m:r>
        <m:d>
          <m:dPr>
            <m:begChr m:val="{"/>
            <m:endChr m:val="}"/>
          </m:dPr>
          <m:e>
            <m:r>
              <w:rPr>
                <w:rFonts w:ascii="Cambria Math" w:hAnsi="Cambria Math"/>
              </w:rPr>
              <m:t xml:space="preserve">1,2,3</m:t>
            </m:r>
            <m:r>
              <w:rPr>
                <w:rFonts w:ascii="Cambria Math" w:hAnsi="Cambria Math"/>
              </w:rPr>
              <m:t xml:space="preserve">,</m:t>
            </m:r>
            <m:r>
              <w:rPr>
                <w:rFonts w:ascii="Cambria Math" w:hAnsi="Cambria Math"/>
              </w:rPr>
              <m:t xml:space="preserve">⋯</m:t>
            </m:r>
            <m:r>
              <w:rPr>
                <w:rFonts w:ascii="Cambria Math" w:hAnsi="Cambria Math"/>
              </w:rPr>
              <m:t xml:space="preserve">,9</m:t>
            </m:r>
          </m:e>
        </m:d>
      </m:oMath>
      <w:r>
        <w:rPr/>
        <w:t>.</w:t>
      </w:r>
    </w:p>
    <w:p>
      <w:pPr>
        <w:pStyle w:val="ListParagraph"/>
        <w:numPr>
          <w:ilvl w:val="0"/>
          <w:numId w:val="1"/>
        </w:numPr>
        <w:spacing w:before="60" w:after="60"/>
        <w:ind w:left="1276" w:right="720" w:hanging="357"/>
        <w:contextualSpacing w:val="false"/>
        <w:rPr/>
      </w:pPr>
      <w:r>
        <w:rPr/>
        <w:t xml:space="preserve">Une fonction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firstdigit(n)</w:t>
      </w:r>
      <w:r>
        <w:rPr/>
        <w:t xml:space="preserve"> qui pour un nombre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n</w:t>
      </w:r>
      <w:r>
        <w:rPr/>
        <w:t xml:space="preserve"> donné retourne son premier chiffre significatif.</w:t>
      </w:r>
    </w:p>
    <w:p>
      <w:pPr>
        <w:pStyle w:val="ListParagraph"/>
        <w:numPr>
          <w:ilvl w:val="0"/>
          <w:numId w:val="1"/>
        </w:numPr>
        <w:spacing w:before="60" w:after="60"/>
        <w:ind w:left="1276" w:right="720" w:hanging="357"/>
        <w:contextualSpacing w:val="false"/>
        <w:rPr/>
      </w:pPr>
      <w:r>
        <w:rPr/>
        <w:t xml:space="preserve">Une fonction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occurrences(liste)</w:t>
      </w:r>
      <w:r>
        <w:rPr/>
        <w:t xml:space="preserve"> qui retourne le nombre d'occurrences des premiers chiffres significatifs de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liste</w:t>
      </w:r>
      <w:r>
        <w:rPr/>
        <w:t>.</w:t>
      </w:r>
    </w:p>
    <w:p>
      <w:pPr>
        <w:pStyle w:val="ListParagraph"/>
        <w:numPr>
          <w:ilvl w:val="0"/>
          <w:numId w:val="1"/>
        </w:numPr>
        <w:spacing w:before="60" w:after="60"/>
        <w:ind w:left="1276" w:right="720" w:hanging="357"/>
        <w:contextualSpacing w:val="false"/>
        <w:rPr/>
      </w:pPr>
      <w:r>
        <w:rPr/>
        <w:t xml:space="preserve">Une fonction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frequences(count)</w:t>
      </w:r>
      <w:r>
        <w:rPr/>
        <w:t xml:space="preserve"> qui calcule la fréquence de ces chiffres à partir des occurrences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count</w:t>
      </w:r>
      <w:r>
        <w:rPr/>
        <w:t>.</w:t>
      </w:r>
    </w:p>
    <w:p>
      <w:pPr>
        <w:pStyle w:val="Normal"/>
        <w:rPr>
          <w:b/>
          <w:b/>
          <w:bCs/>
          <w:spacing w:val="20"/>
        </w:rPr>
      </w:pPr>
      <w:r>
        <w:rPr>
          <w:b/>
          <w:bCs/>
          <w:spacing w:val="20"/>
        </w:rPr>
        <w:t>Etape #2 – Vérifications sur des données simulées</w:t>
      </w:r>
    </w:p>
    <w:p>
      <w:pPr>
        <w:pStyle w:val="Normal"/>
        <w:rPr/>
      </w:pPr>
      <w:r>
        <w:rPr/>
        <w:t>Le code source de la première vérification est fourni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benford-pow2.py</w:t>
      </w:r>
      <w:r>
        <w:rPr/>
        <w:t>). A vous de l’adapter pour les deux jeux de données simulées suivants.</w:t>
      </w:r>
    </w:p>
    <w:p>
      <w:pPr>
        <w:pStyle w:val="ListParagraph"/>
        <w:numPr>
          <w:ilvl w:val="0"/>
          <w:numId w:val="1"/>
        </w:numPr>
        <w:spacing w:before="60" w:after="60"/>
        <w:ind w:left="1276" w:right="720" w:hanging="357"/>
        <w:contextualSpacing w:val="false"/>
        <w:rPr/>
      </w:pPr>
      <w:r>
        <w:rPr/>
        <w:t xml:space="preserve">Vérifier si la loi de Benford semble satisfaite pour la suite des nombres </w:t>
      </w:r>
      <w:r>
        <w:rPr/>
      </w:r>
      <m:oMath xmlns:m="http://schemas.openxmlformats.org/officeDocument/2006/math">
        <m:sSub>
          <m:e>
            <m:d>
              <m:dPr>
                <m:begChr m:val="("/>
                <m:endChr m:val=")"/>
              </m:dPr>
              <m:e>
                <m:sSup>
                  <m:e>
                    <m:r>
                      <w:rPr>
                        <w:rFonts w:ascii="Cambria Math" w:hAnsi="Cambria Math"/>
                      </w:rPr>
                      <m:t xml:space="preserve">2</m:t>
                    </m:r>
                  </m:e>
                  <m:sup>
                    <m:r>
                      <w:rPr>
                        <w:rFonts w:ascii="Cambria Math" w:hAnsi="Cambria Math"/>
                      </w:rPr>
                      <m:t xml:space="preserve">n</m:t>
                    </m:r>
                  </m:sup>
                </m:sSup>
              </m:e>
            </m:d>
          </m:e>
          <m:sub>
            <m:r>
              <w:rPr>
                <w:rFonts w:ascii="Cambria Math" w:hAnsi="Cambria Math"/>
              </w:rPr>
              <m:t xml:space="preserve">n</m:t>
            </m:r>
            <m:r>
              <w:rPr>
                <w:rFonts w:ascii="Cambria Math" w:hAnsi="Cambria Math"/>
              </w:rPr>
              <m:t xml:space="preserve">∈</m:t>
            </m:r>
            <m:r>
              <w:rPr>
                <w:rFonts w:ascii="Cambria Math" w:hAnsi="Cambria Math"/>
              </w:rPr>
              <m:t xml:space="preserve">N</m:t>
            </m:r>
          </m:sub>
        </m:sSub>
      </m:oMath>
      <w:r>
        <w:rPr/>
        <w:t xml:space="preserve"> en comparant l'histogramme empirique avec la loi de Benford.</w:t>
      </w:r>
    </w:p>
    <w:p>
      <w:pPr>
        <w:pStyle w:val="ListParagraph"/>
        <w:numPr>
          <w:ilvl w:val="0"/>
          <w:numId w:val="1"/>
        </w:numPr>
        <w:spacing w:before="60" w:after="60"/>
        <w:ind w:left="1276" w:right="720" w:hanging="357"/>
        <w:contextualSpacing w:val="false"/>
        <w:rPr/>
      </w:pPr>
      <w:r>
        <w:rPr/>
        <w:t xml:space="preserve">Vérifier si la loi de Benford semble satisfaite pour la suite de Fibonacci </w:t>
      </w:r>
      <w:r>
        <w:rPr/>
      </w:r>
      <m:oMath xmlns:m="http://schemas.openxmlformats.org/officeDocument/2006/math">
        <m:sSub>
          <m:e>
            <m:r>
              <w:rPr>
                <w:rFonts w:ascii="Cambria Math" w:hAnsi="Cambria Math"/>
              </w:rPr>
              <m:t xml:space="preserve">F</m:t>
            </m:r>
          </m:e>
          <m:sub>
            <m:r>
              <w:rPr>
                <w:rFonts w:ascii="Cambria Math" w:hAnsi="Cambria Math"/>
              </w:rPr>
              <m:t xml:space="preserve">0</m:t>
            </m:r>
          </m:sub>
        </m:sSub>
        <m:r>
          <w:rPr>
            <w:rFonts w:ascii="Cambria Math" w:hAnsi="Cambria Math"/>
          </w:rPr>
          <m:t xml:space="preserve">=</m:t>
        </m:r>
        <m:r>
          <w:rPr>
            <w:rFonts w:ascii="Cambria Math" w:hAnsi="Cambria Math"/>
          </w:rPr>
          <m:t xml:space="preserve">0</m:t>
        </m:r>
        <m:r>
          <w:rPr>
            <w:rFonts w:ascii="Cambria Math" w:hAnsi="Cambria Math"/>
          </w:rPr>
          <m:t xml:space="preserve">,</m:t>
        </m:r>
        <m:sSub>
          <m:e>
            <m:r>
              <w:rPr>
                <w:rFonts w:ascii="Cambria Math" w:hAnsi="Cambria Math"/>
              </w:rPr>
              <m:t xml:space="preserve">F</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m:t>
        </m:r>
        <m:sSub>
          <m:e>
            <m:r>
              <w:rPr>
                <w:rFonts w:ascii="Cambria Math" w:hAnsi="Cambria Math"/>
              </w:rPr>
              <m:t xml:space="preserve">F</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n</m:t>
            </m:r>
            <m:r>
              <w:rPr>
                <w:rFonts w:ascii="Cambria Math" w:hAnsi="Cambria Math"/>
              </w:rPr>
              <m:t xml:space="preserve">−</m:t>
            </m:r>
            <m:r>
              <w:rPr>
                <w:rFonts w:ascii="Cambria Math" w:hAnsi="Cambria Math"/>
              </w:rPr>
              <m:t xml:space="preserve">2</m:t>
            </m:r>
          </m:sub>
        </m:sSub>
        <m:r>
          <m:rPr>
            <m:lit/>
            <m:nor/>
          </m:rPr>
          <w:rPr>
            <w:rFonts w:ascii="Cambria Math" w:hAnsi="Cambria Math"/>
          </w:rPr>
          <m:t xml:space="preserve">pour </m:t>
        </m:r>
        <m:r>
          <w:rPr>
            <w:rFonts w:ascii="Cambria Math" w:hAnsi="Cambria Math"/>
          </w:rPr>
          <m:t xml:space="preserve">n</m:t>
        </m:r>
        <m:r>
          <w:rPr>
            <w:rFonts w:ascii="Cambria Math" w:hAnsi="Cambria Math"/>
          </w:rPr>
          <m:t xml:space="preserve">≥</m:t>
        </m:r>
        <m:r>
          <w:rPr>
            <w:rFonts w:ascii="Cambria Math" w:hAnsi="Cambria Math"/>
          </w:rPr>
          <m:t xml:space="preserve">2</m:t>
        </m:r>
      </m:oMath>
      <w:r>
        <w:rPr/>
        <w:t>.</w:t>
      </w:r>
    </w:p>
    <w:p>
      <w:pPr>
        <w:pStyle w:val="ListParagraph"/>
        <w:numPr>
          <w:ilvl w:val="0"/>
          <w:numId w:val="1"/>
        </w:numPr>
        <w:spacing w:before="60" w:after="60"/>
        <w:ind w:left="1276" w:right="720" w:hanging="357"/>
        <w:contextualSpacing w:val="false"/>
        <w:rPr/>
      </w:pPr>
      <w:r>
        <w:rPr/>
        <w:t xml:space="preserve">Vérifier si la loi de Benford semble satisfaite pour les chiffres significatifs de </w:t>
      </w:r>
      <w:r>
        <w:rPr/>
      </w:r>
      <m:oMath xmlns:m="http://schemas.openxmlformats.org/officeDocument/2006/math">
        <m:r>
          <w:rPr>
            <w:rFonts w:ascii="Cambria Math" w:hAnsi="Cambria Math"/>
          </w:rPr>
          <m:t xml:space="preserve">n</m:t>
        </m:r>
      </m:oMath>
      <w:r>
        <w:rPr/>
        <w:t xml:space="preserve"> entiers aléatoires entre </w:t>
      </w:r>
      <w:r>
        <w:rPr/>
      </w:r>
      <m:oMath xmlns:m="http://schemas.openxmlformats.org/officeDocument/2006/math">
        <m:r>
          <w:rPr>
            <w:rFonts w:ascii="Cambria Math" w:hAnsi="Cambria Math"/>
          </w:rPr>
          <m:t xml:space="preserve">1</m:t>
        </m:r>
      </m:oMath>
      <w:r>
        <w:rPr/>
        <w:t xml:space="preserve"> et </w:t>
      </w:r>
      <w:r>
        <w:rPr/>
      </w:r>
      <m:oMath xmlns:m="http://schemas.openxmlformats.org/officeDocument/2006/math">
        <m:r>
          <w:rPr>
            <w:rFonts w:ascii="Cambria Math" w:hAnsi="Cambria Math"/>
          </w:rPr>
          <m:t xml:space="preserve">10000</m:t>
        </m:r>
        <m:r>
          <w:rPr>
            <w:rFonts w:ascii="Cambria Math" w:hAnsi="Cambria Math"/>
          </w:rPr>
          <m:t xml:space="preserve">×</m:t>
        </m:r>
        <m:r>
          <w:rPr>
            <w:rFonts w:ascii="Cambria Math" w:hAnsi="Cambria Math"/>
          </w:rPr>
          <m:t xml:space="preserve">n</m:t>
        </m:r>
      </m:oMath>
      <w:r>
        <w:rPr/>
        <w:t>.</w:t>
      </w:r>
    </w:p>
    <w:p>
      <w:pPr>
        <w:pStyle w:val="Normal"/>
        <w:spacing w:before="240" w:after="120"/>
        <w:rPr/>
      </w:pPr>
      <w:r>
        <w:rPr/>
        <w:t xml:space="preserve">Que pouvez-vous conclure d’après les résultats obtenus ? </w:t>
      </w:r>
    </w:p>
    <w:p>
      <w:pPr>
        <w:pStyle w:val="Normal"/>
        <w:spacing w:before="240" w:after="120"/>
        <w:rPr>
          <w:i/>
          <w:i/>
          <w:iCs/>
        </w:rPr>
      </w:pPr>
      <w:r>
        <w:rPr>
          <w:i/>
          <w:iCs/>
        </w:rPr>
        <w:t xml:space="preserve">Réponse : La loi de benford ne s’applique pas à de séries de nombres aléatoires. Les données doivent </w:t>
      </w:r>
      <w:r>
        <w:rPr>
          <w:rFonts w:eastAsia="Franklin Gothic Book" w:eastAsiaTheme="minorHAnsi"/>
          <w:i/>
          <w:iCs/>
          <w:color w:val="595959" w:themeColor="text1" w:themeTint="a6"/>
          <w:spacing w:val="6"/>
          <w:kern w:val="2"/>
          <w:szCs w:val="20"/>
          <w:shd w:fill="FFFFFF" w:val="clear"/>
        </w:rPr>
        <w:t>être distribuées de manière naturelle (hauteur des montagnes, chiffres d’affaires, volumes de voyageurs, etc. ). Dans le cas de nombres aléatoires, chaque nombre a une proba uniforme d’être généré.</w:t>
      </w:r>
    </w:p>
    <w:p>
      <w:pPr>
        <w:pStyle w:val="Normal"/>
        <w:spacing w:before="240" w:after="120"/>
        <w:rPr>
          <w:rFonts w:ascii="Volte Medium" w:hAnsi="Volte Medium" w:eastAsia="Franklin Gothic Book" w:eastAsiaTheme="minorHAnsi"/>
          <w:color w:val="595959" w:themeColor="text1" w:themeTint="a6"/>
          <w:spacing w:val="6"/>
          <w:kern w:val="2"/>
          <w:szCs w:val="20"/>
          <w:shd w:fill="FFFFFF" w:val="clear"/>
        </w:rPr>
      </w:pPr>
      <w:r>
        <w:rPr>
          <w:i/>
          <w:iCs/>
        </w:rPr>
      </w:r>
    </w:p>
    <w:p>
      <w:pPr>
        <w:pStyle w:val="Normal"/>
        <w:spacing w:before="240" w:after="120"/>
        <w:rPr>
          <w:b/>
          <w:b/>
          <w:bCs/>
          <w:spacing w:val="20"/>
        </w:rPr>
      </w:pPr>
      <w:r>
        <w:rPr>
          <w:b/>
          <w:bCs/>
          <w:spacing w:val="20"/>
        </w:rPr>
        <w:t>Etape #3 – Application sur des données réelles</w:t>
      </w:r>
    </w:p>
    <w:p>
      <w:pPr>
        <w:pStyle w:val="ListParagraph"/>
        <w:numPr>
          <w:ilvl w:val="0"/>
          <w:numId w:val="1"/>
        </w:numPr>
        <w:spacing w:before="120" w:after="120"/>
        <w:ind w:left="1276" w:right="720" w:hanging="357"/>
        <w:contextualSpacing w:val="false"/>
        <w:rPr/>
      </w:pPr>
      <w:r>
        <w:rPr/>
        <w:t>En allant sur le site de l'INSEE à l'adresse :</w:t>
        <w:br/>
      </w:r>
      <w:hyperlink r:id="rId5">
        <w:r>
          <w:rPr>
            <w:rStyle w:val="LienInternet"/>
            <w:rFonts w:cs="Courier New" w:ascii="Consolas" w:hAnsi="Consolas"/>
            <w:sz w:val="22"/>
            <w:szCs w:val="22"/>
          </w:rPr>
          <w:t>https://www.insee.fr/fr/statistiques/5395878</w:t>
        </w:r>
      </w:hyperlink>
      <w:r>
        <w:rPr/>
        <w:br/>
        <w:t>télécharger le fichier au format CSV contenant les données de la population par sexe et âge regroupé (POP1A) en 2018 (fichier également disponible sur Eprel).</w:t>
      </w:r>
    </w:p>
    <w:p>
      <w:pPr>
        <w:pStyle w:val="ListParagraph"/>
        <w:numPr>
          <w:ilvl w:val="0"/>
          <w:numId w:val="1"/>
        </w:numPr>
        <w:spacing w:before="120" w:after="120"/>
        <w:ind w:left="1276" w:right="720" w:hanging="357"/>
        <w:contextualSpacing w:val="false"/>
        <w:rPr/>
      </w:pPr>
      <w:r>
        <w:rPr/>
        <w:t>Importer ces données pour avoir la population par code postal, sexe et tranche d'âge.</w:t>
      </w:r>
    </w:p>
    <w:p>
      <w:pPr>
        <w:pStyle w:val="Normal"/>
        <w:ind w:left="1276" w:right="720" w:hanging="0"/>
        <w:rPr/>
      </w:pPr>
      <w:r>
        <w:rPr>
          <w:b/>
          <w:bCs/>
        </w:rPr>
        <w:t>Indication</w:t>
      </w:r>
      <w:r>
        <w:rPr/>
        <w:t xml:space="preserve"> : Utiliser la fonction </w:t>
      </w:r>
      <w:r>
        <w:rPr>
          <w:rStyle w:val="HTMLCode"/>
          <w:rFonts w:eastAsia="Franklin Gothic Book" w:ascii="Consolas" w:hAnsi="Consolas" w:eastAsiaTheme="minorHAnsi"/>
          <w:color w:val="333333"/>
          <w:sz w:val="24"/>
          <w:szCs w:val="24"/>
          <w14:textFill>
            <w14:solidFill>
              <w14:srgbClr w14:val="333333">
                <w14:lumMod w14:val="65000"/>
                <w14:lumOff w14:val="35000"/>
              </w14:srgbClr>
            </w14:solidFill>
          </w14:textFill>
        </w:rPr>
        <w:t>read_csv</w:t>
      </w:r>
      <w:r>
        <w:rPr/>
        <w:t xml:space="preserve"> du module Pandas afin de lire le contenu du fichier CSV. La première ligne indique le nom des variables et chaque ligne suivante contient la valeur des indicateurs retenus pour chaque commune et chaque arrondissement municipal, séparées par le caractère ';'.</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NIVGEO;CODGEO;LIBGEO;SEXE;AGEPYR10;NB</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ARM;13201;Marseille 1er Arrondissement;1;0;825.53120305</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ARM;13201;Marseille 1er Arrondissement;1;3;662.46699673</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ARM;13201;Marseille 1er Arrondissement;1;6;940.25987932</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 . .</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COM;97424;Cilaos;2;55;299.68554466</w:t>
      </w:r>
    </w:p>
    <w:p>
      <w:pPr>
        <w:pStyle w:val="Normal"/>
        <w:shd w:val="clear" w:color="auto" w:fill="F2F2F2" w:themeFill="background1" w:themeFillShade="f2"/>
        <w:spacing w:before="0" w:after="0"/>
        <w:ind w:left="1276" w:right="720" w:hanging="0"/>
        <w:rPr>
          <w:rFonts w:ascii="Consolas" w:hAnsi="Consolas"/>
          <w:shd w:fill="auto" w:val="clear"/>
        </w:rPr>
      </w:pPr>
      <w:r>
        <w:rPr>
          <w:rFonts w:ascii="Consolas" w:hAnsi="Consolas"/>
          <w:shd w:fill="auto" w:val="clear"/>
        </w:rPr>
        <w:t>COM;97424;Cilaos;2;65;316.0341761</w:t>
      </w:r>
    </w:p>
    <w:p>
      <w:pPr>
        <w:pStyle w:val="Normal"/>
        <w:shd w:val="clear" w:color="auto" w:fill="F2F2F2" w:themeFill="background1" w:themeFillShade="f2"/>
        <w:spacing w:before="0" w:after="240"/>
        <w:ind w:left="1276" w:right="720" w:hanging="0"/>
        <w:rPr>
          <w:rFonts w:ascii="Consolas" w:hAnsi="Consolas"/>
          <w:shd w:fill="auto" w:val="clear"/>
        </w:rPr>
      </w:pPr>
      <w:r>
        <w:rPr>
          <w:rFonts w:ascii="Consolas" w:hAnsi="Consolas"/>
          <w:shd w:fill="auto" w:val="clear"/>
        </w:rPr>
        <w:t>COM;97424;Cilaos;2;80;114.79675508</w:t>
      </w:r>
    </w:p>
    <w:p>
      <w:pPr>
        <w:pStyle w:val="Normal"/>
        <w:ind w:left="1276" w:right="720" w:hanging="0"/>
        <w:rPr/>
      </w:pPr>
      <w:r>
        <w:rPr/>
        <w:t>où :</w:t>
      </w:r>
    </w:p>
    <w:p>
      <w:pPr>
        <w:pStyle w:val="ListParagraph"/>
        <w:numPr>
          <w:ilvl w:val="0"/>
          <w:numId w:val="2"/>
        </w:numPr>
        <w:spacing w:before="0" w:after="0"/>
        <w:ind w:left="1996" w:right="720" w:hanging="357"/>
        <w:contextualSpacing w:val="false"/>
        <w:rPr/>
      </w:pPr>
      <w:r>
        <w:rPr>
          <w:rFonts w:ascii="Consolas" w:hAnsi="Consolas"/>
        </w:rPr>
        <w:t>NIVGEO</w:t>
      </w:r>
      <w:r>
        <w:rPr/>
        <w:t xml:space="preserve"> indique le niveau géographique (</w:t>
      </w:r>
      <w:r>
        <w:rPr>
          <w:rFonts w:ascii="Consolas" w:hAnsi="Consolas"/>
        </w:rPr>
        <w:t>ARM</w:t>
      </w:r>
      <w:r>
        <w:rPr/>
        <w:t xml:space="preserve">=arrondissement, </w:t>
      </w:r>
      <w:r>
        <w:rPr>
          <w:rFonts w:ascii="Consolas" w:hAnsi="Consolas"/>
        </w:rPr>
        <w:t>COM</w:t>
      </w:r>
      <w:r>
        <w:rPr/>
        <w:t>=commune) ;</w:t>
      </w:r>
    </w:p>
    <w:p>
      <w:pPr>
        <w:pStyle w:val="ListParagraph"/>
        <w:numPr>
          <w:ilvl w:val="0"/>
          <w:numId w:val="2"/>
        </w:numPr>
        <w:spacing w:before="0" w:after="0"/>
        <w:ind w:left="1996" w:right="720" w:hanging="357"/>
        <w:contextualSpacing w:val="false"/>
        <w:rPr/>
      </w:pPr>
      <w:r>
        <w:rPr>
          <w:rFonts w:ascii="Consolas" w:hAnsi="Consolas"/>
        </w:rPr>
        <w:t>CODGEO</w:t>
      </w:r>
      <w:r>
        <w:rPr/>
        <w:t xml:space="preserve"> et </w:t>
      </w:r>
      <w:r>
        <w:rPr>
          <w:rFonts w:ascii="Consolas" w:hAnsi="Consolas"/>
        </w:rPr>
        <w:t>LIBGEO</w:t>
      </w:r>
      <w:r>
        <w:rPr/>
        <w:t xml:space="preserve"> donnent respectivement le code et le nom de l’arrondissement ou de la commune ;</w:t>
      </w:r>
    </w:p>
    <w:p>
      <w:pPr>
        <w:pStyle w:val="ListParagraph"/>
        <w:numPr>
          <w:ilvl w:val="0"/>
          <w:numId w:val="2"/>
        </w:numPr>
        <w:spacing w:before="0" w:after="0"/>
        <w:ind w:left="1996" w:right="720" w:hanging="357"/>
        <w:contextualSpacing w:val="false"/>
        <w:rPr/>
      </w:pPr>
      <w:r>
        <w:rPr>
          <w:rFonts w:ascii="Consolas" w:hAnsi="Consolas"/>
        </w:rPr>
        <w:t>SEXE</w:t>
      </w:r>
      <w:r>
        <w:rPr/>
        <w:t xml:space="preserve"> indique le genre 1=Homme, 2=Femme ;</w:t>
      </w:r>
    </w:p>
    <w:p>
      <w:pPr>
        <w:pStyle w:val="ListParagraph"/>
        <w:numPr>
          <w:ilvl w:val="0"/>
          <w:numId w:val="2"/>
        </w:numPr>
        <w:spacing w:before="0" w:after="0"/>
        <w:ind w:left="1996" w:right="720" w:hanging="357"/>
        <w:contextualSpacing w:val="false"/>
        <w:rPr/>
      </w:pPr>
      <w:r>
        <w:rPr>
          <w:rFonts w:ascii="Consolas" w:hAnsi="Consolas"/>
        </w:rPr>
        <w:t>AGEPYR10</w:t>
      </w:r>
      <w:r>
        <w:rPr/>
        <w:t xml:space="preserve"> indique la classe d’âge (ici 10 classes) :</w:t>
      </w:r>
    </w:p>
    <w:tbl>
      <w:tblPr>
        <w:tblStyle w:val="Grilledutableau"/>
        <w:tblW w:w="9177" w:type="dxa"/>
        <w:jc w:val="left"/>
        <w:tblInd w:w="1279" w:type="dxa"/>
        <w:tblLayout w:type="fixed"/>
        <w:tblCellMar>
          <w:top w:w="0" w:type="dxa"/>
          <w:left w:w="108" w:type="dxa"/>
          <w:bottom w:w="0" w:type="dxa"/>
          <w:right w:w="108" w:type="dxa"/>
        </w:tblCellMar>
        <w:tblLook w:val="04a0" w:noHBand="0" w:noVBand="1" w:firstColumn="1" w:lastRow="0" w:lastColumn="0" w:firstRow="1"/>
      </w:tblPr>
      <w:tblGrid>
        <w:gridCol w:w="4385"/>
        <w:gridCol w:w="4791"/>
      </w:tblGrid>
      <w:tr>
        <w:trPr/>
        <w:tc>
          <w:tcPr>
            <w:tcW w:w="4385" w:type="dxa"/>
            <w:tcBorders>
              <w:top w:val="nil"/>
              <w:left w:val="nil"/>
              <w:bottom w:val="nil"/>
              <w:right w:val="nil"/>
            </w:tcBorders>
          </w:tcPr>
          <w:p>
            <w:pPr>
              <w:pStyle w:val="ListParagraph"/>
              <w:widowControl/>
              <w:numPr>
                <w:ilvl w:val="1"/>
                <w:numId w:val="3"/>
              </w:numPr>
              <w:spacing w:before="120" w:after="120"/>
              <w:ind w:left="1015" w:right="720" w:hanging="360"/>
              <w:contextualSpacing/>
              <w:jc w:val="left"/>
              <w:rPr>
                <w:sz w:val="22"/>
                <w:szCs w:val="18"/>
              </w:rPr>
            </w:pPr>
            <w:r>
              <w:rPr>
                <w:rFonts w:cs="Tahoma"/>
                <w:sz w:val="22"/>
                <w:szCs w:val="18"/>
                <w:lang w:val="fr-FR" w:eastAsia="ja-JP" w:bidi="ar-SA"/>
              </w:rPr>
              <w:t>0 : moins de 3 ans</w:t>
            </w:r>
          </w:p>
          <w:p>
            <w:pPr>
              <w:pStyle w:val="ListParagraph"/>
              <w:widowControl/>
              <w:numPr>
                <w:ilvl w:val="1"/>
                <w:numId w:val="3"/>
              </w:numPr>
              <w:ind w:left="1015" w:right="720" w:hanging="360"/>
              <w:jc w:val="left"/>
              <w:rPr>
                <w:sz w:val="22"/>
                <w:szCs w:val="18"/>
              </w:rPr>
            </w:pPr>
            <w:r>
              <w:rPr>
                <w:rFonts w:cs="Tahoma"/>
                <w:sz w:val="22"/>
                <w:szCs w:val="18"/>
                <w:lang w:val="fr-FR" w:eastAsia="ja-JP" w:bidi="ar-SA"/>
              </w:rPr>
              <w:t>3 : 3 à 5 ans</w:t>
            </w:r>
          </w:p>
          <w:p>
            <w:pPr>
              <w:pStyle w:val="ListParagraph"/>
              <w:widowControl/>
              <w:numPr>
                <w:ilvl w:val="1"/>
                <w:numId w:val="3"/>
              </w:numPr>
              <w:ind w:left="1015" w:right="720" w:hanging="360"/>
              <w:jc w:val="left"/>
              <w:rPr>
                <w:sz w:val="22"/>
                <w:szCs w:val="18"/>
              </w:rPr>
            </w:pPr>
            <w:r>
              <w:rPr>
                <w:rFonts w:cs="Tahoma"/>
                <w:sz w:val="22"/>
                <w:szCs w:val="18"/>
                <w:lang w:val="fr-FR" w:eastAsia="ja-JP" w:bidi="ar-SA"/>
              </w:rPr>
              <w:t>6 : 6 à 10 ans</w:t>
            </w:r>
          </w:p>
          <w:p>
            <w:pPr>
              <w:pStyle w:val="ListParagraph"/>
              <w:widowControl/>
              <w:numPr>
                <w:ilvl w:val="1"/>
                <w:numId w:val="3"/>
              </w:numPr>
              <w:ind w:left="1015" w:right="720" w:hanging="360"/>
              <w:jc w:val="left"/>
              <w:rPr>
                <w:sz w:val="22"/>
                <w:szCs w:val="18"/>
              </w:rPr>
            </w:pPr>
            <w:r>
              <w:rPr>
                <w:rFonts w:cs="Tahoma"/>
                <w:sz w:val="22"/>
                <w:szCs w:val="18"/>
                <w:lang w:val="fr-FR" w:eastAsia="ja-JP" w:bidi="ar-SA"/>
              </w:rPr>
              <w:t>11 : 11 à 17 ans</w:t>
            </w:r>
          </w:p>
          <w:p>
            <w:pPr>
              <w:pStyle w:val="ListParagraph"/>
              <w:widowControl/>
              <w:numPr>
                <w:ilvl w:val="1"/>
                <w:numId w:val="3"/>
              </w:numPr>
              <w:spacing w:before="120" w:after="120"/>
              <w:ind w:left="1015" w:right="720" w:hanging="360"/>
              <w:contextualSpacing/>
              <w:jc w:val="left"/>
              <w:rPr>
                <w:sz w:val="22"/>
                <w:szCs w:val="18"/>
              </w:rPr>
            </w:pPr>
            <w:r>
              <w:rPr>
                <w:rFonts w:cs="Tahoma"/>
                <w:sz w:val="22"/>
                <w:szCs w:val="18"/>
                <w:lang w:val="fr-FR" w:eastAsia="ja-JP" w:bidi="ar-SA"/>
              </w:rPr>
              <w:t>18 : 18 à 24 ans</w:t>
            </w:r>
          </w:p>
        </w:tc>
        <w:tc>
          <w:tcPr>
            <w:tcW w:w="4791" w:type="dxa"/>
            <w:tcBorders>
              <w:top w:val="nil"/>
              <w:left w:val="nil"/>
              <w:bottom w:val="nil"/>
              <w:right w:val="nil"/>
            </w:tcBorders>
          </w:tcPr>
          <w:p>
            <w:pPr>
              <w:pStyle w:val="ListParagraph"/>
              <w:widowControl/>
              <w:numPr>
                <w:ilvl w:val="1"/>
                <w:numId w:val="3"/>
              </w:numPr>
              <w:spacing w:before="120" w:after="120"/>
              <w:ind w:left="807" w:right="720" w:hanging="360"/>
              <w:contextualSpacing/>
              <w:jc w:val="left"/>
              <w:rPr>
                <w:sz w:val="22"/>
                <w:szCs w:val="18"/>
              </w:rPr>
            </w:pPr>
            <w:r>
              <w:rPr>
                <w:rFonts w:cs="Tahoma"/>
                <w:sz w:val="22"/>
                <w:szCs w:val="18"/>
                <w:lang w:val="fr-FR" w:eastAsia="ja-JP" w:bidi="ar-SA"/>
              </w:rPr>
              <w:t>25 : 25 à 39 ans</w:t>
            </w:r>
          </w:p>
          <w:p>
            <w:pPr>
              <w:pStyle w:val="ListParagraph"/>
              <w:widowControl/>
              <w:numPr>
                <w:ilvl w:val="1"/>
                <w:numId w:val="3"/>
              </w:numPr>
              <w:ind w:left="807" w:right="720" w:hanging="360"/>
              <w:jc w:val="left"/>
              <w:rPr>
                <w:sz w:val="22"/>
                <w:szCs w:val="18"/>
              </w:rPr>
            </w:pPr>
            <w:r>
              <w:rPr>
                <w:rFonts w:cs="Tahoma"/>
                <w:sz w:val="22"/>
                <w:szCs w:val="18"/>
                <w:lang w:val="fr-FR" w:eastAsia="ja-JP" w:bidi="ar-SA"/>
              </w:rPr>
              <w:t>40 : 40 à 54 ans</w:t>
            </w:r>
          </w:p>
          <w:p>
            <w:pPr>
              <w:pStyle w:val="ListParagraph"/>
              <w:widowControl/>
              <w:numPr>
                <w:ilvl w:val="1"/>
                <w:numId w:val="3"/>
              </w:numPr>
              <w:ind w:left="807" w:right="720" w:hanging="360"/>
              <w:jc w:val="left"/>
              <w:rPr>
                <w:sz w:val="22"/>
                <w:szCs w:val="18"/>
              </w:rPr>
            </w:pPr>
            <w:r>
              <w:rPr>
                <w:rFonts w:cs="Tahoma"/>
                <w:sz w:val="22"/>
                <w:szCs w:val="18"/>
                <w:lang w:val="fr-FR" w:eastAsia="ja-JP" w:bidi="ar-SA"/>
              </w:rPr>
              <w:t>55 : 55 à 64 ans</w:t>
            </w:r>
          </w:p>
          <w:p>
            <w:pPr>
              <w:pStyle w:val="ListParagraph"/>
              <w:widowControl/>
              <w:numPr>
                <w:ilvl w:val="1"/>
                <w:numId w:val="3"/>
              </w:numPr>
              <w:ind w:left="807" w:right="720" w:hanging="360"/>
              <w:jc w:val="left"/>
              <w:rPr>
                <w:sz w:val="22"/>
                <w:szCs w:val="18"/>
              </w:rPr>
            </w:pPr>
            <w:r>
              <w:rPr>
                <w:rFonts w:cs="Tahoma"/>
                <w:sz w:val="22"/>
                <w:szCs w:val="18"/>
                <w:lang w:val="fr-FR" w:eastAsia="ja-JP" w:bidi="ar-SA"/>
              </w:rPr>
              <w:t>65 : 65 à 79 ans</w:t>
            </w:r>
          </w:p>
          <w:p>
            <w:pPr>
              <w:pStyle w:val="ListParagraph"/>
              <w:widowControl/>
              <w:numPr>
                <w:ilvl w:val="1"/>
                <w:numId w:val="3"/>
              </w:numPr>
              <w:spacing w:before="120" w:after="120"/>
              <w:ind w:left="807" w:right="720" w:hanging="360"/>
              <w:contextualSpacing/>
              <w:jc w:val="left"/>
              <w:rPr>
                <w:sz w:val="22"/>
                <w:szCs w:val="18"/>
              </w:rPr>
            </w:pPr>
            <w:r>
              <w:rPr>
                <w:rFonts w:cs="Tahoma"/>
                <w:sz w:val="22"/>
                <w:szCs w:val="18"/>
                <w:lang w:val="fr-FR" w:eastAsia="ja-JP" w:bidi="ar-SA"/>
              </w:rPr>
              <w:t>80 : 80 ans ou plus</w:t>
            </w:r>
          </w:p>
        </w:tc>
      </w:tr>
    </w:tbl>
    <w:p>
      <w:pPr>
        <w:pStyle w:val="ListParagraph"/>
        <w:numPr>
          <w:ilvl w:val="0"/>
          <w:numId w:val="2"/>
        </w:numPr>
        <w:spacing w:before="120" w:after="240"/>
        <w:ind w:left="1996" w:right="720" w:hanging="357"/>
        <w:contextualSpacing w:val="false"/>
        <w:rPr/>
      </w:pPr>
      <w:r>
        <w:rPr>
          <w:rFonts w:ascii="Consolas" w:hAnsi="Consolas"/>
        </w:rPr>
        <w:t>NB</w:t>
      </w:r>
      <w:r>
        <w:rPr/>
        <w:t xml:space="preserve"> est le nombre</w:t>
      </w:r>
      <w:r>
        <w:rPr>
          <w:rStyle w:val="Ancredenotedebasdepage"/>
          <w:b/>
          <w:bCs/>
          <w:sz w:val="28"/>
          <w:szCs w:val="22"/>
        </w:rPr>
        <w:footnoteReference w:id="2"/>
      </w:r>
      <w:r>
        <w:rPr/>
        <w:t xml:space="preserve"> d’individus par sexe et par tranche d’âge estimé dans la zone géographique (commune ou arrondissement).</w:t>
      </w:r>
    </w:p>
    <w:p>
      <w:pPr>
        <w:pStyle w:val="Normal"/>
        <w:pBdr>
          <w:left w:val="single" w:sz="24" w:space="4" w:color="92D050"/>
        </w:pBdr>
        <w:spacing w:before="0" w:after="0"/>
        <w:ind w:left="993" w:right="-24" w:hanging="0"/>
        <w:rPr>
          <w:rFonts w:ascii="Volte" w:hAnsi="Volte"/>
          <w:szCs w:val="24"/>
        </w:rPr>
      </w:pPr>
      <w:r>
        <w:rPr>
          <w:rFonts w:ascii="Volte" w:hAnsi="Volte"/>
          <w:szCs w:val="24"/>
        </w:rPr>
        <w:t>La loi de Benford doit s'appliquer aux données de population mesurées par commune, sexe et classe d'âge principalement parce que ces données couvrent un large éventail de valeurs, avec des populations de communes allant de petites à très grandes. La croissance démographique et la répartition géographique des populations créent une structure de données où les premiers chiffres suivent une répartition logarithmique naturelle, favorisant l'apparition plus fréquente de petits chiffres, conformément à la loi de Benford.</w:t>
      </w:r>
    </w:p>
    <w:p>
      <w:pPr>
        <w:pStyle w:val="ListParagraph"/>
        <w:numPr>
          <w:ilvl w:val="0"/>
          <w:numId w:val="1"/>
        </w:numPr>
        <w:spacing w:before="120" w:after="120"/>
        <w:ind w:left="1276" w:right="720" w:hanging="357"/>
        <w:contextualSpacing w:val="false"/>
        <w:rPr/>
      </w:pPr>
      <w:r>
        <w:rPr/>
        <w:t>Déterminer si la liste de toutes les populations par commune, sexe et âge suit la loi de Benford.</w:t>
      </w:r>
    </w:p>
    <w:p>
      <w:pPr>
        <w:pStyle w:val="ListParagraph"/>
        <w:numPr>
          <w:ilvl w:val="0"/>
          <w:numId w:val="1"/>
        </w:numPr>
        <w:spacing w:before="120" w:after="120"/>
        <w:ind w:left="1276" w:right="720" w:hanging="357"/>
        <w:contextualSpacing w:val="false"/>
        <w:rPr/>
      </w:pPr>
      <w:r>
        <w:rPr/>
        <w:t>Séparer les données précédentes pour obtenir les listes des populations par sexe et déterminer si elles suivent la loi de Benford.</w:t>
      </w:r>
    </w:p>
    <w:p>
      <w:pPr>
        <w:pStyle w:val="ListParagraph"/>
        <w:numPr>
          <w:ilvl w:val="0"/>
          <w:numId w:val="1"/>
        </w:numPr>
        <w:spacing w:before="120" w:after="360"/>
        <w:ind w:left="1276" w:right="720" w:hanging="357"/>
        <w:contextualSpacing w:val="false"/>
        <w:rPr/>
      </w:pPr>
      <w:r>
        <w:rPr/>
        <w:t>Sommer les données précédentes pour obtenir la liste des populations par commune (tout âge et tout sexe confondus) et déterminer si elle suit la loi de Benford.</w:t>
      </w:r>
    </w:p>
    <w:p>
      <w:pPr>
        <w:pStyle w:val="Normal"/>
        <w:spacing w:before="240" w:after="120"/>
        <w:rPr/>
      </w:pPr>
      <w:r>
        <w:rPr/>
        <w:t>Que pouvez-vous conclure d’après les résultats obtenus ?</w:t>
      </w:r>
    </w:p>
    <w:p>
      <w:pPr>
        <w:pStyle w:val="Titre2"/>
        <w:spacing w:before="480" w:after="120"/>
        <w:rPr/>
      </w:pPr>
      <w:r>
        <w:rPr/>
        <w:t>Supplément</w:t>
      </w:r>
    </w:p>
    <w:p>
      <w:pPr>
        <w:pStyle w:val="Normal"/>
        <w:ind w:left="851" w:right="720" w:hanging="0"/>
        <w:rPr/>
      </w:pPr>
      <w:r>
        <w:rPr/>
        <w:t>En allant sur le site de l'INSEE ou un autre site, télécharger votre jeu de données préféré, et tester s'il suit la loi de Benford.</w:t>
      </w:r>
    </w:p>
    <w:p>
      <w:pPr>
        <w:pStyle w:val="Normal"/>
        <w:ind w:left="851" w:right="720" w:hanging="0"/>
        <w:rPr/>
      </w:pPr>
      <w:r>
        <w:rPr/>
        <w:t xml:space="preserve">Par exemple, vous pouvez utiliser les comptes détaillés de l'État disponibles </w:t>
      </w:r>
      <w:hyperlink r:id="rId6">
        <w:r>
          <w:rPr>
            <w:rStyle w:val="LienInternet"/>
          </w:rPr>
          <w:t>ici</w:t>
        </w:r>
      </w:hyperlink>
      <w:r>
        <w:rPr/>
        <w:t xml:space="preserve">. D’autres jeux de données sont disponibles sur le portail de l’INSEE </w:t>
      </w:r>
      <w:r>
        <w:fldChar w:fldCharType="begin"/>
      </w:r>
      <w:r>
        <w:rPr>
          <w:rStyle w:val="LienInternet"/>
        </w:rPr>
        <w:instrText xml:space="preserve"> HYPERLINK "https://statistiques-locales.insee.fr/" \l "view=map1&amp;c=indicator"</w:instrText>
      </w:r>
      <w:r>
        <w:rPr>
          <w:rStyle w:val="LienInternet"/>
        </w:rPr>
        <w:fldChar w:fldCharType="separate"/>
      </w:r>
      <w:r>
        <w:rPr>
          <w:rStyle w:val="LienInternet"/>
        </w:rPr>
        <w:t>ici</w:t>
      </w:r>
      <w:r>
        <w:rPr>
          <w:rStyle w:val="LienInternet"/>
        </w:rPr>
        <w:fldChar w:fldCharType="end"/>
      </w:r>
      <w:r>
        <w:rPr/>
        <w:t>.</w:t>
      </w:r>
    </w:p>
    <w:p>
      <w:pPr>
        <w:pStyle w:val="Normal"/>
        <w:spacing w:before="0" w:after="0"/>
        <w:ind w:left="0" w:right="0" w:hanging="0"/>
        <w:rPr/>
      </w:pPr>
      <w:r>
        <w:rPr/>
      </w:r>
      <w:r>
        <w:br w:type="page"/>
      </w:r>
    </w:p>
    <w:p>
      <w:pPr>
        <w:pStyle w:val="Normal"/>
        <w:ind w:left="0" w:right="720" w:hanging="0"/>
        <w:rPr>
          <w:sz w:val="32"/>
          <w:szCs w:val="24"/>
        </w:rPr>
      </w:pPr>
      <w:r>
        <w:rPr>
          <w:sz w:val="32"/>
          <w:szCs w:val="24"/>
        </w:rPr>
        <w:t>Code source pour l’étape #1 : fonctions utiles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AF00DB"/>
          <w:spacing w:val="0"/>
          <w:kern w:val="0"/>
          <w:sz w:val="21"/>
          <w:szCs w:val="21"/>
          <w:shd w:fill="auto" w:val="clear"/>
          <w:lang w:eastAsia="fr-FR"/>
        </w:rPr>
        <w:t>import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math</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00FF"/>
          <w:spacing w:val="0"/>
          <w:kern w:val="0"/>
          <w:sz w:val="21"/>
          <w:szCs w:val="21"/>
          <w:shd w:fill="auto" w:val="clear"/>
          <w:lang w:eastAsia="fr-FR"/>
        </w:rPr>
        <w:t>def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benford</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Calculer les probabilités de la loi de Benford pour d = 1, ..., 9</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val="en-US" w:eastAsia="fr-FR"/>
        </w:rPr>
        <w:t>p</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d</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math</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795E26"/>
          <w:spacing w:val="0"/>
          <w:kern w:val="0"/>
          <w:sz w:val="21"/>
          <w:szCs w:val="21"/>
          <w:shd w:fill="auto" w:val="clear"/>
          <w:lang w:val="en-US" w:eastAsia="fr-FR"/>
        </w:rPr>
        <w:t>log10</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98658"/>
          <w:spacing w:val="0"/>
          <w:kern w:val="0"/>
          <w:sz w:val="21"/>
          <w:szCs w:val="21"/>
          <w:shd w:fill="auto" w:val="clear"/>
          <w:lang w:val="en-US" w:eastAsia="fr-FR"/>
        </w:rPr>
        <w:t>1</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98658"/>
          <w:spacing w:val="0"/>
          <w:kern w:val="0"/>
          <w:sz w:val="21"/>
          <w:szCs w:val="21"/>
          <w:shd w:fill="auto" w:val="clear"/>
          <w:lang w:val="en-US" w:eastAsia="fr-FR"/>
        </w:rPr>
        <w:t>1</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d</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for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d</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in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range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98658"/>
          <w:spacing w:val="0"/>
          <w:kern w:val="0"/>
          <w:sz w:val="21"/>
          <w:szCs w:val="21"/>
          <w:shd w:fill="auto" w:val="clear"/>
          <w:lang w:val="en-US" w:eastAsia="fr-FR"/>
        </w:rPr>
        <w:t>1</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98658"/>
          <w:spacing w:val="0"/>
          <w:kern w:val="0"/>
          <w:sz w:val="21"/>
          <w:szCs w:val="21"/>
          <w:shd w:fill="auto" w:val="clear"/>
          <w:lang w:val="en-US" w:eastAsia="fr-FR"/>
        </w:rPr>
        <w:t>10</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return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p</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00FF"/>
          <w:spacing w:val="0"/>
          <w:kern w:val="0"/>
          <w:sz w:val="21"/>
          <w:szCs w:val="21"/>
          <w:shd w:fill="auto" w:val="clear"/>
          <w:lang w:val="en-US" w:eastAsia="fr-FR"/>
        </w:rPr>
        <w:t>def</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795E26"/>
          <w:spacing w:val="0"/>
          <w:kern w:val="0"/>
          <w:sz w:val="21"/>
          <w:szCs w:val="21"/>
          <w:shd w:fill="auto" w:val="clear"/>
          <w:lang w:val="en-US" w:eastAsia="fr-FR"/>
        </w:rPr>
        <w:t>firstdigit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n</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8000"/>
          <w:spacing w:val="0"/>
          <w:kern w:val="0"/>
          <w:sz w:val="21"/>
          <w:szCs w:val="21"/>
          <w:shd w:fill="auto" w:val="clear"/>
          <w:lang w:eastAsia="fr-FR"/>
        </w:rPr>
        <w:t># Prendre la valeur absolue de n et convertir en chaîne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val="en-US" w:eastAsia="fr-FR"/>
        </w:rPr>
        <w:t>n_str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str</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795E26"/>
          <w:spacing w:val="0"/>
          <w:kern w:val="0"/>
          <w:sz w:val="21"/>
          <w:szCs w:val="21"/>
          <w:shd w:fill="auto" w:val="clear"/>
          <w:lang w:val="en-US" w:eastAsia="fr-FR"/>
        </w:rPr>
        <w:t>abs</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n</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8000"/>
          <w:spacing w:val="0"/>
          <w:kern w:val="0"/>
          <w:sz w:val="21"/>
          <w:szCs w:val="21"/>
          <w:shd w:fill="auto" w:val="clear"/>
          <w:lang w:eastAsia="fr-FR"/>
        </w:rPr>
        <w:t># Enlever la partie avant et après le point décimal si présent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val="en-US" w:eastAsia="fr-FR"/>
        </w:rPr>
        <w:t>if</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31515"/>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FF"/>
          <w:spacing w:val="0"/>
          <w:kern w:val="0"/>
          <w:sz w:val="21"/>
          <w:szCs w:val="21"/>
          <w:shd w:fill="auto" w:val="clear"/>
          <w:lang w:val="en-US" w:eastAsia="fr-FR"/>
        </w:rPr>
        <w:t>in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n_str</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n_str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n_str</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795E26"/>
          <w:spacing w:val="0"/>
          <w:kern w:val="0"/>
          <w:sz w:val="21"/>
          <w:szCs w:val="21"/>
          <w:shd w:fill="auto" w:val="clear"/>
          <w:lang w:val="en-US" w:eastAsia="fr-FR"/>
        </w:rPr>
        <w:t>replace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A31515"/>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31515"/>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8000"/>
          <w:spacing w:val="0"/>
          <w:kern w:val="0"/>
          <w:sz w:val="21"/>
          <w:szCs w:val="21"/>
          <w:shd w:fill="auto" w:val="clear"/>
          <w:lang w:eastAsia="fr-FR"/>
        </w:rPr>
        <w:t># Chercher le premier chiffre non nul</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val="en-US" w:eastAsia="fr-FR"/>
        </w:rPr>
        <w:t>for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char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in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n_str</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if</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char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31515"/>
          <w:spacing w:val="0"/>
          <w:kern w:val="0"/>
          <w:sz w:val="21"/>
          <w:szCs w:val="21"/>
          <w:shd w:fill="auto" w:val="clear"/>
          <w:lang w:val="en-US" w:eastAsia="fr-FR"/>
        </w:rPr>
        <w:t>'0'</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return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int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char</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8000"/>
          <w:spacing w:val="0"/>
          <w:kern w:val="0"/>
          <w:sz w:val="21"/>
          <w:szCs w:val="21"/>
          <w:shd w:fill="auto" w:val="clear"/>
          <w:lang w:eastAsia="fr-FR"/>
        </w:rPr>
        <w:t># Si n vaut 0, retourner 0</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return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0</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00FF"/>
          <w:spacing w:val="0"/>
          <w:kern w:val="0"/>
          <w:sz w:val="21"/>
          <w:szCs w:val="21"/>
          <w:shd w:fill="auto" w:val="clear"/>
          <w:lang w:eastAsia="fr-FR"/>
        </w:rPr>
        <w:t>def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occurrences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liste</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Créer un dictionnaire pour compter les occurrences des premiers chiffres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count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i</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0</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for</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i</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in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range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1</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10</w:t>
      </w:r>
      <w:r>
        <w:rPr>
          <w:rFonts w:eastAsia="Times New Roman" w:cs="Times New Roman" w:ascii="Consolas" w:hAnsi="Consolas"/>
          <w:color w:val="3B3B3B"/>
          <w:spacing w:val="0"/>
          <w:kern w:val="0"/>
          <w:sz w:val="21"/>
          <w:szCs w:val="21"/>
          <w:shd w:fill="auto" w:val="clear"/>
          <w:lang w:eastAsia="fr-FR"/>
        </w:rPr>
        <w:t>)}  </w:t>
      </w:r>
      <w:r>
        <w:rPr>
          <w:rFonts w:eastAsia="Times New Roman" w:cs="Times New Roman" w:ascii="Consolas" w:hAnsi="Consolas"/>
          <w:color w:val="008000"/>
          <w:spacing w:val="0"/>
          <w:kern w:val="0"/>
          <w:sz w:val="21"/>
          <w:szCs w:val="21"/>
          <w:shd w:fill="auto" w:val="clear"/>
          <w:lang w:eastAsia="fr-FR"/>
        </w:rPr>
        <w:t># Dictionnaire pour les chiffres de 1 à 9</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Parcourir chaque élément de la liste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for</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in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liste</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Trouver le premier chiffre non nul du nombre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premier_chiffre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firstdigit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n</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On ignore les occurrences de 0</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if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premier_chiffre</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0</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val="en-US" w:eastAsia="fr-FR"/>
        </w:rPr>
        <w:t>count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premier_chiffre</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98658"/>
          <w:spacing w:val="0"/>
          <w:kern w:val="0"/>
          <w:sz w:val="21"/>
          <w:szCs w:val="21"/>
          <w:shd w:fill="auto" w:val="clear"/>
          <w:lang w:val="en-US" w:eastAsia="fr-FR"/>
        </w:rPr>
        <w:t>1</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return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count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00FF"/>
          <w:spacing w:val="0"/>
          <w:kern w:val="0"/>
          <w:sz w:val="21"/>
          <w:szCs w:val="21"/>
          <w:shd w:fill="auto" w:val="clear"/>
          <w:lang w:eastAsia="fr-FR"/>
        </w:rPr>
        <w:t>def</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frequences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count</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Calculer le total des occurrences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total</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sum</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count</w:t>
      </w:r>
      <w:r>
        <w:rPr>
          <w:rFonts w:eastAsia="Times New Roman" w:cs="Times New Roman" w:ascii="Consolas" w:hAnsi="Consolas"/>
          <w:color w:val="3B3B3B"/>
          <w:spacing w:val="0"/>
          <w:kern w:val="0"/>
          <w:sz w:val="21"/>
          <w:szCs w:val="21"/>
          <w:shd w:fill="auto" w:val="clear"/>
          <w:lang w:eastAsia="fr-FR"/>
        </w:rPr>
        <w:t>.values())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Calculer la fréquence de chaque élément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val="en-US" w:eastAsia="fr-FR"/>
        </w:rPr>
        <w:t>f</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k</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v</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total</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for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k</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v</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in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count</w:t>
      </w:r>
      <w:r>
        <w:rPr>
          <w:rFonts w:eastAsia="Times New Roman" w:cs="Times New Roman" w:ascii="Consolas" w:hAnsi="Consolas"/>
          <w:color w:val="3B3B3B"/>
          <w:spacing w:val="0"/>
          <w:kern w:val="0"/>
          <w:sz w:val="21"/>
          <w:szCs w:val="21"/>
          <w:shd w:fill="auto" w:val="clear"/>
          <w:lang w:val="en-US" w:eastAsia="fr-FR"/>
        </w:rPr>
        <w:t>.items()}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eastAsia="fr-FR"/>
        </w:rPr>
        <w:t>return</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f</w:t>
      </w:r>
    </w:p>
    <w:p>
      <w:pPr>
        <w:pStyle w:val="Normal"/>
        <w:spacing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r>
        <w:br w:type="page"/>
      </w:r>
    </w:p>
    <w:p>
      <w:pPr>
        <w:pStyle w:val="Normal"/>
        <w:spacing w:before="120" w:after="0"/>
        <w:ind w:left="0" w:right="720" w:hanging="0"/>
        <w:rPr>
          <w:sz w:val="32"/>
          <w:szCs w:val="24"/>
        </w:rPr>
      </w:pPr>
      <w:r>
        <w:rPr>
          <w:sz w:val="32"/>
          <w:szCs w:val="24"/>
        </w:rPr>
        <w:t xml:space="preserve">Code source pour l’étape #2 : vérification pour la suite </w:t>
      </w:r>
      <w:r>
        <w:rPr/>
      </w:r>
      <m:oMath xmlns:m="http://schemas.openxmlformats.org/officeDocument/2006/math">
        <m:sSub>
          <m:e>
            <m:d>
              <m:dPr>
                <m:begChr m:val="("/>
                <m:endChr m:val=")"/>
              </m:dPr>
              <m:e>
                <m:sSup>
                  <m:e>
                    <m:r>
                      <w:rPr>
                        <w:rFonts w:ascii="Cambria Math" w:hAnsi="Cambria Math"/>
                      </w:rPr>
                      <m:t xml:space="preserve">2</m:t>
                    </m:r>
                  </m:e>
                  <m:sup>
                    <m:r>
                      <w:rPr>
                        <w:rFonts w:ascii="Cambria Math" w:hAnsi="Cambria Math"/>
                      </w:rPr>
                      <m:t xml:space="preserve">n</m:t>
                    </m:r>
                  </m:sup>
                </m:sSup>
              </m:e>
            </m:d>
          </m:e>
          <m:sub>
            <m:r>
              <w:rPr>
                <w:rFonts w:ascii="Cambria Math" w:hAnsi="Cambria Math"/>
              </w:rPr>
              <m:t xml:space="preserve">n</m:t>
            </m:r>
            <m:r>
              <w:rPr>
                <w:rFonts w:ascii="Cambria Math" w:hAnsi="Cambria Math"/>
              </w:rPr>
              <m:t xml:space="preserve">∈</m:t>
            </m:r>
            <m:r>
              <w:rPr>
                <w:rFonts w:ascii="Cambria Math" w:hAnsi="Cambria Math"/>
              </w:rPr>
              <m:t xml:space="preserve">N</m:t>
            </m:r>
          </m:sub>
        </m:sSub>
      </m:oMath>
    </w:p>
    <w:p>
      <w:pPr>
        <w:pStyle w:val="Normal"/>
        <w:shd w:val="clear" w:color="auto" w:fill="FFFFFF"/>
        <w:spacing w:lineRule="atLeast" w:line="285" w:before="0" w:after="0"/>
        <w:ind w:left="0" w:right="0" w:hanging="0"/>
        <w:rPr>
          <w:rFonts w:ascii="Consolas" w:hAnsi="Consolas" w:eastAsia="Times New Roman" w:cs="Times New Roman"/>
          <w:color w:val="00800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AF00DB"/>
          <w:spacing w:val="0"/>
          <w:kern w:val="0"/>
          <w:sz w:val="21"/>
          <w:szCs w:val="21"/>
          <w:shd w:fill="auto" w:val="clear"/>
          <w:lang w:eastAsia="fr-FR"/>
        </w:rPr>
        <w:t>import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math</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AF00DB"/>
          <w:spacing w:val="0"/>
          <w:kern w:val="0"/>
          <w:sz w:val="21"/>
          <w:szCs w:val="21"/>
          <w:shd w:fill="auto" w:val="clear"/>
          <w:lang w:eastAsia="fr-FR"/>
        </w:rPr>
        <w:t>import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matplotlib</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267F99"/>
          <w:spacing w:val="0"/>
          <w:kern w:val="0"/>
          <w:sz w:val="21"/>
          <w:szCs w:val="21"/>
          <w:shd w:fill="auto" w:val="clear"/>
          <w:lang w:eastAsia="fr-FR"/>
        </w:rPr>
        <w:t>pyplot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F00DB"/>
          <w:spacing w:val="0"/>
          <w:kern w:val="0"/>
          <w:sz w:val="21"/>
          <w:szCs w:val="21"/>
          <w:shd w:fill="auto" w:val="clear"/>
          <w:lang w:eastAsia="fr-FR"/>
        </w:rPr>
        <w:t>as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267F99"/>
          <w:spacing w:val="0"/>
          <w:kern w:val="0"/>
          <w:sz w:val="21"/>
          <w:szCs w:val="21"/>
          <w:shd w:fill="auto" w:val="clear"/>
          <w:lang w:eastAsia="fr-FR"/>
        </w:rPr>
        <w:t>plt</w:t>
      </w:r>
    </w:p>
    <w:p>
      <w:pPr>
        <w:pStyle w:val="Normal"/>
        <w:shd w:val="clear" w:color="auto" w:fill="FFFFFF"/>
        <w:spacing w:lineRule="atLeast" w:line="285" w:before="0" w:after="0"/>
        <w:ind w:left="0" w:right="0" w:hanging="0"/>
        <w:rPr>
          <w:rFonts w:ascii="Consolas" w:hAnsi="Consolas" w:eastAsia="Times New Roman" w:cs="Times New Roman"/>
          <w:color w:val="008000"/>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Fonction pour générer les puissances de 2 et extraire les premiers chiffres non nuls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0000FF"/>
          <w:spacing w:val="0"/>
          <w:kern w:val="0"/>
          <w:sz w:val="21"/>
          <w:szCs w:val="21"/>
          <w:shd w:fill="auto" w:val="clear"/>
          <w:lang w:val="en-US" w:eastAsia="fr-FR"/>
        </w:rPr>
        <w:t>def</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795E26"/>
          <w:spacing w:val="0"/>
          <w:kern w:val="0"/>
          <w:sz w:val="21"/>
          <w:szCs w:val="21"/>
          <w:shd w:fill="auto" w:val="clear"/>
          <w:lang w:val="en-US" w:eastAsia="fr-FR"/>
        </w:rPr>
        <w:t>generate_powers_of_2</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n_max</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return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98658"/>
          <w:spacing w:val="0"/>
          <w:kern w:val="0"/>
          <w:sz w:val="21"/>
          <w:szCs w:val="21"/>
          <w:shd w:fill="auto" w:val="clear"/>
          <w:lang w:val="en-US" w:eastAsia="fr-FR"/>
        </w:rPr>
        <w:t>2</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0000"/>
          <w:spacing w:val="0"/>
          <w:kern w:val="0"/>
          <w:sz w:val="21"/>
          <w:szCs w:val="21"/>
          <w:shd w:fill="auto" w:val="clear"/>
          <w:lang w:val="en-US" w:eastAsia="fr-FR"/>
        </w:rPr>
        <w:t>**</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for</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001080"/>
          <w:spacing w:val="0"/>
          <w:kern w:val="0"/>
          <w:sz w:val="21"/>
          <w:szCs w:val="21"/>
          <w:shd w:fill="auto" w:val="clear"/>
          <w:lang w:val="en-US" w:eastAsia="fr-FR"/>
        </w:rPr>
        <w:t>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AF00DB"/>
          <w:spacing w:val="0"/>
          <w:kern w:val="0"/>
          <w:sz w:val="21"/>
          <w:szCs w:val="21"/>
          <w:shd w:fill="auto" w:val="clear"/>
          <w:lang w:val="en-US" w:eastAsia="fr-FR"/>
        </w:rPr>
        <w:t>in</w:t>
      </w:r>
      <w:r>
        <w:rPr>
          <w:rFonts w:eastAsia="Times New Roman" w:cs="Times New Roman" w:ascii="Consolas" w:hAnsi="Consolas"/>
          <w:color w:val="3B3B3B"/>
          <w:spacing w:val="0"/>
          <w:kern w:val="0"/>
          <w:sz w:val="21"/>
          <w:szCs w:val="21"/>
          <w:shd w:fill="auto" w:val="clear"/>
          <w:lang w:val="en-US" w:eastAsia="fr-FR"/>
        </w:rPr>
        <w:t xml:space="preserve"> </w:t>
      </w:r>
      <w:r>
        <w:rPr>
          <w:rFonts w:eastAsia="Times New Roman" w:cs="Times New Roman" w:ascii="Consolas" w:hAnsi="Consolas"/>
          <w:color w:val="267F99"/>
          <w:spacing w:val="0"/>
          <w:kern w:val="0"/>
          <w:sz w:val="21"/>
          <w:szCs w:val="21"/>
          <w:shd w:fill="auto" w:val="clear"/>
          <w:lang w:val="en-US" w:eastAsia="fr-FR"/>
        </w:rPr>
        <w:t>range</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001080"/>
          <w:spacing w:val="0"/>
          <w:kern w:val="0"/>
          <w:sz w:val="21"/>
          <w:szCs w:val="21"/>
          <w:shd w:fill="auto" w:val="clear"/>
          <w:lang w:val="en-US" w:eastAsia="fr-FR"/>
        </w:rPr>
        <w:t>n_max</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Nombre de puissances de 2 à analyser</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n_max</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98658"/>
          <w:spacing w:val="0"/>
          <w:kern w:val="0"/>
          <w:sz w:val="21"/>
          <w:szCs w:val="21"/>
          <w:shd w:fill="auto" w:val="clear"/>
          <w:lang w:eastAsia="fr-FR"/>
        </w:rPr>
        <w:t>1000</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8000"/>
          <w:spacing w:val="0"/>
          <w:kern w:val="0"/>
          <w:sz w:val="21"/>
          <w:szCs w:val="21"/>
          <w:shd w:fill="auto" w:val="clear"/>
          <w:lang w:eastAsia="fr-FR"/>
        </w:rPr>
        <w:t># Par exemple, les 1000 premières puissances de 2</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Générer les puissances de 2</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powers_of_2</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generate_powers_of_2</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n_max</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Calcul des occurrences et des fréquences empiriques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occurrences_empiriques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occurrences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powers_of_2</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frequences_empiriques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frequences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occurrences_empiriques</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Calcul des fréquences théoriques selon la loi de Benford</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1080"/>
          <w:spacing w:val="0"/>
          <w:kern w:val="0"/>
          <w:sz w:val="21"/>
          <w:szCs w:val="21"/>
          <w:shd w:fill="auto" w:val="clear"/>
          <w:lang w:eastAsia="fr-FR"/>
        </w:rPr>
        <w:t>frequences_benford</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795E26"/>
          <w:spacing w:val="0"/>
          <w:kern w:val="0"/>
          <w:sz w:val="21"/>
          <w:szCs w:val="21"/>
          <w:shd w:fill="auto" w:val="clear"/>
          <w:lang w:eastAsia="fr-FR"/>
        </w:rPr>
        <w:t>benford</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Affichage des résultats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Histogramme des fréquences empiriques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bar</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frequences_empiriques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keys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frequences_empiriques</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values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alpha</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098658"/>
          <w:spacing w:val="0"/>
          <w:kern w:val="0"/>
          <w:sz w:val="21"/>
          <w:szCs w:val="21"/>
          <w:shd w:fill="auto" w:val="clear"/>
          <w:lang w:eastAsia="fr-FR"/>
        </w:rPr>
        <w:t>0.6</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label</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'Fréquences empiriques'</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Histogramme des fréquences théoriques (Loi de Benford)</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plot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001080"/>
          <w:spacing w:val="0"/>
          <w:kern w:val="0"/>
          <w:sz w:val="21"/>
          <w:szCs w:val="21"/>
          <w:shd w:fill="auto" w:val="clear"/>
          <w:lang w:eastAsia="fr-FR"/>
        </w:rPr>
        <w:t>frequences_benford</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keys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frequences_benford</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values</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A31515"/>
          <w:spacing w:val="0"/>
          <w:kern w:val="0"/>
          <w:sz w:val="21"/>
          <w:szCs w:val="21"/>
          <w:shd w:fill="auto" w:val="clear"/>
          <w:lang w:eastAsia="fr-FR"/>
        </w:rPr>
        <w:t>'ro-'</w:t>
      </w:r>
      <w:r>
        <w:rPr>
          <w:rFonts w:eastAsia="Times New Roman" w:cs="Times New Roman" w:ascii="Consolas" w:hAnsi="Consolas"/>
          <w:color w:val="3B3B3B"/>
          <w:spacing w:val="0"/>
          <w:kern w:val="0"/>
          <w:sz w:val="21"/>
          <w:szCs w:val="21"/>
          <w:shd w:fill="auto" w:val="clear"/>
          <w:lang w:eastAsia="fr-FR"/>
        </w:rPr>
        <w:t xml:space="preserve">, </w:t>
      </w:r>
      <w:r>
        <w:rPr>
          <w:rFonts w:eastAsia="Times New Roman" w:cs="Times New Roman" w:ascii="Consolas" w:hAnsi="Consolas"/>
          <w:color w:val="001080"/>
          <w:spacing w:val="0"/>
          <w:kern w:val="0"/>
          <w:sz w:val="21"/>
          <w:szCs w:val="21"/>
          <w:shd w:fill="auto" w:val="clear"/>
          <w:lang w:eastAsia="fr-FR"/>
        </w:rPr>
        <w:t>label</w:t>
      </w:r>
      <w:r>
        <w:rPr>
          <w:rFonts w:eastAsia="Times New Roman" w:cs="Times New Roman" w:ascii="Consolas" w:hAnsi="Consolas"/>
          <w:color w:val="000000"/>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'Loi de Benford'</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Titrage et légendes</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title</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'Comparaison de la loi de Benford avec les puissances de 2'</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xlabel</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A31515"/>
          <w:spacing w:val="0"/>
          <w:kern w:val="0"/>
          <w:sz w:val="21"/>
          <w:szCs w:val="21"/>
          <w:shd w:fill="auto" w:val="clear"/>
          <w:lang w:eastAsia="fr-FR"/>
        </w:rPr>
        <w:t>'Premier chiffre non nul'</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267F99"/>
          <w:spacing w:val="0"/>
          <w:kern w:val="0"/>
          <w:sz w:val="21"/>
          <w:szCs w:val="21"/>
          <w:shd w:fill="auto" w:val="clear"/>
          <w:lang w:val="en-US" w:eastAsia="fr-FR"/>
        </w:rPr>
        <w:t>plt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795E26"/>
          <w:spacing w:val="0"/>
          <w:kern w:val="0"/>
          <w:sz w:val="21"/>
          <w:szCs w:val="21"/>
          <w:shd w:fill="auto" w:val="clear"/>
          <w:lang w:val="en-US" w:eastAsia="fr-FR"/>
        </w:rPr>
        <w:t>ylabel</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A31515"/>
          <w:spacing w:val="0"/>
          <w:kern w:val="0"/>
          <w:sz w:val="21"/>
          <w:szCs w:val="21"/>
          <w:shd w:fill="auto" w:val="clear"/>
          <w:lang w:val="en-US" w:eastAsia="fr-FR"/>
        </w:rPr>
        <w:t>'Fréquence'</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267F99"/>
          <w:spacing w:val="0"/>
          <w:kern w:val="0"/>
          <w:sz w:val="21"/>
          <w:szCs w:val="21"/>
          <w:shd w:fill="auto" w:val="clear"/>
          <w:lang w:val="en-US" w:eastAsia="fr-FR"/>
        </w:rPr>
        <w:t>plt</w:t>
      </w:r>
      <w:r>
        <w:rPr>
          <w:rFonts w:eastAsia="Times New Roman" w:cs="Times New Roman" w:ascii="Consolas" w:hAnsi="Consolas"/>
          <w:color w:val="3B3B3B"/>
          <w:spacing w:val="0"/>
          <w:kern w:val="0"/>
          <w:sz w:val="21"/>
          <w:szCs w:val="21"/>
          <w:shd w:fill="auto" w:val="clear"/>
          <w:lang w:val="en-US" w:eastAsia="fr-FR"/>
        </w:rPr>
        <w:t>.</w:t>
      </w:r>
      <w:r>
        <w:rPr>
          <w:rFonts w:eastAsia="Times New Roman" w:cs="Times New Roman" w:ascii="Consolas" w:hAnsi="Consolas"/>
          <w:color w:val="795E26"/>
          <w:spacing w:val="0"/>
          <w:kern w:val="0"/>
          <w:sz w:val="21"/>
          <w:szCs w:val="21"/>
          <w:shd w:fill="auto" w:val="clear"/>
          <w:lang w:val="en-US" w:eastAsia="fr-FR"/>
        </w:rPr>
        <w:t>legend</w:t>
      </w:r>
      <w:r>
        <w:rPr>
          <w:rFonts w:eastAsia="Times New Roman" w:cs="Times New Roman" w:ascii="Consolas" w:hAnsi="Consolas"/>
          <w:color w:val="3B3B3B"/>
          <w:spacing w:val="0"/>
          <w:kern w:val="0"/>
          <w:sz w:val="21"/>
          <w:szCs w:val="21"/>
          <w:shd w:fill="auto" w:val="clear"/>
          <w:lang w:val="en-US"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val="en-US" w:eastAsia="fr-FR"/>
        </w:rPr>
      </w:pPr>
      <w:r>
        <w:rPr>
          <w:rFonts w:eastAsia="Times New Roman" w:cs="Times New Roman" w:ascii="Consolas" w:hAnsi="Consolas"/>
          <w:color w:val="3B3B3B"/>
          <w:spacing w:val="0"/>
          <w:kern w:val="0"/>
          <w:sz w:val="21"/>
          <w:szCs w:val="21"/>
          <w:shd w:fill="auto" w:val="clear"/>
          <w:lang w:val="en-US" w:eastAsia="fr-FR"/>
        </w:rPr>
        <w:drawing>
          <wp:anchor behindDoc="0" distT="0" distB="0" distL="114300" distR="114300" simplePos="0" locked="0" layoutInCell="0" allowOverlap="1" relativeHeight="5">
            <wp:simplePos x="0" y="0"/>
            <wp:positionH relativeFrom="margin">
              <wp:posOffset>2417445</wp:posOffset>
            </wp:positionH>
            <wp:positionV relativeFrom="margin">
              <wp:posOffset>6628130</wp:posOffset>
            </wp:positionV>
            <wp:extent cx="4036060" cy="3049270"/>
            <wp:effectExtent l="0" t="0" r="0" b="0"/>
            <wp:wrapSquare wrapText="bothSides"/>
            <wp:docPr id="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descr="Une image contenant texte, capture d’écran, Tracé, ligne&#10;&#10;Description générée automatiquement"/>
                    <pic:cNvPicPr>
                      <a:picLocks noChangeAspect="1" noChangeArrowheads="1"/>
                    </pic:cNvPicPr>
                  </pic:nvPicPr>
                  <pic:blipFill>
                    <a:blip r:embed="rId7"/>
                    <a:stretch>
                      <a:fillRect/>
                    </a:stretch>
                  </pic:blipFill>
                  <pic:spPr bwMode="auto">
                    <a:xfrm>
                      <a:off x="0" y="0"/>
                      <a:ext cx="4036060" cy="3049270"/>
                    </a:xfrm>
                    <a:prstGeom prst="rect">
                      <a:avLst/>
                    </a:prstGeom>
                  </pic:spPr>
                </pic:pic>
              </a:graphicData>
            </a:graphic>
          </wp:anchor>
        </w:drawing>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008000"/>
          <w:spacing w:val="0"/>
          <w:kern w:val="0"/>
          <w:sz w:val="21"/>
          <w:szCs w:val="21"/>
          <w:shd w:fill="auto" w:val="clear"/>
          <w:lang w:eastAsia="fr-FR"/>
        </w:rPr>
        <w:t># Affichage</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267F99"/>
          <w:spacing w:val="0"/>
          <w:kern w:val="0"/>
          <w:sz w:val="21"/>
          <w:szCs w:val="21"/>
          <w:shd w:fill="auto" w:val="clear"/>
          <w:lang w:eastAsia="fr-FR"/>
        </w:rPr>
        <w:t>plt</w:t>
      </w:r>
      <w:r>
        <w:rPr>
          <w:rFonts w:eastAsia="Times New Roman" w:cs="Times New Roman" w:ascii="Consolas" w:hAnsi="Consolas"/>
          <w:color w:val="3B3B3B"/>
          <w:spacing w:val="0"/>
          <w:kern w:val="0"/>
          <w:sz w:val="21"/>
          <w:szCs w:val="21"/>
          <w:shd w:fill="auto" w:val="clear"/>
          <w:lang w:eastAsia="fr-FR"/>
        </w:rPr>
        <w:t>.</w:t>
      </w:r>
      <w:r>
        <w:rPr>
          <w:rFonts w:eastAsia="Times New Roman" w:cs="Times New Roman" w:ascii="Consolas" w:hAnsi="Consolas"/>
          <w:color w:val="795E26"/>
          <w:spacing w:val="0"/>
          <w:kern w:val="0"/>
          <w:sz w:val="21"/>
          <w:szCs w:val="21"/>
          <w:shd w:fill="auto" w:val="clear"/>
          <w:lang w:eastAsia="fr-FR"/>
        </w:rPr>
        <w:t>show</w:t>
      </w:r>
      <w:r>
        <w:rPr>
          <w:rFonts w:eastAsia="Times New Roman" w:cs="Times New Roman" w:ascii="Consolas" w:hAnsi="Consolas"/>
          <w:color w:val="3B3B3B"/>
          <w:spacing w:val="0"/>
          <w:kern w:val="0"/>
          <w:sz w:val="21"/>
          <w:szCs w:val="21"/>
          <w:shd w:fill="auto" w:val="clear"/>
          <w:lang w:eastAsia="fr-FR"/>
        </w:rPr>
        <w:t>()</w:t>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hd w:val="clear" w:color="auto" w:fill="FFFFFF"/>
        <w:spacing w:lineRule="atLeast" w:line="285" w:before="0" w:after="0"/>
        <w:ind w:left="0" w:right="0" w:hanging="0"/>
        <w:rPr>
          <w:rFonts w:ascii="Consolas" w:hAnsi="Consolas" w:eastAsia="Times New Roman" w:cs="Times New Roman"/>
          <w:color w:val="3B3B3B"/>
          <w:spacing w:val="0"/>
          <w:kern w:val="0"/>
          <w:sz w:val="21"/>
          <w:szCs w:val="21"/>
          <w:shd w:fill="auto" w:val="clear"/>
          <w:lang w:eastAsia="fr-FR"/>
        </w:rPr>
      </w:pPr>
      <w:r>
        <w:rPr>
          <w:rFonts w:eastAsia="Times New Roman" w:cs="Times New Roman" w:ascii="Consolas" w:hAnsi="Consolas"/>
          <w:color w:val="3B3B3B"/>
          <w:spacing w:val="0"/>
          <w:kern w:val="0"/>
          <w:sz w:val="21"/>
          <w:szCs w:val="21"/>
          <w:shd w:fill="auto" w:val="clear"/>
          <w:lang w:eastAsia="fr-FR"/>
        </w:rPr>
      </w:r>
    </w:p>
    <w:p>
      <w:pPr>
        <w:pStyle w:val="Normal"/>
        <w:spacing w:before="0" w:after="0"/>
        <w:ind w:left="0" w:right="0" w:hanging="0"/>
        <w:rPr>
          <w:rFonts w:ascii="Consolas" w:hAnsi="Consolas" w:eastAsia="Times New Roman" w:cs="Times New Roman"/>
          <w:color w:val="3B3B3B"/>
          <w:spacing w:val="0"/>
          <w:kern w:val="0"/>
          <w:sz w:val="21"/>
          <w:szCs w:val="21"/>
          <w:shd w:fill="auto" w:val="clear"/>
          <w:lang w:eastAsia="fr-FR"/>
        </w:rPr>
      </w:pPr>
      <w:r>
        <w:rPr/>
      </w:r>
    </w:p>
    <w:sectPr>
      <w:footnotePr>
        <w:numFmt w:val="decimal"/>
      </w:footnotePr>
      <w:type w:val="nextPage"/>
      <w:pgSz w:w="11906" w:h="16838"/>
      <w:pgMar w:left="720" w:right="720" w:gutter="0" w:header="0" w:top="720" w:footer="0" w:bottom="72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Franklin Gothic Book">
    <w:charset w:val="01"/>
    <w:family w:val="roman"/>
    <w:pitch w:val="variable"/>
  </w:font>
  <w:font w:name="Volte Medium">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Volte">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rPr/>
      </w:pPr>
      <w:r>
        <w:rPr>
          <w:rStyle w:val="Caractresdenotedebasdepage"/>
        </w:rPr>
        <w:footnoteRef/>
      </w:r>
      <w:r>
        <w:rPr/>
        <w:t xml:space="preserve"> </w:t>
      </w:r>
      <w:r>
        <w:rPr/>
        <w:t>On pourra remarquer que le nombre d’individus est donné sous forme d’une valeur réelle et non entière. En effet, les chiffres non entiers peuvent résulter d'approximations, de modèles statistiques, et de méthodes de calcul qui visent à fournir des estimations plus précises.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sz w:val="28"/>
        <w:color w:val="4389D7" w:themeColor="text2" w:themeTint="99"/>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bullet"/>
      <w:lvlText w:val="-"/>
      <w:lvlJc w:val="left"/>
      <w:pPr>
        <w:tabs>
          <w:tab w:val="num" w:pos="0"/>
        </w:tabs>
        <w:ind w:left="1996" w:hanging="360"/>
      </w:pPr>
      <w:rPr>
        <w:rFonts w:ascii="Courier New" w:hAnsi="Courier New" w:cs="Courier New" w:hint="default"/>
      </w:rPr>
    </w:lvl>
    <w:lvl w:ilvl="1">
      <w:start w:val="1"/>
      <w:numFmt w:val="bullet"/>
      <w:lvlText w:val="o"/>
      <w:lvlJc w:val="left"/>
      <w:pPr>
        <w:tabs>
          <w:tab w:val="num" w:pos="0"/>
        </w:tabs>
        <w:ind w:left="2716" w:hanging="360"/>
      </w:pPr>
      <w:rPr>
        <w:rFonts w:ascii="Courier New" w:hAnsi="Courier New" w:cs="Courier New" w:hint="default"/>
      </w:rPr>
    </w:lvl>
    <w:lvl w:ilvl="2">
      <w:start w:val="1"/>
      <w:numFmt w:val="bullet"/>
      <w:lvlText w:val=""/>
      <w:lvlJc w:val="left"/>
      <w:pPr>
        <w:tabs>
          <w:tab w:val="num" w:pos="0"/>
        </w:tabs>
        <w:ind w:left="3436" w:hanging="360"/>
      </w:pPr>
      <w:rPr>
        <w:rFonts w:ascii="Wingdings" w:hAnsi="Wingdings" w:cs="Wingdings" w:hint="default"/>
      </w:rPr>
    </w:lvl>
    <w:lvl w:ilvl="3">
      <w:start w:val="1"/>
      <w:numFmt w:val="bullet"/>
      <w:lvlText w:val=""/>
      <w:lvlJc w:val="left"/>
      <w:pPr>
        <w:tabs>
          <w:tab w:val="num" w:pos="0"/>
        </w:tabs>
        <w:ind w:left="4156" w:hanging="360"/>
      </w:pPr>
      <w:rPr>
        <w:rFonts w:ascii="Symbol" w:hAnsi="Symbol" w:cs="Symbol" w:hint="default"/>
      </w:rPr>
    </w:lvl>
    <w:lvl w:ilvl="4">
      <w:start w:val="1"/>
      <w:numFmt w:val="bullet"/>
      <w:lvlText w:val="o"/>
      <w:lvlJc w:val="left"/>
      <w:pPr>
        <w:tabs>
          <w:tab w:val="num" w:pos="0"/>
        </w:tabs>
        <w:ind w:left="4876" w:hanging="360"/>
      </w:pPr>
      <w:rPr>
        <w:rFonts w:ascii="Courier New" w:hAnsi="Courier New" w:cs="Courier New" w:hint="default"/>
      </w:rPr>
    </w:lvl>
    <w:lvl w:ilvl="5">
      <w:start w:val="1"/>
      <w:numFmt w:val="bullet"/>
      <w:lvlText w:val=""/>
      <w:lvlJc w:val="left"/>
      <w:pPr>
        <w:tabs>
          <w:tab w:val="num" w:pos="0"/>
        </w:tabs>
        <w:ind w:left="5596" w:hanging="360"/>
      </w:pPr>
      <w:rPr>
        <w:rFonts w:ascii="Wingdings" w:hAnsi="Wingdings" w:cs="Wingdings" w:hint="default"/>
      </w:rPr>
    </w:lvl>
    <w:lvl w:ilvl="6">
      <w:start w:val="1"/>
      <w:numFmt w:val="bullet"/>
      <w:lvlText w:val=""/>
      <w:lvlJc w:val="left"/>
      <w:pPr>
        <w:tabs>
          <w:tab w:val="num" w:pos="0"/>
        </w:tabs>
        <w:ind w:left="6316" w:hanging="360"/>
      </w:pPr>
      <w:rPr>
        <w:rFonts w:ascii="Symbol" w:hAnsi="Symbol" w:cs="Symbol" w:hint="default"/>
      </w:rPr>
    </w:lvl>
    <w:lvl w:ilvl="7">
      <w:start w:val="1"/>
      <w:numFmt w:val="bullet"/>
      <w:lvlText w:val="o"/>
      <w:lvlJc w:val="left"/>
      <w:pPr>
        <w:tabs>
          <w:tab w:val="num" w:pos="0"/>
        </w:tabs>
        <w:ind w:left="7036" w:hanging="360"/>
      </w:pPr>
      <w:rPr>
        <w:rFonts w:ascii="Courier New" w:hAnsi="Courier New" w:cs="Courier New" w:hint="default"/>
      </w:rPr>
    </w:lvl>
    <w:lvl w:ilvl="8">
      <w:start w:val="1"/>
      <w:numFmt w:val="bullet"/>
      <w:lvlText w:val=""/>
      <w:lvlJc w:val="left"/>
      <w:pPr>
        <w:tabs>
          <w:tab w:val="num" w:pos="0"/>
        </w:tabs>
        <w:ind w:left="7756" w:hanging="360"/>
      </w:pPr>
      <w:rPr>
        <w:rFonts w:ascii="Wingdings" w:hAnsi="Wingdings" w:cs="Wingdings" w:hint="default"/>
      </w:rPr>
    </w:lvl>
  </w:abstractNum>
  <w:abstractNum w:abstractNumId="3">
    <w:lvl w:ilvl="0">
      <w:start w:val="1"/>
      <w:numFmt w:val="bullet"/>
      <w:lvlText w:val="-"/>
      <w:lvlJc w:val="left"/>
      <w:pPr>
        <w:tabs>
          <w:tab w:val="num" w:pos="0"/>
        </w:tabs>
        <w:ind w:left="1996" w:hanging="360"/>
      </w:pPr>
      <w:rPr>
        <w:rFonts w:ascii="Courier New" w:hAnsi="Courier New" w:cs="Courier New" w:hint="default"/>
      </w:rPr>
    </w:lvl>
    <w:lvl w:ilvl="1">
      <w:start w:val="1"/>
      <w:numFmt w:val="bullet"/>
      <w:lvlText w:val=""/>
      <w:lvlJc w:val="left"/>
      <w:pPr>
        <w:tabs>
          <w:tab w:val="num" w:pos="0"/>
        </w:tabs>
        <w:ind w:left="2716" w:hanging="360"/>
      </w:pPr>
      <w:rPr>
        <w:rFonts w:ascii="Symbol" w:hAnsi="Symbol" w:cs="Symbol" w:hint="default"/>
      </w:rPr>
    </w:lvl>
    <w:lvl w:ilvl="2">
      <w:start w:val="1"/>
      <w:numFmt w:val="bullet"/>
      <w:lvlText w:val=""/>
      <w:lvlJc w:val="left"/>
      <w:pPr>
        <w:tabs>
          <w:tab w:val="num" w:pos="0"/>
        </w:tabs>
        <w:ind w:left="3436" w:hanging="360"/>
      </w:pPr>
      <w:rPr>
        <w:rFonts w:ascii="Wingdings" w:hAnsi="Wingdings" w:cs="Wingdings" w:hint="default"/>
      </w:rPr>
    </w:lvl>
    <w:lvl w:ilvl="3">
      <w:start w:val="1"/>
      <w:numFmt w:val="bullet"/>
      <w:lvlText w:val=""/>
      <w:lvlJc w:val="left"/>
      <w:pPr>
        <w:tabs>
          <w:tab w:val="num" w:pos="0"/>
        </w:tabs>
        <w:ind w:left="4156" w:hanging="360"/>
      </w:pPr>
      <w:rPr>
        <w:rFonts w:ascii="Symbol" w:hAnsi="Symbol" w:cs="Symbol" w:hint="default"/>
      </w:rPr>
    </w:lvl>
    <w:lvl w:ilvl="4">
      <w:start w:val="1"/>
      <w:numFmt w:val="bullet"/>
      <w:lvlText w:val="o"/>
      <w:lvlJc w:val="left"/>
      <w:pPr>
        <w:tabs>
          <w:tab w:val="num" w:pos="0"/>
        </w:tabs>
        <w:ind w:left="4876" w:hanging="360"/>
      </w:pPr>
      <w:rPr>
        <w:rFonts w:ascii="Courier New" w:hAnsi="Courier New" w:cs="Courier New" w:hint="default"/>
      </w:rPr>
    </w:lvl>
    <w:lvl w:ilvl="5">
      <w:start w:val="1"/>
      <w:numFmt w:val="bullet"/>
      <w:lvlText w:val=""/>
      <w:lvlJc w:val="left"/>
      <w:pPr>
        <w:tabs>
          <w:tab w:val="num" w:pos="0"/>
        </w:tabs>
        <w:ind w:left="5596" w:hanging="360"/>
      </w:pPr>
      <w:rPr>
        <w:rFonts w:ascii="Wingdings" w:hAnsi="Wingdings" w:cs="Wingdings" w:hint="default"/>
      </w:rPr>
    </w:lvl>
    <w:lvl w:ilvl="6">
      <w:start w:val="1"/>
      <w:numFmt w:val="bullet"/>
      <w:lvlText w:val=""/>
      <w:lvlJc w:val="left"/>
      <w:pPr>
        <w:tabs>
          <w:tab w:val="num" w:pos="0"/>
        </w:tabs>
        <w:ind w:left="6316" w:hanging="360"/>
      </w:pPr>
      <w:rPr>
        <w:rFonts w:ascii="Symbol" w:hAnsi="Symbol" w:cs="Symbol" w:hint="default"/>
      </w:rPr>
    </w:lvl>
    <w:lvl w:ilvl="7">
      <w:start w:val="1"/>
      <w:numFmt w:val="bullet"/>
      <w:lvlText w:val="o"/>
      <w:lvlJc w:val="left"/>
      <w:pPr>
        <w:tabs>
          <w:tab w:val="num" w:pos="0"/>
        </w:tabs>
        <w:ind w:left="7036" w:hanging="360"/>
      </w:pPr>
      <w:rPr>
        <w:rFonts w:ascii="Courier New" w:hAnsi="Courier New" w:cs="Courier New" w:hint="default"/>
      </w:rPr>
    </w:lvl>
    <w:lvl w:ilvl="8">
      <w:start w:val="1"/>
      <w:numFmt w:val="bullet"/>
      <w:lvlText w:val=""/>
      <w:lvlJc w:val="left"/>
      <w:pPr>
        <w:tabs>
          <w:tab w:val="num" w:pos="0"/>
        </w:tabs>
        <w:ind w:left="7756" w:hanging="360"/>
      </w:pPr>
      <w:rPr>
        <w:rFonts w:ascii="Wingdings" w:hAnsi="Wingdings" w:cs="Wingdings" w:hint="default"/>
      </w:rPr>
    </w:lvl>
  </w:abstractNum>
  <w:abstractNum w:abstractNumId="4">
    <w:lvl w:ilvl="0">
      <w:start w:val="1"/>
      <w:numFmt w:val="decimal"/>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anklin Gothic Book" w:hAnsi="Franklin Gothic Book" w:eastAsia="HGｺﾞｼｯｸE" w:cs="Tahoma" w:asciiTheme="minorHAnsi" w:cstheme="minorBidi" w:eastAsiaTheme="minorEastAsia" w:hAnsiTheme="minorHAnsi"/>
        <w:sz w:val="24"/>
        <w:szCs w:val="24"/>
        <w:lang w:val="fr-FR"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8" w:qFormat="1"/>
    <w:lsdException w:name="heading 2" w:uiPriority="9" w:semiHidden="1" w:unhideWhenUsed="1" w:qFormat="1"/>
    <w:lsdException w:name="heading 3" w:uiPriority="9" w:semiHidden="1" w:qFormat="1"/>
    <w:lsdException w:name="heading 4" w:uiPriority="9" w:semiHidden="1" w:qFormat="1"/>
    <w:lsdException w:name="heading 5" w:uiPriority="9" w:semiHidden="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uiPriority="6" w:semiHidden="1" w:unhideWhenUsed="1" w:qFormat="1"/>
    <w:lsdException w:name="Signature" w:uiPriority="7"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uiPriority="4"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semiHidden="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lsdException w:name="Quote" w:uiPriority="29" w:semiHidden="1"/>
    <w:lsdException w:name="Intense Quote" w:uiPriority="30"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lsdException w:name="Intense Emphasis" w:uiPriority="21" w:semiHidden="1"/>
    <w:lsdException w:name="Subtle Reference" w:uiPriority="31" w:semiHidden="1"/>
    <w:lsdException w:name="Intense Reference" w:uiPriority="32" w:semiHidden="1"/>
    <w:lsdException w:name="Book Title" w:uiPriority="33" w:semiHidden="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styleId="Normal" w:default="1">
    <w:name w:val="Normal"/>
    <w:qFormat/>
    <w:rsid w:val="002f4619"/>
    <w:pPr>
      <w:widowControl/>
      <w:bidi w:val="0"/>
      <w:spacing w:before="120" w:after="120"/>
      <w:ind w:left="720" w:right="720" w:hanging="0"/>
      <w:jc w:val="left"/>
    </w:pPr>
    <w:rPr>
      <w:rFonts w:ascii="Volte Medium" w:hAnsi="Volte Medium" w:eastAsia="Franklin Gothic Book" w:eastAsiaTheme="minorHAnsi" w:cs="Tahoma"/>
      <w:color w:val="595959" w:themeColor="text1" w:themeTint="a6"/>
      <w:spacing w:val="6"/>
      <w:kern w:val="2"/>
      <w:sz w:val="24"/>
      <w:szCs w:val="20"/>
      <w:shd w:fill="FFFFFF" w:val="clear"/>
      <w:lang w:val="fr-FR" w:eastAsia="ja-JP" w:bidi="ar-SA"/>
    </w:rPr>
  </w:style>
  <w:style w:type="paragraph" w:styleId="Titre1">
    <w:name w:val="Heading 1"/>
    <w:basedOn w:val="Normal"/>
    <w:next w:val="Normal"/>
    <w:link w:val="Titre1Car"/>
    <w:uiPriority w:val="8"/>
    <w:unhideWhenUsed/>
    <w:qFormat/>
    <w:rsid w:val="002f4619"/>
    <w:pPr>
      <w:spacing w:before="0" w:after="360"/>
      <w:contextualSpacing/>
      <w:outlineLvl w:val="0"/>
    </w:pPr>
    <w:rPr>
      <w:rFonts w:eastAsia="HG創英角ｺﾞｼｯｸUB" w:cs="Tahoma" w:cstheme="majorBidi" w:eastAsiaTheme="majorEastAsia"/>
      <w:caps/>
      <w:color w:val="17406D" w:themeColor="accent1"/>
      <w:sz w:val="32"/>
      <w:szCs w:val="24"/>
      <w14:textFill>
        <w14:solidFill>
          <w14:schemeClr w14:val="accent1">
            <w14:lumMod w14:val="75000"/>
            <w14:lumMod w14:val="65000"/>
            <w14:lumOff w14:val="35000"/>
          </w14:schemeClr>
        </w14:solidFill>
      </w14:textFill>
    </w:rPr>
  </w:style>
  <w:style w:type="paragraph" w:styleId="Titre2">
    <w:name w:val="Heading 2"/>
    <w:basedOn w:val="Normal"/>
    <w:next w:val="Normal"/>
    <w:link w:val="Titre2Car"/>
    <w:uiPriority w:val="9"/>
    <w:unhideWhenUsed/>
    <w:qFormat/>
    <w:rsid w:val="002f4619"/>
    <w:pPr>
      <w:keepNext w:val="true"/>
      <w:keepLines/>
      <w:spacing w:before="240" w:after="120"/>
      <w:outlineLvl w:val="1"/>
    </w:pPr>
    <w:rPr>
      <w:rFonts w:eastAsia="HG創英角ｺﾞｼｯｸUB" w:cs="Tahoma" w:cstheme="majorBidi" w:eastAsiaTheme="majorEastAsia"/>
      <w:color w:val="C00000"/>
      <w:sz w:val="28"/>
      <w:szCs w:val="2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8"/>
    <w:qFormat/>
    <w:rsid w:val="002f4619"/>
    <w:rPr>
      <w:rFonts w:ascii="Volte Medium" w:hAnsi="Volte Medium" w:eastAsia="HG創英角ｺﾞｼｯｸUB" w:cs="Tahoma" w:cstheme="majorBidi" w:eastAsiaTheme="majorEastAsia"/>
      <w:caps/>
      <w:color w:val="17406D" w:themeColor="accent1"/>
      <w:spacing w:val="6"/>
      <w:kern w:val="2"/>
      <w:sz w:val="32"/>
      <w14:textFill>
        <w14:solidFill>
          <w14:schemeClr w14:val="accent1">
            <w14:lumMod w14:val="75000"/>
            <w14:lumMod w14:val="65000"/>
            <w14:lumOff w14:val="35000"/>
          </w14:schemeClr>
        </w14:solidFill>
      </w14:textFill>
    </w:rPr>
  </w:style>
  <w:style w:type="character" w:styleId="SalutationsCar" w:customStyle="1">
    <w:name w:val="Salutations Car"/>
    <w:basedOn w:val="DefaultParagraphFont"/>
    <w:uiPriority w:val="4"/>
    <w:qFormat/>
    <w:rsid w:val="00a66b18"/>
    <w:rPr>
      <w:rFonts w:eastAsia="Franklin Gothic Book" w:eastAsiaTheme="minorHAnsi"/>
      <w:color w:val="595959" w:themeColor="text1" w:themeTint="a6"/>
      <w:kern w:val="2"/>
      <w:sz w:val="20"/>
      <w:szCs w:val="20"/>
    </w:rPr>
  </w:style>
  <w:style w:type="character" w:styleId="FormuledepolitesseCar" w:customStyle="1">
    <w:name w:val="Formule de politesse Car"/>
    <w:basedOn w:val="DefaultParagraphFont"/>
    <w:link w:val="Closing"/>
    <w:uiPriority w:val="6"/>
    <w:qFormat/>
    <w:rsid w:val="00a6783b"/>
    <w:rPr>
      <w:rFonts w:eastAsia="Franklin Gothic Book" w:eastAsiaTheme="minorHAnsi"/>
      <w:color w:val="595959" w:themeColor="text1" w:themeTint="a6"/>
      <w:kern w:val="2"/>
      <w:szCs w:val="20"/>
    </w:rPr>
  </w:style>
  <w:style w:type="character" w:styleId="SignatureCar" w:customStyle="1">
    <w:name w:val="Signature Car"/>
    <w:basedOn w:val="DefaultParagraphFont"/>
    <w:link w:val="Signature"/>
    <w:uiPriority w:val="7"/>
    <w:qFormat/>
    <w:rsid w:val="00a6783b"/>
    <w:rPr>
      <w:rFonts w:eastAsia="Franklin Gothic Book" w:eastAsiaTheme="minorHAnsi"/>
      <w:b/>
      <w:bCs/>
      <w:color w:val="17406D" w:themeColor="accent1"/>
      <w:kern w:val="2"/>
      <w:szCs w:val="20"/>
    </w:rPr>
  </w:style>
  <w:style w:type="character" w:styleId="EntteCar" w:customStyle="1">
    <w:name w:val="En-tête Car"/>
    <w:basedOn w:val="DefaultParagraphFont"/>
    <w:uiPriority w:val="99"/>
    <w:qFormat/>
    <w:rsid w:val="003e24df"/>
    <w:rPr>
      <w:rFonts w:eastAsia="Franklin Gothic Book" w:eastAsiaTheme="minorHAnsi"/>
      <w:color w:val="595959" w:themeColor="text1" w:themeTint="a6"/>
      <w:kern w:val="2"/>
      <w:sz w:val="20"/>
      <w:szCs w:val="20"/>
    </w:rPr>
  </w:style>
  <w:style w:type="character" w:styleId="Strong">
    <w:name w:val="Strong"/>
    <w:basedOn w:val="DefaultParagraphFont"/>
    <w:uiPriority w:val="22"/>
    <w:qFormat/>
    <w:rsid w:val="003e24df"/>
    <w:rPr>
      <w:b/>
      <w:bCs/>
    </w:rPr>
  </w:style>
  <w:style w:type="character" w:styleId="Titre2Car" w:customStyle="1">
    <w:name w:val="Titre 2 Car"/>
    <w:basedOn w:val="DefaultParagraphFont"/>
    <w:uiPriority w:val="9"/>
    <w:qFormat/>
    <w:rsid w:val="002f4619"/>
    <w:rPr>
      <w:rFonts w:ascii="Volte Medium" w:hAnsi="Volte Medium" w:eastAsia="HG創英角ｺﾞｼｯｸUB" w:cs="Tahoma" w:cstheme="majorBidi" w:eastAsiaTheme="majorEastAsia"/>
      <w:color w:val="C00000"/>
      <w:spacing w:val="6"/>
      <w:kern w:val="2"/>
      <w:sz w:val="28"/>
      <w:szCs w:val="28"/>
    </w:rPr>
  </w:style>
  <w:style w:type="character" w:styleId="PlaceholderText">
    <w:name w:val="Placeholder Text"/>
    <w:basedOn w:val="DefaultParagraphFont"/>
    <w:uiPriority w:val="99"/>
    <w:semiHidden/>
    <w:qFormat/>
    <w:rsid w:val="001766d6"/>
    <w:rPr>
      <w:color w:val="808080"/>
    </w:rPr>
  </w:style>
  <w:style w:type="character" w:styleId="PieddepageCar" w:customStyle="1">
    <w:name w:val="Pied de page Car"/>
    <w:basedOn w:val="DefaultParagraphFont"/>
    <w:uiPriority w:val="99"/>
    <w:qFormat/>
    <w:rsid w:val="00a66b18"/>
    <w:rPr>
      <w:rFonts w:eastAsia="Franklin Gothic Book" w:eastAsiaTheme="minorHAnsi"/>
      <w:color w:val="595959" w:themeColor="text1" w:themeTint="a6"/>
      <w:kern w:val="2"/>
      <w:sz w:val="20"/>
      <w:szCs w:val="20"/>
    </w:rPr>
  </w:style>
  <w:style w:type="character" w:styleId="Caractredelogo" w:customStyle="1">
    <w:name w:val="Caractère de logo"/>
    <w:basedOn w:val="DefaultParagraphFont"/>
    <w:link w:val="Logo"/>
    <w:qFormat/>
    <w:rsid w:val="00aa089b"/>
    <w:rPr>
      <w:rFonts w:eastAsia="Franklin Gothic Book" w:eastAsiaTheme="minorHAnsi"/>
      <w:b/>
      <w:bCs/>
      <w:color w:val="FFFFFF" w:themeColor="background1"/>
      <w:spacing w:val="120"/>
      <w:kern w:val="2"/>
      <w:sz w:val="44"/>
      <w:szCs w:val="48"/>
    </w:rPr>
  </w:style>
  <w:style w:type="character" w:styleId="HTMLCode">
    <w:name w:val="HTML Code"/>
    <w:basedOn w:val="DefaultParagraphFont"/>
    <w:uiPriority w:val="99"/>
    <w:semiHidden/>
    <w:unhideWhenUsed/>
    <w:qFormat/>
    <w:rsid w:val="00023bb5"/>
    <w:rPr>
      <w:rFonts w:ascii="Courier New" w:hAnsi="Courier New" w:eastAsia="Times New Roman" w:cs="Courier New"/>
      <w:sz w:val="20"/>
      <w:szCs w:val="20"/>
    </w:rPr>
  </w:style>
  <w:style w:type="character" w:styleId="Mjxchar" w:customStyle="1">
    <w:name w:val="mjx-char"/>
    <w:basedOn w:val="DefaultParagraphFont"/>
    <w:qFormat/>
    <w:rsid w:val="002f4619"/>
    <w:rPr/>
  </w:style>
  <w:style w:type="character" w:styleId="Mjxassistivemathml" w:customStyle="1">
    <w:name w:val="mjx_assistive_mathml"/>
    <w:basedOn w:val="DefaultParagraphFont"/>
    <w:qFormat/>
    <w:rsid w:val="002f4619"/>
    <w:rPr/>
  </w:style>
  <w:style w:type="character" w:styleId="LienInternet">
    <w:name w:val="Lien Internet"/>
    <w:basedOn w:val="DefaultParagraphFont"/>
    <w:uiPriority w:val="99"/>
    <w:unhideWhenUsed/>
    <w:rsid w:val="009f3308"/>
    <w:rPr>
      <w:color w:val="0000FF"/>
      <w:u w:val="single"/>
    </w:rPr>
  </w:style>
  <w:style w:type="character" w:styleId="UnresolvedMention">
    <w:name w:val="Unresolved Mention"/>
    <w:basedOn w:val="DefaultParagraphFont"/>
    <w:uiPriority w:val="99"/>
    <w:semiHidden/>
    <w:qFormat/>
    <w:rsid w:val="009f3308"/>
    <w:rPr>
      <w:color w:val="605E5C"/>
      <w:shd w:fill="E1DFDD" w:val="clear"/>
    </w:rPr>
  </w:style>
  <w:style w:type="character" w:styleId="NotedebasdepageCar" w:customStyle="1">
    <w:name w:val="Note de bas de page Car"/>
    <w:basedOn w:val="DefaultParagraphFont"/>
    <w:uiPriority w:val="99"/>
    <w:semiHidden/>
    <w:qFormat/>
    <w:rsid w:val="00b54fb6"/>
    <w:rPr>
      <w:rFonts w:ascii="Volte Medium" w:hAnsi="Volte Medium" w:eastAsia="Franklin Gothic Book" w:eastAsiaTheme="minorHAnsi"/>
      <w:color w:val="595959" w:themeColor="text1" w:themeTint="a6"/>
      <w:spacing w:val="6"/>
      <w:kern w:val="2"/>
      <w:sz w:val="20"/>
      <w:szCs w:val="20"/>
    </w:rPr>
  </w:style>
  <w:style w:type="character" w:styleId="Caractresdenotedebasdepage">
    <w:name w:val="Caractères de note de bas de page"/>
    <w:basedOn w:val="DefaultParagraphFont"/>
    <w:uiPriority w:val="99"/>
    <w:semiHidden/>
    <w:unhideWhenUsed/>
    <w:qFormat/>
    <w:rsid w:val="00b54fb6"/>
    <w:rPr>
      <w:vertAlign w:val="superscript"/>
    </w:rPr>
  </w:style>
  <w:style w:type="character" w:styleId="Ancredenotedebasdepage">
    <w:name w:val="Ancre de note de bas de page"/>
    <w:rPr>
      <w:vertAlign w:val="superscript"/>
    </w:rPr>
  </w:style>
  <w:style w:type="character" w:styleId="TitreCar" w:customStyle="1">
    <w:name w:val="Titre Car"/>
    <w:basedOn w:val="DefaultParagraphFont"/>
    <w:uiPriority w:val="10"/>
    <w:qFormat/>
    <w:rsid w:val="00d94f51"/>
    <w:rPr>
      <w:rFonts w:ascii="Volte Medium" w:hAnsi="Volte Medium" w:eastAsia="HG創英角ｺﾞｼｯｸUB" w:cs="Tahoma" w:cstheme="majorBidi" w:eastAsiaTheme="majorEastAsia"/>
      <w:color w:val="000000"/>
      <w:spacing w:val="-10"/>
      <w:kern w:val="2"/>
      <w:sz w:val="52"/>
      <w:szCs w:val="52"/>
      <w14:textFill>
        <w14:solidFill>
          <w14:srgbClr w14:val="000000">
            <w14:lumMod w14:val="65000"/>
            <w14:lumOff w14:val="35000"/>
          </w14:srgbClr>
        </w14:solidFill>
      </w14:textFill>
    </w:rPr>
  </w:style>
  <w:style w:type="character" w:styleId="LienInternetvisit">
    <w:name w:val="Lien Internet visité"/>
    <w:basedOn w:val="DefaultParagraphFont"/>
    <w:uiPriority w:val="99"/>
    <w:semiHidden/>
    <w:unhideWhenUsed/>
    <w:rsid w:val="00eb4d71"/>
    <w:rPr>
      <w:color w:val="85DFD0" w:themeColor="followedHyperlink"/>
      <w:u w:val="single"/>
    </w:rPr>
  </w:style>
  <w:style w:type="character" w:styleId="Hljscomment" w:customStyle="1">
    <w:name w:val="hljs-comment"/>
    <w:basedOn w:val="DefaultParagraphFont"/>
    <w:qFormat/>
    <w:rsid w:val="006b3b3d"/>
    <w:rPr/>
  </w:style>
  <w:style w:type="character" w:styleId="Hljskeyword" w:customStyle="1">
    <w:name w:val="hljs-keyword"/>
    <w:basedOn w:val="DefaultParagraphFont"/>
    <w:qFormat/>
    <w:rsid w:val="006b3b3d"/>
    <w:rPr/>
  </w:style>
  <w:style w:type="character" w:styleId="Hljstitle" w:customStyle="1">
    <w:name w:val="hljs-title"/>
    <w:basedOn w:val="DefaultParagraphFont"/>
    <w:qFormat/>
    <w:rsid w:val="006b3b3d"/>
    <w:rPr/>
  </w:style>
  <w:style w:type="character" w:styleId="Hljsparams" w:customStyle="1">
    <w:name w:val="hljs-params"/>
    <w:basedOn w:val="DefaultParagraphFont"/>
    <w:qFormat/>
    <w:rsid w:val="006b3b3d"/>
    <w:rPr/>
  </w:style>
  <w:style w:type="character" w:styleId="Hljsnumber" w:customStyle="1">
    <w:name w:val="hljs-number"/>
    <w:basedOn w:val="DefaultParagraphFont"/>
    <w:qFormat/>
    <w:rsid w:val="006b3b3d"/>
    <w:rPr/>
  </w:style>
  <w:style w:type="character" w:styleId="Hljsbuiltin" w:customStyle="1">
    <w:name w:val="hljs-built_in"/>
    <w:basedOn w:val="DefaultParagraphFont"/>
    <w:qFormat/>
    <w:rsid w:val="006b3b3d"/>
    <w:rPr/>
  </w:style>
  <w:style w:type="character" w:styleId="Hljsstring" w:customStyle="1">
    <w:name w:val="hljs-string"/>
    <w:basedOn w:val="DefaultParagraphFont"/>
    <w:qFormat/>
    <w:rsid w:val="006b3b3d"/>
    <w:rPr/>
  </w:style>
  <w:style w:type="character" w:styleId="Mord" w:customStyle="1">
    <w:name w:val="mord"/>
    <w:basedOn w:val="DefaultParagraphFont"/>
    <w:qFormat/>
    <w:rsid w:val="00a45b8d"/>
    <w:rPr/>
  </w:style>
  <w:style w:type="character" w:styleId="Vlists" w:customStyle="1">
    <w:name w:val="vlist-s"/>
    <w:basedOn w:val="DefaultParagraphFont"/>
    <w:qFormat/>
    <w:rsid w:val="00a45b8d"/>
    <w:rPr/>
  </w:style>
  <w:style w:type="character" w:styleId="Mrel" w:customStyle="1">
    <w:name w:val="mrel"/>
    <w:basedOn w:val="DefaultParagraphFont"/>
    <w:qFormat/>
    <w:rsid w:val="00a45b8d"/>
    <w:rPr/>
  </w:style>
  <w:style w:type="character" w:styleId="Mpunct" w:customStyle="1">
    <w:name w:val="mpunct"/>
    <w:basedOn w:val="DefaultParagraphFont"/>
    <w:qFormat/>
    <w:rsid w:val="00a45b8d"/>
    <w:rPr/>
  </w:style>
  <w:style w:type="character" w:styleId="Mbin" w:customStyle="1">
    <w:name w:val="mbin"/>
    <w:basedOn w:val="DefaultParagraphFont"/>
    <w:qFormat/>
    <w:rsid w:val="00a45b8d"/>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stinataire" w:customStyle="1">
    <w:name w:val="Envelope Address"/>
    <w:basedOn w:val="Normal"/>
    <w:uiPriority w:val="3"/>
    <w:qFormat/>
    <w:rsid w:val="00a66b18"/>
    <w:pPr>
      <w:spacing w:before="840" w:after="40"/>
    </w:pPr>
    <w:rPr>
      <w:b/>
      <w:bCs/>
    </w:rPr>
  </w:style>
  <w:style w:type="paragraph" w:styleId="Formulefinale">
    <w:name w:val="Salutation"/>
    <w:basedOn w:val="Normal"/>
    <w:link w:val="SalutationsCar"/>
    <w:uiPriority w:val="4"/>
    <w:unhideWhenUsed/>
    <w:qFormat/>
    <w:rsid w:val="00a66b18"/>
    <w:pPr>
      <w:spacing w:before="720" w:after="120"/>
    </w:pPr>
    <w:rPr/>
  </w:style>
  <w:style w:type="paragraph" w:styleId="Closing">
    <w:name w:val="Closing"/>
    <w:basedOn w:val="Normal"/>
    <w:next w:val="Signature"/>
    <w:link w:val="FormuledepolitesseCar"/>
    <w:uiPriority w:val="6"/>
    <w:unhideWhenUsed/>
    <w:qFormat/>
    <w:rsid w:val="00a6783b"/>
    <w:pPr>
      <w:spacing w:before="480" w:after="960"/>
    </w:pPr>
    <w:rPr/>
  </w:style>
  <w:style w:type="paragraph" w:styleId="Signature">
    <w:name w:val="Signature"/>
    <w:basedOn w:val="Normal"/>
    <w:link w:val="SignatureCar"/>
    <w:uiPriority w:val="7"/>
    <w:unhideWhenUsed/>
    <w:qFormat/>
    <w:rsid w:val="00a6783b"/>
    <w:pPr>
      <w:spacing w:before="120" w:after="120"/>
      <w:contextualSpacing/>
    </w:pPr>
    <w:rPr>
      <w:b/>
      <w:bCs/>
      <w:color w:val="337FD4" w:themeColor="accent1" w:themeTint="a6"/>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3e24df"/>
    <w:pPr>
      <w:spacing w:before="120" w:after="0"/>
      <w:jc w:val="right"/>
    </w:pPr>
    <w:rPr/>
  </w:style>
  <w:style w:type="paragraph" w:styleId="Coordonnes" w:customStyle="1">
    <w:name w:val="Coordonnées"/>
    <w:basedOn w:val="Normal"/>
    <w:uiPriority w:val="1"/>
    <w:qFormat/>
    <w:rsid w:val="00a66b18"/>
    <w:pPr>
      <w:spacing w:before="0" w:after="0"/>
    </w:pPr>
    <w:rPr>
      <w:color w:val="FFFFFF" w:themeColor="background1" w:themeTint="a6"/>
    </w:rPr>
  </w:style>
  <w:style w:type="paragraph" w:styleId="NormalWeb">
    <w:name w:val="Normal (Web)"/>
    <w:basedOn w:val="Normal"/>
    <w:uiPriority w:val="99"/>
    <w:semiHidden/>
    <w:unhideWhenUsed/>
    <w:qFormat/>
    <w:rsid w:val="00083baa"/>
    <w:pPr>
      <w:spacing w:beforeAutospacing="1" w:afterAutospacing="1"/>
    </w:pPr>
    <w:rPr>
      <w:rFonts w:ascii="Times New Roman" w:hAnsi="Times New Roman" w:eastAsia="HGｺﾞｼｯｸE" w:cs="Times New Roman" w:eastAsiaTheme="minorEastAsia"/>
      <w:color w:val="000000"/>
      <w:kern w:val="0"/>
      <w:szCs w:val="24"/>
      <w14:textFill>
        <w14:solidFill>
          <w14:srgbClr w14:val="000000">
            <w14:lumMod w14:val="65000"/>
            <w14:lumOff w14:val="35000"/>
          </w14:srgbClr>
        </w14:solidFill>
      </w14:textFill>
    </w:rPr>
  </w:style>
  <w:style w:type="paragraph" w:styleId="Pieddepage">
    <w:name w:val="Footer"/>
    <w:basedOn w:val="Normal"/>
    <w:link w:val="PieddepageCar"/>
    <w:uiPriority w:val="99"/>
    <w:unhideWhenUsed/>
    <w:rsid w:val="00a66b18"/>
    <w:pPr>
      <w:tabs>
        <w:tab w:val="clear" w:pos="720"/>
        <w:tab w:val="center" w:pos="4680" w:leader="none"/>
        <w:tab w:val="right" w:pos="9360" w:leader="none"/>
      </w:tabs>
      <w:spacing w:before="0" w:after="0"/>
    </w:pPr>
    <w:rPr/>
  </w:style>
  <w:style w:type="paragraph" w:styleId="Logo" w:customStyle="1">
    <w:name w:val="Logo"/>
    <w:basedOn w:val="Normal"/>
    <w:next w:val="Normal"/>
    <w:link w:val="Caractredelogo"/>
    <w:qFormat/>
    <w:rsid w:val="00aa089b"/>
    <w:pPr>
      <w:spacing w:before="0" w:after="0"/>
      <w:ind w:left="-180" w:right="-24" w:hanging="0"/>
      <w:jc w:val="center"/>
    </w:pPr>
    <w:rPr>
      <w:b/>
      <w:bCs/>
      <w:color w:val="FFFFFF" w:themeColor="background1" w:themeTint="a6"/>
      <w:spacing w:val="120"/>
      <w:kern w:val="2"/>
      <w:sz w:val="44"/>
      <w:szCs w:val="48"/>
    </w:rPr>
  </w:style>
  <w:style w:type="paragraph" w:styleId="ListParagraph">
    <w:name w:val="List Paragraph"/>
    <w:basedOn w:val="Normal"/>
    <w:uiPriority w:val="34"/>
    <w:semiHidden/>
    <w:qFormat/>
    <w:rsid w:val="00687e7d"/>
    <w:pPr>
      <w:spacing w:before="120" w:after="120"/>
      <w:contextualSpacing/>
    </w:pPr>
    <w:rPr/>
  </w:style>
  <w:style w:type="paragraph" w:styleId="Notedebasdepage">
    <w:name w:val="Footnote Text"/>
    <w:basedOn w:val="Normal"/>
    <w:link w:val="NotedebasdepageCar"/>
    <w:uiPriority w:val="99"/>
    <w:semiHidden/>
    <w:unhideWhenUsed/>
    <w:rsid w:val="00b54fb6"/>
    <w:pPr>
      <w:spacing w:before="0" w:after="0"/>
    </w:pPr>
    <w:rPr>
      <w:sz w:val="20"/>
    </w:rPr>
  </w:style>
  <w:style w:type="paragraph" w:styleId="Titreprincipal">
    <w:name w:val="Title"/>
    <w:basedOn w:val="Normal"/>
    <w:next w:val="Normal"/>
    <w:link w:val="TitreCar"/>
    <w:uiPriority w:val="10"/>
    <w:qFormat/>
    <w:rsid w:val="00d94f51"/>
    <w:pPr>
      <w:spacing w:before="0" w:after="0"/>
      <w:contextualSpacing/>
    </w:pPr>
    <w:rPr>
      <w:rFonts w:eastAsia="HG創英角ｺﾞｼｯｸUB" w:cs="Tahoma" w:cstheme="majorBidi" w:eastAsiaTheme="majorEastAsia"/>
      <w:color w:val="000000"/>
      <w:spacing w:val="-10"/>
      <w:kern w:val="2"/>
      <w:sz w:val="52"/>
      <w:szCs w:val="52"/>
      <w14:textFill>
        <w14:solidFill>
          <w14:srgbClr w14:val="000000">
            <w14:lumMod w14:val="65000"/>
            <w14:lumOff w14:val="35000"/>
          </w14:srgbClr>
        </w14:solidFill>
      </w14:textFill>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7413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microsoft.com/office/2007/relationships/hdphoto" Target="media/hdphoto1.wdp"/><Relationship Id="rId5" Type="http://schemas.openxmlformats.org/officeDocument/2006/relationships/hyperlink" Target="https://www.insee.fr/fr/statistiques/5395878" TargetMode="External"/><Relationship Id="rId6" Type="http://schemas.openxmlformats.org/officeDocument/2006/relationships/hyperlink" Target="https://www.data.gouv.fr/fr/datasets/donnees-de-comptabilite-generale-de-letat/" TargetMode="External"/><Relationship Id="rId7" Type="http://schemas.openxmlformats.org/officeDocument/2006/relationships/image" Target="media/image3.png"/><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Relationship Id="rId16" Type="http://schemas.openxmlformats.org/officeDocument/2006/relationships/customXml" Target="../customXml/item4.xml"/>
</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8880AA36-72AB-4C4B-AD69-F5208BDE829F}">
  <ds:schemaRefs>
    <ds:schemaRef ds:uri="http://schemas.openxmlformats.org/officeDocument/2006/bibliography"/>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F3428B7B-A1F9-4CED-B52D-314C139B2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{63E4D31A-D1A5-4A99-9597-6A1093D70A37}tf56348247_win32.dotx</Template>
  <TotalTime>41</TotalTime>
  <Application>LibreOffice/7.3.7.2$Linux_X86_64 LibreOffice_project/30$Build-2</Application>
  <AppVersion>15.0000</AppVersion>
  <Pages>6</Pages>
  <Words>1389</Words>
  <Characters>7481</Characters>
  <CharactersWithSpaces>8928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2025-01-03T10:59:00Z</dcterms:created>
  <dc:creator/>
  <dc:description/>
  <dc:language>fr-FR</dc:language>
  <cp:lastModifiedBy/>
  <dcterms:modified xsi:type="dcterms:W3CDTF">2025-02-14T09:44:18Z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