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88888"/>
          <w:spacing w:val="120"/>
          <w:sz w:val="20"/>
          <w:szCs w:val="20"/>
        </w:rPr>
        <w:t xml:space="preserve">RESEARCH MEMO</w:t>
      </w:r>
    </w:p>
    <w:p>
      <w:pPr>
        <w:spacing w:after="60"/>
      </w:pPr>
      <w:r>
        <w:rPr>
          <w:rFonts w:ascii="Arial" w:cs="Arial" w:eastAsia="Arial" w:hAnsi="Arial"/>
          <w:b/>
          <w:bCs/>
          <w:color w:val="1B3A5C"/>
          <w:sz w:val="34"/>
          <w:szCs w:val="34"/>
        </w:rPr>
        <w:t xml:space="preserve">Rep. Dan Meuser (R-PA-09): Who Does He Really Work For?</w:t>
      </w:r>
    </w:p>
    <w:p>
      <w:pPr>
        <w:spacing w:after="300"/>
      </w:pPr>
      <w:r>
        <w:rPr>
          <w:rFonts w:ascii="Arial" w:cs="Arial" w:eastAsia="Arial" w:hAnsi="Arial"/>
          <w:i/>
          <w:iCs/>
          <w:color w:val="555555"/>
          <w:sz w:val="24"/>
          <w:szCs w:val="24"/>
        </w:rPr>
        <w:t xml:space="preserve">Legislating for Wall Street Donors While Voting Against His Own Constituents</w:t>
      </w:r>
    </w:p>
    <w:p>
      <w:pPr>
        <w:pStyle w:val="Heading1"/>
      </w:pPr>
      <w:r>
        <w:t xml:space="preserve">Overview</w:t>
      </w:r>
    </w:p>
    <w:p>
      <w:pPr>
        <w:spacing w:after="200" w:line="276"/>
      </w:pPr>
      <w:r>
        <w:rPr>
          <w:rFonts w:ascii="Arial" w:cs="Arial" w:eastAsia="Arial" w:hAnsi="Arial"/>
          <w:sz w:val="22"/>
          <w:szCs w:val="22"/>
        </w:rPr>
        <w:t xml:space="preserve">Rep. Dan Meuser’s record in Congress tells two stories. In one, he’s a prolific legislator on the House Financial Services and Small Business committees, introducing bill after bill to deregulate financial markets, expand investment fund capacity, and loosen capital formation rules. In the other, he’s a reliable vote against the bread-and-butter concerns of his own constituents in </w:t>
      </w:r>
      <w:hyperlink w:history="1" r:id="rIdaprdlwd8onlbmmd0x29ui">
        <w:r>
          <w:rPr>
            <w:rFonts w:ascii="Arial" w:cs="Arial" w:eastAsia="Arial" w:hAnsi="Arial"/>
            <w:color w:val="1155CC"/>
            <w:sz w:val="22"/>
            <w:szCs w:val="22"/>
            <w:u w:val="single"/>
          </w:rPr>
          <w:t xml:space="preserve">Pennsylvania’s 9th congressional district</w:t>
        </w:r>
      </w:hyperlink>
      <w:r>
        <w:rPr>
          <w:rFonts w:ascii="Arial" w:cs="Arial" w:eastAsia="Arial" w:hAnsi="Arial"/>
          <w:sz w:val="22"/>
          <w:szCs w:val="22"/>
        </w:rPr>
        <w:t xml:space="preserve">—opposing measures that lower drug costs, protect health coverage, and keep consumer prices in check.</w:t>
      </w:r>
    </w:p>
    <w:p>
      <w:pPr>
        <w:spacing w:after="200" w:line="276"/>
      </w:pPr>
      <w:r>
        <w:rPr>
          <w:rFonts w:ascii="Arial" w:cs="Arial" w:eastAsia="Arial" w:hAnsi="Arial"/>
          <w:sz w:val="22"/>
          <w:szCs w:val="22"/>
        </w:rPr>
        <w:t xml:space="preserve">An analysis of his </w:t>
      </w:r>
      <w:hyperlink w:history="1" r:id="rIdmshmctwrbhifvbtyllee5">
        <w:r>
          <w:rPr>
            <w:rFonts w:ascii="Arial" w:cs="Arial" w:eastAsia="Arial" w:hAnsi="Arial"/>
            <w:color w:val="1155CC"/>
            <w:sz w:val="22"/>
            <w:szCs w:val="22"/>
            <w:u w:val="single"/>
          </w:rPr>
          <w:t xml:space="preserve">FEC filings</w:t>
        </w:r>
      </w:hyperlink>
      <w:r>
        <w:rPr>
          <w:rFonts w:ascii="Arial" w:cs="Arial" w:eastAsia="Arial" w:hAnsi="Arial"/>
          <w:sz w:val="22"/>
          <w:szCs w:val="22"/>
        </w:rPr>
        <w:t xml:space="preserve"> and </w:t>
      </w:r>
      <w:hyperlink w:history="1" r:id="rId50fe5x5fjkpsiti5hbaky">
        <w:r>
          <w:rPr>
            <w:rFonts w:ascii="Arial" w:cs="Arial" w:eastAsia="Arial" w:hAnsi="Arial"/>
            <w:color w:val="1155CC"/>
            <w:sz w:val="22"/>
            <w:szCs w:val="22"/>
            <w:u w:val="single"/>
          </w:rPr>
          <w:t xml:space="preserve">legislative record</w:t>
        </w:r>
      </w:hyperlink>
      <w:r>
        <w:rPr>
          <w:rFonts w:ascii="Arial" w:cs="Arial" w:eastAsia="Arial" w:hAnsi="Arial"/>
          <w:sz w:val="22"/>
          <w:szCs w:val="22"/>
        </w:rPr>
        <w:t xml:space="preserve"> reveals the pattern: the industries writing the biggest checks to his campaign are the same ones whose priorities dominate his bill portfolio. Meanwhile, his district has shed more than 1,700 jobs in recent closures and layoffs, and his voting record has consistently sided against the health care and pocketbook interests of the people he represents.</w:t>
      </w:r>
    </w:p>
    <w:p>
      <w:pPr>
        <w:spacing w:before="400" w:after="100"/>
      </w:pPr>
      <w:r>
        <w:rPr>
          <w:rFonts w:ascii="Arial" w:cs="Arial" w:eastAsia="Arial" w:hAnsi="Arial"/>
          <w:b/>
          <w:bCs/>
          <w:color w:val="888888"/>
          <w:spacing w:val="80"/>
          <w:sz w:val="22"/>
          <w:szCs w:val="22"/>
        </w:rPr>
        <w:t xml:space="preserve">PART I: DELIVERING FOR DONORS</w:t>
      </w:r>
    </w:p>
    <w:p>
      <w:pPr>
        <w:spacing w:after="200"/>
      </w:pPr>
      <w:r>
        <w:rPr>
          <w:rFonts w:ascii="Arial" w:cs="Arial" w:eastAsia="Arial" w:hAnsi="Arial"/>
          <w:color w:val="CCCCCC"/>
          <w:sz w:val="16"/>
          <w:szCs w:val="16"/>
        </w:rPr>
        <w:t xml:space="preserve">────────────────────────────────────────────────────────────</w:t>
      </w:r>
    </w:p>
    <w:p>
      <w:pPr>
        <w:pStyle w:val="Heading1"/>
      </w:pPr>
      <w:r>
        <w:t xml:space="preserve">Donor-to-Legislation Alignment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Donor Sector</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PAC $</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Legislation</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Alignment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Banking / Financial Services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~$62,500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hyperlink w:history="1" r:id="rIdp4wqumf2mott8qgqkep3c">
              <w:r>
                <w:rPr>
                  <w:rFonts w:ascii="Arial" w:cs="Arial" w:eastAsia="Arial" w:hAnsi="Arial"/>
                  <w:color w:val="1155CC"/>
                  <w:sz w:val="20"/>
                  <w:szCs w:val="20"/>
                  <w:u w:val="single"/>
                </w:rPr>
                <w:t xml:space="preserve">H.R. 7127</w:t>
              </w:r>
            </w:hyperlink>
            <w:r>
              <w:rPr>
                <w:rFonts w:ascii="Arial" w:cs="Arial" w:eastAsia="Arial" w:hAnsi="Arial"/>
                <w:sz w:val="20"/>
                <w:szCs w:val="20"/>
              </w:rPr>
              <w:t xml:space="preserve">, </w:t>
            </w:r>
            <w:hyperlink w:history="1" r:id="rId0lhl_1pvqe80yzmghkiyw">
              <w:r>
                <w:rPr>
                  <w:rFonts w:ascii="Arial" w:cs="Arial" w:eastAsia="Arial" w:hAnsi="Arial"/>
                  <w:color w:val="1155CC"/>
                  <w:sz w:val="20"/>
                  <w:szCs w:val="20"/>
                  <w:u w:val="single"/>
                </w:rPr>
                <w:t xml:space="preserve">H.R. 4460</w:t>
              </w:r>
            </w:hyperlink>
            <w:r>
              <w:rPr>
                <w:rFonts w:ascii="Arial" w:cs="Arial" w:eastAsia="Arial" w:hAnsi="Arial"/>
                <w:sz w:val="20"/>
                <w:szCs w:val="20"/>
              </w:rPr>
              <w:t xml:space="preserve">, </w:t>
            </w:r>
            <w:hyperlink w:history="1" r:id="rId_bhojuoeowhrzge-9lajg">
              <w:r>
                <w:rPr>
                  <w:rFonts w:ascii="Arial" w:cs="Arial" w:eastAsia="Arial" w:hAnsi="Arial"/>
                  <w:color w:val="1155CC"/>
                  <w:sz w:val="20"/>
                  <w:szCs w:val="20"/>
                  <w:u w:val="single"/>
                </w:rPr>
                <w:t xml:space="preserve">H.R. 3645</w:t>
              </w:r>
            </w:hyperlink>
            <w:r>
              <w:rPr>
                <w:rFonts w:ascii="Arial" w:cs="Arial" w:eastAsia="Arial" w:hAnsi="Arial"/>
                <w:sz w:val="20"/>
                <w:szCs w:val="20"/>
              </w:rPr>
              <w:t xml:space="preserve">, </w:t>
            </w:r>
            <w:hyperlink w:history="1" r:id="rIdmai0me4bh3wa6cbbmtjlw">
              <w:r>
                <w:rPr>
                  <w:rFonts w:ascii="Arial" w:cs="Arial" w:eastAsia="Arial" w:hAnsi="Arial"/>
                  <w:color w:val="1155CC"/>
                  <w:sz w:val="20"/>
                  <w:szCs w:val="20"/>
                  <w:u w:val="single"/>
                </w:rPr>
                <w:t xml:space="preserve">H.R. 2513</w:t>
              </w:r>
            </w:hyperlink>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C0392B"/>
                <w:sz w:val="20"/>
                <w:szCs w:val="20"/>
              </w:rPr>
              <w:t xml:space="preserve">Strong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Insurance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~$34,000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hyperlink w:history="1" r:id="rIdg1ajx3kbiywpu0yecgbxw">
              <w:r>
                <w:rPr>
                  <w:rFonts w:ascii="Arial" w:cs="Arial" w:eastAsia="Arial" w:hAnsi="Arial"/>
                  <w:color w:val="1155CC"/>
                  <w:sz w:val="20"/>
                  <w:szCs w:val="20"/>
                  <w:u w:val="single"/>
                </w:rPr>
                <w:t xml:space="preserve">H.R. 2513</w:t>
              </w:r>
            </w:hyperlink>
            <w:r>
              <w:rPr>
                <w:rFonts w:ascii="Arial" w:cs="Arial" w:eastAsia="Arial" w:hAnsi="Arial"/>
                <w:sz w:val="20"/>
                <w:szCs w:val="20"/>
              </w:rPr>
              <w:t xml:space="preserve">, </w:t>
            </w:r>
            <w:hyperlink w:history="1" r:id="rIdqfklcx8zge5elslrjbqeq">
              <w:r>
                <w:rPr>
                  <w:rFonts w:ascii="Arial" w:cs="Arial" w:eastAsia="Arial" w:hAnsi="Arial"/>
                  <w:color w:val="1155CC"/>
                  <w:sz w:val="20"/>
                  <w:szCs w:val="20"/>
                  <w:u w:val="single"/>
                </w:rPr>
                <w:t xml:space="preserve">H.R. 4460</w:t>
              </w:r>
            </w:hyperlink>
            <w:r>
              <w:rPr>
                <w:rFonts w:ascii="Arial" w:cs="Arial" w:eastAsia="Arial" w:hAnsi="Arial"/>
                <w:sz w:val="20"/>
                <w:szCs w:val="20"/>
              </w:rPr>
              <w:t xml:space="preserve"> (indirect)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Moderate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Small Biz Lending / SBIC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$15K PAC + $7K indiv.</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hyperlink w:history="1" r:id="rIdq-yj2qvotzljz_a3yzscx">
              <w:r>
                <w:rPr>
                  <w:rFonts w:ascii="Arial" w:cs="Arial" w:eastAsia="Arial" w:hAnsi="Arial"/>
                  <w:color w:val="1155CC"/>
                  <w:sz w:val="20"/>
                  <w:szCs w:val="20"/>
                  <w:u w:val="single"/>
                </w:rPr>
                <w:t xml:space="preserve">H.R. 2066</w:t>
              </w:r>
            </w:hyperlink>
            <w:r>
              <w:rPr>
                <w:rFonts w:ascii="Arial" w:cs="Arial" w:eastAsia="Arial" w:hAnsi="Arial"/>
                <w:sz w:val="20"/>
                <w:szCs w:val="20"/>
              </w:rPr>
              <w:t xml:space="preserve">, </w:t>
            </w:r>
            <w:hyperlink w:history="1" r:id="rIdfqmmgxcdiuhvk5t0ycpyb">
              <w:r>
                <w:rPr>
                  <w:rFonts w:ascii="Arial" w:cs="Arial" w:eastAsia="Arial" w:hAnsi="Arial"/>
                  <w:color w:val="1155CC"/>
                  <w:sz w:val="20"/>
                  <w:szCs w:val="20"/>
                  <w:u w:val="single"/>
                </w:rPr>
                <w:t xml:space="preserve">H.R. 1804</w:t>
              </w:r>
            </w:hyperlink>
            <w:r>
              <w:rPr>
                <w:rFonts w:ascii="Arial" w:cs="Arial" w:eastAsia="Arial" w:hAnsi="Arial"/>
                <w:sz w:val="20"/>
                <w:szCs w:val="20"/>
              </w:rPr>
              <w:t xml:space="preserve">, </w:t>
            </w:r>
            <w:hyperlink w:history="1" r:id="rIdy2imyyey8i3rtkp7ikocg">
              <w:r>
                <w:rPr>
                  <w:rFonts w:ascii="Arial" w:cs="Arial" w:eastAsia="Arial" w:hAnsi="Arial"/>
                  <w:color w:val="1155CC"/>
                  <w:sz w:val="20"/>
                  <w:szCs w:val="20"/>
                  <w:u w:val="single"/>
                </w:rPr>
                <w:t xml:space="preserve">H.R. 7401</w:t>
              </w:r>
            </w:hyperlink>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C0392B"/>
                <w:sz w:val="20"/>
                <w:szCs w:val="20"/>
              </w:rPr>
              <w:t xml:space="preserve">Very Strong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NASDAQ / Exchanges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$14,500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hyperlink w:history="1" r:id="rIdaxclyh9k3snm-5gikf4u-">
              <w:r>
                <w:rPr>
                  <w:rFonts w:ascii="Arial" w:cs="Arial" w:eastAsia="Arial" w:hAnsi="Arial"/>
                  <w:color w:val="1155CC"/>
                  <w:sz w:val="20"/>
                  <w:szCs w:val="20"/>
                  <w:u w:val="single"/>
                </w:rPr>
                <w:t xml:space="preserve">H.R. 7127</w:t>
              </w:r>
            </w:hyperlink>
            <w:r>
              <w:rPr>
                <w:rFonts w:ascii="Arial" w:cs="Arial" w:eastAsia="Arial" w:hAnsi="Arial"/>
                <w:sz w:val="20"/>
                <w:szCs w:val="20"/>
              </w:rPr>
              <w:t xml:space="preserve">, </w:t>
            </w:r>
            <w:hyperlink w:history="1" r:id="rIdl_vvf4zi0isuf6bmjgzxu">
              <w:r>
                <w:rPr>
                  <w:rFonts w:ascii="Arial" w:cs="Arial" w:eastAsia="Arial" w:hAnsi="Arial"/>
                  <w:color w:val="1155CC"/>
                  <w:sz w:val="20"/>
                  <w:szCs w:val="20"/>
                  <w:u w:val="single"/>
                </w:rPr>
                <w:t xml:space="preserve">H.R. 3645</w:t>
              </w:r>
            </w:hyperlink>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bCs/>
                <w:color w:val="C0392B"/>
                <w:sz w:val="20"/>
                <w:szCs w:val="20"/>
              </w:rPr>
              <w:t xml:space="preserve">Strong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Energy / Manufacturing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~$25,000+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hyperlink w:history="1" r:id="rIdtbvunc-zbletardefuhhk">
              <w:r>
                <w:rPr>
                  <w:rFonts w:ascii="Arial" w:cs="Arial" w:eastAsia="Arial" w:hAnsi="Arial"/>
                  <w:color w:val="1155CC"/>
                  <w:sz w:val="20"/>
                  <w:szCs w:val="20"/>
                  <w:u w:val="single"/>
                </w:rPr>
                <w:t xml:space="preserve">H.R. 1264</w:t>
              </w:r>
            </w:hyperlink>
            <w:r>
              <w:rPr>
                <w:rFonts w:ascii="Arial" w:cs="Arial" w:eastAsia="Arial" w:hAnsi="Arial"/>
                <w:sz w:val="20"/>
                <w:szCs w:val="20"/>
              </w:rPr>
              <w:t xml:space="preserve">, </w:t>
            </w:r>
            <w:hyperlink w:history="1" r:id="rIdndnooiwge_clzmiisnzzz">
              <w:r>
                <w:rPr>
                  <w:rFonts w:ascii="Arial" w:cs="Arial" w:eastAsia="Arial" w:hAnsi="Arial"/>
                  <w:color w:val="1155CC"/>
                  <w:sz w:val="20"/>
                  <w:szCs w:val="20"/>
                  <w:u w:val="single"/>
                </w:rPr>
                <w:t xml:space="preserve">H.R. 692</w:t>
              </w:r>
            </w:hyperlink>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Moderate</w:t>
            </w:r>
          </w:p>
        </w:tc>
      </w:tr>
    </w:tbl>
    <w:p>
      <w:pPr>
        <w:spacing w:before="80" w:after="300"/>
      </w:pPr>
      <w:r>
        <w:rPr>
          <w:rFonts w:ascii="Arial" w:cs="Arial" w:eastAsia="Arial" w:hAnsi="Arial"/>
          <w:i/>
          <w:iCs/>
          <w:sz w:val="22"/>
          <w:szCs w:val="22"/>
        </w:rPr>
        <w:t xml:space="preserve">Source: </w:t>
      </w:r>
      <w:hyperlink w:history="1" r:id="rIdjmc-htkjc6g30ijd50sgi">
        <w:r>
          <w:rPr>
            <w:rFonts w:ascii="Arial" w:cs="Arial" w:eastAsia="Arial" w:hAnsi="Arial"/>
            <w:i/>
            <w:iCs/>
            <w:color w:val="1155CC"/>
            <w:sz w:val="22"/>
            <w:szCs w:val="22"/>
            <w:u w:val="single"/>
          </w:rPr>
          <w:t xml:space="preserve">FEC receipts for Meuser for Congress (C00654723)</w:t>
        </w:r>
      </w:hyperlink>
      <w:r>
        <w:rPr>
          <w:rFonts w:ascii="Arial" w:cs="Arial" w:eastAsia="Arial" w:hAnsi="Arial"/>
          <w:i/>
          <w:iCs/>
          <w:sz w:val="22"/>
          <w:szCs w:val="22"/>
        </w:rPr>
        <w:t xml:space="preserve">, Feb 2025–present; </w:t>
      </w:r>
      <w:hyperlink w:history="1" r:id="rIdfz-fiqq-hxdssoeoffwqt">
        <w:r>
          <w:rPr>
            <w:rFonts w:ascii="Arial" w:cs="Arial" w:eastAsia="Arial" w:hAnsi="Arial"/>
            <w:i/>
            <w:iCs/>
            <w:color w:val="1155CC"/>
            <w:sz w:val="22"/>
            <w:szCs w:val="22"/>
            <w:u w:val="single"/>
          </w:rPr>
          <w:t xml:space="preserve">Congress.gov bill records</w:t>
        </w:r>
      </w:hyperlink>
      <w:r>
        <w:rPr>
          <w:rFonts w:ascii="Arial" w:cs="Arial" w:eastAsia="Arial" w:hAnsi="Arial"/>
          <w:i/>
          <w:iCs/>
          <w:sz w:val="22"/>
          <w:szCs w:val="22"/>
        </w:rPr>
        <w:t xml:space="preserve">.</w:t>
      </w:r>
    </w:p>
    <w:p>
      <w:pPr>
        <w:pStyle w:val="Heading1"/>
      </w:pPr>
      <w:r>
        <w:t xml:space="preserve">Banking &amp; Financial Services: ~$62,500 in PAC Money, Four Bills Delivered</w:t>
      </w:r>
    </w:p>
    <w:p>
      <w:pPr>
        <w:spacing w:after="200" w:line="276"/>
      </w:pPr>
      <w:r>
        <w:rPr>
          <w:rFonts w:ascii="Arial" w:cs="Arial" w:eastAsia="Arial" w:hAnsi="Arial"/>
          <w:sz w:val="22"/>
          <w:szCs w:val="22"/>
        </w:rPr>
        <w:t xml:space="preserve">Meuser’s top donors read like a who’s-who of Wall Street: </w:t>
      </w:r>
      <w:hyperlink w:history="1" r:id="rIdfexvjwgwutfg2iz6gobbg">
        <w:r>
          <w:rPr>
            <w:rFonts w:ascii="Arial" w:cs="Arial" w:eastAsia="Arial" w:hAnsi="Arial"/>
            <w:color w:val="1155CC"/>
            <w:sz w:val="22"/>
            <w:szCs w:val="22"/>
            <w:u w:val="single"/>
          </w:rPr>
          <w:t xml:space="preserve">JPMorgan Chase ($5,000)</w:t>
        </w:r>
      </w:hyperlink>
      <w:r>
        <w:rPr>
          <w:rFonts w:ascii="Arial" w:cs="Arial" w:eastAsia="Arial" w:hAnsi="Arial"/>
          <w:sz w:val="22"/>
          <w:szCs w:val="22"/>
        </w:rPr>
        <w:t xml:space="preserve">, </w:t>
      </w:r>
      <w:hyperlink w:history="1" r:id="rIddltkze7j2plm598zimbpy">
        <w:r>
          <w:rPr>
            <w:rFonts w:ascii="Arial" w:cs="Arial" w:eastAsia="Arial" w:hAnsi="Arial"/>
            <w:color w:val="1155CC"/>
            <w:sz w:val="22"/>
            <w:szCs w:val="22"/>
            <w:u w:val="single"/>
          </w:rPr>
          <w:t xml:space="preserve">Goldman Sachs ($2,500)</w:t>
        </w:r>
      </w:hyperlink>
      <w:r>
        <w:rPr>
          <w:rFonts w:ascii="Arial" w:cs="Arial" w:eastAsia="Arial" w:hAnsi="Arial"/>
          <w:sz w:val="22"/>
          <w:szCs w:val="22"/>
        </w:rPr>
        <w:t xml:space="preserve">, </w:t>
      </w:r>
      <w:hyperlink w:history="1" r:id="rIdwvpcczllcoaqhifejkd9b">
        <w:r>
          <w:rPr>
            <w:rFonts w:ascii="Arial" w:cs="Arial" w:eastAsia="Arial" w:hAnsi="Arial"/>
            <w:color w:val="1155CC"/>
            <w:sz w:val="22"/>
            <w:szCs w:val="22"/>
            <w:u w:val="single"/>
          </w:rPr>
          <w:t xml:space="preserve">Bank of America ($2,500)</w:t>
        </w:r>
      </w:hyperlink>
      <w:r>
        <w:rPr>
          <w:rFonts w:ascii="Arial" w:cs="Arial" w:eastAsia="Arial" w:hAnsi="Arial"/>
          <w:sz w:val="22"/>
          <w:szCs w:val="22"/>
        </w:rPr>
        <w:t xml:space="preserve">, </w:t>
      </w:r>
      <w:hyperlink w:history="1" r:id="rIdnoahh49ldqji_0r2rhujo">
        <w:r>
          <w:rPr>
            <w:rFonts w:ascii="Arial" w:cs="Arial" w:eastAsia="Arial" w:hAnsi="Arial"/>
            <w:color w:val="1155CC"/>
            <w:sz w:val="22"/>
            <w:szCs w:val="22"/>
            <w:u w:val="single"/>
          </w:rPr>
          <w:t xml:space="preserve">BNY Mellon ($5,000)</w:t>
        </w:r>
      </w:hyperlink>
      <w:r>
        <w:rPr>
          <w:rFonts w:ascii="Arial" w:cs="Arial" w:eastAsia="Arial" w:hAnsi="Arial"/>
          <w:sz w:val="22"/>
          <w:szCs w:val="22"/>
        </w:rPr>
        <w:t xml:space="preserve">, </w:t>
      </w:r>
      <w:hyperlink w:history="1" r:id="rIdry3dggxwkebtqspgv10ey">
        <w:r>
          <w:rPr>
            <w:rFonts w:ascii="Arial" w:cs="Arial" w:eastAsia="Arial" w:hAnsi="Arial"/>
            <w:color w:val="1155CC"/>
            <w:sz w:val="22"/>
            <w:szCs w:val="22"/>
            <w:u w:val="single"/>
          </w:rPr>
          <w:t xml:space="preserve">Vanguard ($5,000)</w:t>
        </w:r>
      </w:hyperlink>
      <w:r>
        <w:rPr>
          <w:rFonts w:ascii="Arial" w:cs="Arial" w:eastAsia="Arial" w:hAnsi="Arial"/>
          <w:sz w:val="22"/>
          <w:szCs w:val="22"/>
        </w:rPr>
        <w:t xml:space="preserve">, </w:t>
      </w:r>
      <w:hyperlink w:history="1" r:id="rIdqehvbpa-wygqa385okhuz">
        <w:r>
          <w:rPr>
            <w:rFonts w:ascii="Arial" w:cs="Arial" w:eastAsia="Arial" w:hAnsi="Arial"/>
            <w:color w:val="1155CC"/>
            <w:sz w:val="22"/>
            <w:szCs w:val="22"/>
            <w:u w:val="single"/>
          </w:rPr>
          <w:t xml:space="preserve">Fidelity ($2,500)</w:t>
        </w:r>
      </w:hyperlink>
      <w:r>
        <w:rPr>
          <w:rFonts w:ascii="Arial" w:cs="Arial" w:eastAsia="Arial" w:hAnsi="Arial"/>
          <w:sz w:val="22"/>
          <w:szCs w:val="22"/>
        </w:rPr>
        <w:t xml:space="preserve">, </w:t>
      </w:r>
      <w:hyperlink w:history="1" r:id="rId1gqdhfcwzvn0qmth49qc6">
        <w:r>
          <w:rPr>
            <w:rFonts w:ascii="Arial" w:cs="Arial" w:eastAsia="Arial" w:hAnsi="Arial"/>
            <w:color w:val="1155CC"/>
            <w:sz w:val="22"/>
            <w:szCs w:val="22"/>
            <w:u w:val="single"/>
          </w:rPr>
          <w:t xml:space="preserve">UBS Americas ($5,000)</w:t>
        </w:r>
      </w:hyperlink>
      <w:r>
        <w:rPr>
          <w:rFonts w:ascii="Arial" w:cs="Arial" w:eastAsia="Arial" w:hAnsi="Arial"/>
          <w:sz w:val="22"/>
          <w:szCs w:val="22"/>
        </w:rPr>
        <w:t xml:space="preserve">, </w:t>
      </w:r>
      <w:hyperlink w:history="1" r:id="rIdo2dftrg0fjjmxfbnyaxpt">
        <w:r>
          <w:rPr>
            <w:rFonts w:ascii="Arial" w:cs="Arial" w:eastAsia="Arial" w:hAnsi="Arial"/>
            <w:color w:val="1155CC"/>
            <w:sz w:val="22"/>
            <w:szCs w:val="22"/>
            <w:u w:val="single"/>
          </w:rPr>
          <w:t xml:space="preserve">Prudential ($4,000)</w:t>
        </w:r>
      </w:hyperlink>
      <w:r>
        <w:rPr>
          <w:rFonts w:ascii="Arial" w:cs="Arial" w:eastAsia="Arial" w:hAnsi="Arial"/>
          <w:sz w:val="22"/>
          <w:szCs w:val="22"/>
        </w:rPr>
        <w:t xml:space="preserve">, and more—collectively pouring roughly $62,500 into his campaign through their PACs since February 2025. In return, Meuser has introduced or advanced four bills on the Financial Services Committee that directly reduce regulatory burdens on these same institutions.</w:t>
      </w:r>
    </w:p>
    <w:p>
      <w:pPr>
        <w:spacing w:after="200" w:line="276"/>
      </w:pPr>
      <w:r>
        <w:rPr>
          <w:rFonts w:ascii="Arial" w:cs="Arial" w:eastAsia="Arial" w:hAnsi="Arial"/>
          <w:b/>
          <w:bCs/>
          <w:sz w:val="22"/>
          <w:szCs w:val="22"/>
        </w:rPr>
        <w:t xml:space="preserve">Restoring the Secondary Trading Market Act (</w:t>
      </w:r>
      <w:hyperlink w:history="1" r:id="rId7-p5m2oodyhodtkabwp8h">
        <w:r>
          <w:rPr>
            <w:rFonts w:ascii="Arial" w:cs="Arial" w:eastAsia="Arial" w:hAnsi="Arial"/>
            <w:b/>
            <w:bCs/>
            <w:color w:val="1155CC"/>
            <w:sz w:val="22"/>
            <w:szCs w:val="22"/>
            <w:u w:val="single"/>
          </w:rPr>
          <w:t xml:space="preserve">H.R. 7127</w:t>
        </w:r>
      </w:hyperlink>
      <w:r>
        <w:rPr>
          <w:rFonts w:ascii="Arial" w:cs="Arial" w:eastAsia="Arial" w:hAnsi="Arial"/>
          <w:b/>
          <w:bCs/>
          <w:sz w:val="22"/>
          <w:szCs w:val="22"/>
        </w:rPr>
        <w:t xml:space="preserve">). </w:t>
      </w:r>
      <w:r>
        <w:rPr>
          <w:rFonts w:ascii="Arial" w:cs="Arial" w:eastAsia="Arial" w:hAnsi="Arial"/>
          <w:sz w:val="22"/>
          <w:szCs w:val="22"/>
        </w:rPr>
        <w:t xml:space="preserve">Introduced January 2026, this bill would exempt certain off-exchange secondary securities trades from state Blue Sky laws, provided companies meet specified disclosure requirements. The bill aims to “enhance market liquidity and accessibility” for investors in private and secondary markets (</w:t>
      </w:r>
      <w:hyperlink w:history="1" r:id="rIdwufwe177plvh5nvcvdnd4">
        <w:r>
          <w:rPr>
            <w:rFonts w:ascii="Arial" w:cs="Arial" w:eastAsia="Arial" w:hAnsi="Arial"/>
            <w:color w:val="1155CC"/>
            <w:sz w:val="22"/>
            <w:szCs w:val="22"/>
            <w:u w:val="single"/>
          </w:rPr>
          <w:t xml:space="preserve">Quiver Quantitative</w:t>
        </w:r>
      </w:hyperlink>
      <w:r>
        <w:rPr>
          <w:rFonts w:ascii="Arial" w:cs="Arial" w:eastAsia="Arial" w:hAnsi="Arial"/>
          <w:sz w:val="22"/>
          <w:szCs w:val="22"/>
        </w:rPr>
        <w:t xml:space="preserve">). In practice, it makes it significantly easier for large financial institutions and asset managers to resell loans and other securities off-exchange—a core business line for donors like JPMorgan, BNY Mellon, and Goldman Sachs.</w:t>
      </w:r>
    </w:p>
    <w:p>
      <w:pPr>
        <w:spacing w:after="200" w:line="276"/>
      </w:pPr>
      <w:r>
        <w:rPr>
          <w:rFonts w:ascii="Arial" w:cs="Arial" w:eastAsia="Arial" w:hAnsi="Arial"/>
          <w:b/>
          <w:bCs/>
          <w:sz w:val="22"/>
          <w:szCs w:val="22"/>
        </w:rPr>
        <w:t xml:space="preserve">SAFE Guidance Act (</w:t>
      </w:r>
      <w:hyperlink w:history="1" r:id="rIdkblsw0c7d7vptjektewr6">
        <w:r>
          <w:rPr>
            <w:rFonts w:ascii="Arial" w:cs="Arial" w:eastAsia="Arial" w:hAnsi="Arial"/>
            <w:b/>
            <w:bCs/>
            <w:color w:val="1155CC"/>
            <w:sz w:val="22"/>
            <w:szCs w:val="22"/>
            <w:u w:val="single"/>
          </w:rPr>
          <w:t xml:space="preserve">H.R. 4460</w:t>
        </w:r>
      </w:hyperlink>
      <w:r>
        <w:rPr>
          <w:rFonts w:ascii="Arial" w:cs="Arial" w:eastAsia="Arial" w:hAnsi="Arial"/>
          <w:b/>
          <w:bCs/>
          <w:sz w:val="22"/>
          <w:szCs w:val="22"/>
        </w:rPr>
        <w:t xml:space="preserve">). </w:t>
      </w:r>
      <w:r>
        <w:rPr>
          <w:rFonts w:ascii="Arial" w:cs="Arial" w:eastAsia="Arial" w:hAnsi="Arial"/>
          <w:sz w:val="22"/>
          <w:szCs w:val="22"/>
        </w:rPr>
        <w:t xml:space="preserve">Placed on the Union Calendar in July 2025, this bill requires federal regulators to clearly label guidance documents as carrying no legal force, providing what supporters call “necessary clarity and predictability to regulated entities.” House Financial Services Chairman French Hill said the bill is part of a package that would “cumulatively reduce unnecessary regulatory burdens” so businesses can focus on growth (</w:t>
      </w:r>
      <w:hyperlink w:history="1" r:id="rIdujaeirqj2tqhmhvd3jn2u">
        <w:r>
          <w:rPr>
            <w:rFonts w:ascii="Arial" w:cs="Arial" w:eastAsia="Arial" w:hAnsi="Arial"/>
            <w:color w:val="1155CC"/>
            <w:sz w:val="22"/>
            <w:szCs w:val="22"/>
            <w:u w:val="single"/>
          </w:rPr>
          <w:t xml:space="preserve">Financial Regulation News</w:t>
        </w:r>
      </w:hyperlink>
      <w:r>
        <w:rPr>
          <w:rFonts w:ascii="Arial" w:cs="Arial" w:eastAsia="Arial" w:hAnsi="Arial"/>
          <w:sz w:val="22"/>
          <w:szCs w:val="22"/>
        </w:rPr>
        <w:t xml:space="preserve">). For banks, this curtails what the industry calls “regulatory gamesmanship”—agencies pressuring compliance through informal guidance rather than formal rulemaking.</w:t>
      </w:r>
    </w:p>
    <w:p>
      <w:pPr>
        <w:spacing w:after="200" w:line="276"/>
      </w:pPr>
      <w:r>
        <w:rPr>
          <w:rFonts w:ascii="Arial" w:cs="Arial" w:eastAsia="Arial" w:hAnsi="Arial"/>
          <w:b/>
          <w:bCs/>
          <w:sz w:val="22"/>
          <w:szCs w:val="22"/>
        </w:rPr>
        <w:t xml:space="preserve">CFPB–IG Reform Act (</w:t>
      </w:r>
      <w:hyperlink w:history="1" r:id="rIdiknw65gd8nqamr6f3a3w8">
        <w:r>
          <w:rPr>
            <w:rFonts w:ascii="Arial" w:cs="Arial" w:eastAsia="Arial" w:hAnsi="Arial"/>
            <w:b/>
            <w:bCs/>
            <w:color w:val="1155CC"/>
            <w:sz w:val="22"/>
            <w:szCs w:val="22"/>
            <w:u w:val="single"/>
          </w:rPr>
          <w:t xml:space="preserve">H.R. 2513</w:t>
        </w:r>
      </w:hyperlink>
      <w:r>
        <w:rPr>
          <w:rFonts w:ascii="Arial" w:cs="Arial" w:eastAsia="Arial" w:hAnsi="Arial"/>
          <w:b/>
          <w:bCs/>
          <w:sz w:val="22"/>
          <w:szCs w:val="22"/>
        </w:rPr>
        <w:t xml:space="preserve">). </w:t>
      </w:r>
      <w:r>
        <w:rPr>
          <w:rFonts w:ascii="Arial" w:cs="Arial" w:eastAsia="Arial" w:hAnsi="Arial"/>
          <w:sz w:val="22"/>
          <w:szCs w:val="22"/>
        </w:rPr>
        <w:t xml:space="preserve">This bill would subject the Consumer Financial Protection Bureau’s Inspector General to Senate confirmation and regular oversight hearings (</w:t>
      </w:r>
      <w:hyperlink w:history="1" r:id="rIdl3diyd_v_elsubxdchqup">
        <w:r>
          <w:rPr>
            <w:rFonts w:ascii="Arial" w:cs="Arial" w:eastAsia="Arial" w:hAnsi="Arial"/>
            <w:color w:val="1155CC"/>
            <w:sz w:val="22"/>
            <w:szCs w:val="22"/>
            <w:u w:val="single"/>
          </w:rPr>
          <w:t xml:space="preserve">bill summary</w:t>
        </w:r>
      </w:hyperlink>
      <w:r>
        <w:rPr>
          <w:rFonts w:ascii="Arial" w:cs="Arial" w:eastAsia="Arial" w:hAnsi="Arial"/>
          <w:sz w:val="22"/>
          <w:szCs w:val="22"/>
        </w:rPr>
        <w:t xml:space="preserve">). The CFPB is the primary regulator of virtually every banking PAC on Meuser’s donor list. Meuser has been blunt about his stance, stating in a </w:t>
      </w:r>
      <w:hyperlink w:history="1" r:id="rIdj7g8rihl21ejdj1wodsnn">
        <w:r>
          <w:rPr>
            <w:rFonts w:ascii="Arial" w:cs="Arial" w:eastAsia="Arial" w:hAnsi="Arial"/>
            <w:color w:val="1155CC"/>
            <w:sz w:val="22"/>
            <w:szCs w:val="22"/>
            <w:u w:val="single"/>
          </w:rPr>
          <w:t xml:space="preserve">committee hearing</w:t>
        </w:r>
      </w:hyperlink>
      <w:r>
        <w:rPr>
          <w:rFonts w:ascii="Arial" w:cs="Arial" w:eastAsia="Arial" w:hAnsi="Arial"/>
          <w:sz w:val="22"/>
          <w:szCs w:val="22"/>
        </w:rPr>
        <w:t xml:space="preserve"> that “countless banks and compliance officers” had nothing positive to say about CFPB Director Chopra, accusing the bureau of “pressuring businesses through aggressive rules and enforcement.” Restructuring the CFPB’s governance aligns squarely with donor banks’ interest in a less adversarial regulator.</w:t>
      </w:r>
    </w:p>
    <w:p>
      <w:pPr>
        <w:spacing w:after="200" w:line="276"/>
      </w:pPr>
      <w:r>
        <w:rPr>
          <w:rFonts w:ascii="Arial" w:cs="Arial" w:eastAsia="Arial" w:hAnsi="Arial"/>
          <w:b/>
          <w:bCs/>
          <w:sz w:val="22"/>
          <w:szCs w:val="22"/>
        </w:rPr>
        <w:t xml:space="preserve">ACCESS Act (</w:t>
      </w:r>
      <w:hyperlink w:history="1" r:id="rId7gkycskjqzh-llxv6ullz">
        <w:r>
          <w:rPr>
            <w:rFonts w:ascii="Arial" w:cs="Arial" w:eastAsia="Arial" w:hAnsi="Arial"/>
            <w:b/>
            <w:bCs/>
            <w:color w:val="1155CC"/>
            <w:sz w:val="22"/>
            <w:szCs w:val="22"/>
            <w:u w:val="single"/>
          </w:rPr>
          <w:t xml:space="preserve">H.R. 3645</w:t>
        </w:r>
      </w:hyperlink>
      <w:r>
        <w:rPr>
          <w:rFonts w:ascii="Arial" w:cs="Arial" w:eastAsia="Arial" w:hAnsi="Arial"/>
          <w:b/>
          <w:bCs/>
          <w:sz w:val="22"/>
          <w:szCs w:val="22"/>
        </w:rPr>
        <w:t xml:space="preserve">). </w:t>
      </w:r>
      <w:r>
        <w:rPr>
          <w:rFonts w:ascii="Arial" w:cs="Arial" w:eastAsia="Arial" w:hAnsi="Arial"/>
          <w:sz w:val="22"/>
          <w:szCs w:val="22"/>
        </w:rPr>
        <w:t xml:space="preserve">Included in the House-passed INVEST Act, this bill loosens crowdfunding regulations by </w:t>
      </w:r>
      <w:hyperlink w:history="1" r:id="rId8k5vab7cwtxlaz9e-iqq6">
        <w:r>
          <w:rPr>
            <w:rFonts w:ascii="Arial" w:cs="Arial" w:eastAsia="Arial" w:hAnsi="Arial"/>
            <w:color w:val="1155CC"/>
            <w:sz w:val="22"/>
            <w:szCs w:val="22"/>
            <w:u w:val="single"/>
          </w:rPr>
          <w:t xml:space="preserve">raising the threshold</w:t>
        </w:r>
      </w:hyperlink>
      <w:r>
        <w:rPr>
          <w:rFonts w:ascii="Arial" w:cs="Arial" w:eastAsia="Arial" w:hAnsi="Arial"/>
          <w:sz w:val="22"/>
          <w:szCs w:val="22"/>
        </w:rPr>
        <w:t xml:space="preserve"> for audited financial statements from $100,000 to $250,000 (with potential up to $400,000). Sen. Dave McCormick, who introduced the companion bill, said it aims to “remove unnecessary barriers… unlocking greater capital for new businesses to take root” (</w:t>
      </w:r>
      <w:hyperlink w:history="1" r:id="rIdvraob82h-v6kdrapcpzjr">
        <w:r>
          <w:rPr>
            <w:rFonts w:ascii="Arial" w:cs="Arial" w:eastAsia="Arial" w:hAnsi="Arial"/>
            <w:color w:val="1155CC"/>
            <w:sz w:val="22"/>
            <w:szCs w:val="22"/>
            <w:u w:val="single"/>
          </w:rPr>
          <w:t xml:space="preserve">Technical.ly</w:t>
        </w:r>
      </w:hyperlink>
      <w:r>
        <w:rPr>
          <w:rFonts w:ascii="Arial" w:cs="Arial" w:eastAsia="Arial" w:hAnsi="Arial"/>
          <w:sz w:val="22"/>
          <w:szCs w:val="22"/>
        </w:rPr>
        <w:t xml:space="preserve">). This reduces compliance costs for issuers and benefits the financial firms—broker-dealers, investment funds, and exchanges—that facilitate capital raising (</w:t>
      </w:r>
      <w:hyperlink w:history="1" r:id="rIdd5orty_mwy_deopfuhavd">
        <w:r>
          <w:rPr>
            <w:rFonts w:ascii="Arial" w:cs="Arial" w:eastAsia="Arial" w:hAnsi="Arial"/>
            <w:color w:val="1155CC"/>
            <w:sz w:val="22"/>
            <w:szCs w:val="22"/>
            <w:u w:val="single"/>
          </w:rPr>
          <w:t xml:space="preserve">Mayer Brown / JDSupra</w:t>
        </w:r>
      </w:hyperlink>
      <w:r>
        <w:rPr>
          <w:rFonts w:ascii="Arial" w:cs="Arial" w:eastAsia="Arial" w:hAnsi="Arial"/>
          <w:sz w:val="22"/>
          <w:szCs w:val="22"/>
        </w:rPr>
        <w:t xml:space="preserve">).</w:t>
      </w:r>
    </w:p>
    <w:p>
      <w:pPr>
        <w:pStyle w:val="Heading1"/>
      </w:pPr>
      <w:r>
        <w:t xml:space="preserve">Small Business Lending: The Tightest Donor-to-Bill Connection</w:t>
      </w:r>
    </w:p>
    <w:p>
      <w:pPr>
        <w:spacing w:after="200" w:line="276"/>
      </w:pPr>
      <w:r>
        <w:rPr>
          <w:rFonts w:ascii="Arial" w:cs="Arial" w:eastAsia="Arial" w:hAnsi="Arial"/>
          <w:sz w:val="22"/>
          <w:szCs w:val="22"/>
        </w:rPr>
        <w:t xml:space="preserve">The single most direct pay-to-play pattern in Meuser’s record involves the Small Business Investor Alliance (SBIA). The SBIA’s PAC gave </w:t>
      </w:r>
      <w:hyperlink w:history="1" r:id="rIdjvaf8rikwks9mdh2eumua">
        <w:r>
          <w:rPr>
            <w:rFonts w:ascii="Arial" w:cs="Arial" w:eastAsia="Arial" w:hAnsi="Arial"/>
            <w:color w:val="1155CC"/>
            <w:sz w:val="22"/>
            <w:szCs w:val="22"/>
            <w:u w:val="single"/>
          </w:rPr>
          <w:t xml:space="preserve">$10,000 in two installments</w:t>
        </w:r>
      </w:hyperlink>
      <w:r>
        <w:rPr>
          <w:rFonts w:ascii="Arial" w:cs="Arial" w:eastAsia="Arial" w:hAnsi="Arial"/>
          <w:sz w:val="22"/>
          <w:szCs w:val="22"/>
        </w:rPr>
        <w:t xml:space="preserve">, and its president, Brett Palmer, personally contributed an additional </w:t>
      </w:r>
      <w:hyperlink w:history="1" r:id="rIdmsrwiwejxjofvftmokehn">
        <w:r>
          <w:rPr>
            <w:rFonts w:ascii="Arial" w:cs="Arial" w:eastAsia="Arial" w:hAnsi="Arial"/>
            <w:color w:val="1155CC"/>
            <w:sz w:val="22"/>
            <w:szCs w:val="22"/>
            <w:u w:val="single"/>
          </w:rPr>
          <w:t xml:space="preserve">$7,000</w:t>
        </w:r>
      </w:hyperlink>
      <w:r>
        <w:rPr>
          <w:rFonts w:ascii="Arial" w:cs="Arial" w:eastAsia="Arial" w:hAnsi="Arial"/>
          <w:sz w:val="22"/>
          <w:szCs w:val="22"/>
        </w:rPr>
        <w:t xml:space="preserve">. The </w:t>
      </w:r>
      <w:hyperlink w:history="1" r:id="rIdslunuivr7hltesmpawyur">
        <w:r>
          <w:rPr>
            <w:rFonts w:ascii="Arial" w:cs="Arial" w:eastAsia="Arial" w:hAnsi="Arial"/>
            <w:color w:val="1155CC"/>
            <w:sz w:val="22"/>
            <w:szCs w:val="22"/>
            <w:u w:val="single"/>
          </w:rPr>
          <w:t xml:space="preserve">Revenue Based Finance Coalition PAC</w:t>
        </w:r>
      </w:hyperlink>
      <w:r>
        <w:rPr>
          <w:rFonts w:ascii="Arial" w:cs="Arial" w:eastAsia="Arial" w:hAnsi="Arial"/>
          <w:sz w:val="22"/>
          <w:szCs w:val="22"/>
        </w:rPr>
        <w:t xml:space="preserve"> added another $5,000. In return, Meuser co-led a bill that was essentially custom-built for their members.</w:t>
      </w:r>
    </w:p>
    <w:p>
      <w:pPr>
        <w:spacing w:after="200" w:line="276"/>
      </w:pPr>
      <w:r>
        <w:rPr>
          <w:rFonts w:ascii="Arial" w:cs="Arial" w:eastAsia="Arial" w:hAnsi="Arial"/>
          <w:b/>
          <w:bCs/>
          <w:sz w:val="22"/>
          <w:szCs w:val="22"/>
        </w:rPr>
        <w:t xml:space="preserve">Investing in All of America Act (</w:t>
      </w:r>
      <w:hyperlink w:history="1" r:id="rIdzggegkwsmtya4bbielpum">
        <w:r>
          <w:rPr>
            <w:rFonts w:ascii="Arial" w:cs="Arial" w:eastAsia="Arial" w:hAnsi="Arial"/>
            <w:b/>
            <w:bCs/>
            <w:color w:val="1155CC"/>
            <w:sz w:val="22"/>
            <w:szCs w:val="22"/>
            <w:u w:val="single"/>
          </w:rPr>
          <w:t xml:space="preserve">H.R. 2066</w:t>
        </w:r>
      </w:hyperlink>
      <w:r>
        <w:rPr>
          <w:rFonts w:ascii="Arial" w:cs="Arial" w:eastAsia="Arial" w:hAnsi="Arial"/>
          <w:b/>
          <w:bCs/>
          <w:sz w:val="22"/>
          <w:szCs w:val="22"/>
        </w:rPr>
        <w:t xml:space="preserve">). </w:t>
      </w:r>
      <w:r>
        <w:rPr>
          <w:rFonts w:ascii="Arial" w:cs="Arial" w:eastAsia="Arial" w:hAnsi="Arial"/>
          <w:sz w:val="22"/>
          <w:szCs w:val="22"/>
        </w:rPr>
        <w:t xml:space="preserve">This bill expands the capacity of Small Business Investment Companies (SBICs)—the exact financing vehicles operated by SBIA members. It </w:t>
      </w:r>
      <w:hyperlink w:history="1" r:id="rIdnksmk-gsf8etisc-ioi-p">
        <w:r>
          <w:rPr>
            <w:rFonts w:ascii="Arial" w:cs="Arial" w:eastAsia="Arial" w:hAnsi="Arial"/>
            <w:color w:val="1155CC"/>
            <w:sz w:val="22"/>
            <w:szCs w:val="22"/>
            <w:u w:val="single"/>
          </w:rPr>
          <w:t xml:space="preserve">raises the maximum SBA financing</w:t>
        </w:r>
      </w:hyperlink>
      <w:r>
        <w:rPr>
          <w:rFonts w:ascii="Arial" w:cs="Arial" w:eastAsia="Arial" w:hAnsi="Arial"/>
          <w:sz w:val="22"/>
          <w:szCs w:val="22"/>
        </w:rPr>
        <w:t xml:space="preserve"> an SBIC fund can obtain from $350 million to $450 million and creates carve-outs excluding investments in manufacturing, rural businesses, and critical technology from the SBIC leverage cap. After the bill passed the House, the SBIA issued a </w:t>
      </w:r>
      <w:hyperlink w:history="1" r:id="rIdorrvvkbx7qkklekbag-ev">
        <w:r>
          <w:rPr>
            <w:rFonts w:ascii="Arial" w:cs="Arial" w:eastAsia="Arial" w:hAnsi="Arial"/>
            <w:color w:val="1155CC"/>
            <w:sz w:val="22"/>
            <w:szCs w:val="22"/>
            <w:u w:val="single"/>
          </w:rPr>
          <w:t xml:space="preserve">press release</w:t>
        </w:r>
      </w:hyperlink>
      <w:r>
        <w:rPr>
          <w:rFonts w:ascii="Arial" w:cs="Arial" w:eastAsia="Arial" w:hAnsi="Arial"/>
          <w:sz w:val="22"/>
          <w:szCs w:val="22"/>
        </w:rPr>
        <w:t xml:space="preserve"> in which President Palmer praised Meuser’s leadership, saying the bill “modernizes the SBIC program to reflect today’s market and small business needs.” This is the clearest case of a donor contributing to a member and that member delivering legislation that directly expands the donor’s business capacity.</w:t>
      </w:r>
    </w:p>
    <w:p>
      <w:pPr>
        <w:spacing w:after="200" w:line="276"/>
      </w:pPr>
      <w:r>
        <w:rPr>
          <w:rFonts w:ascii="Arial" w:cs="Arial" w:eastAsia="Arial" w:hAnsi="Arial"/>
          <w:b/>
          <w:bCs/>
          <w:sz w:val="22"/>
          <w:szCs w:val="22"/>
        </w:rPr>
        <w:t xml:space="preserve">7(a) Loan Agent Oversight Act (</w:t>
      </w:r>
      <w:hyperlink w:history="1" r:id="rId9t9s_bginbvgeshqxo9vm">
        <w:r>
          <w:rPr>
            <w:rFonts w:ascii="Arial" w:cs="Arial" w:eastAsia="Arial" w:hAnsi="Arial"/>
            <w:b/>
            <w:bCs/>
            <w:color w:val="1155CC"/>
            <w:sz w:val="22"/>
            <w:szCs w:val="22"/>
            <w:u w:val="single"/>
          </w:rPr>
          <w:t xml:space="preserve">H.R. 1804</w:t>
        </w:r>
      </w:hyperlink>
      <w:r>
        <w:rPr>
          <w:rFonts w:ascii="Arial" w:cs="Arial" w:eastAsia="Arial" w:hAnsi="Arial"/>
          <w:b/>
          <w:bCs/>
          <w:sz w:val="22"/>
          <w:szCs w:val="22"/>
        </w:rPr>
        <w:t xml:space="preserve">). </w:t>
      </w:r>
      <w:r>
        <w:rPr>
          <w:rFonts w:ascii="Arial" w:cs="Arial" w:eastAsia="Arial" w:hAnsi="Arial"/>
          <w:sz w:val="22"/>
          <w:szCs w:val="22"/>
        </w:rPr>
        <w:t xml:space="preserve">Passed the House 405–3. </w:t>
      </w:r>
      <w:hyperlink w:history="1" r:id="rId-dv2rs07xgx33kmeakfpy">
        <w:r>
          <w:rPr>
            <w:rFonts w:ascii="Arial" w:cs="Arial" w:eastAsia="Arial" w:hAnsi="Arial"/>
            <w:color w:val="1155CC"/>
            <w:sz w:val="22"/>
            <w:szCs w:val="22"/>
            <w:u w:val="single"/>
          </w:rPr>
          <w:t xml:space="preserve">Requires the SBA</w:t>
        </w:r>
      </w:hyperlink>
      <w:r>
        <w:rPr>
          <w:rFonts w:ascii="Arial" w:cs="Arial" w:eastAsia="Arial" w:hAnsi="Arial"/>
          <w:sz w:val="22"/>
          <w:szCs w:val="22"/>
        </w:rPr>
        <w:t xml:space="preserve"> to report annually on loan brokers, including fraud rates and referral fees. Meuser stated the legislation “strengthens accountability and combats fraud” in SBA lending (</w:t>
      </w:r>
      <w:hyperlink w:history="1" r:id="rId_uzybdjfs-vohcwpqrogn">
        <w:r>
          <w:rPr>
            <w:rFonts w:ascii="Arial" w:cs="Arial" w:eastAsia="Arial" w:hAnsi="Arial"/>
            <w:color w:val="1155CC"/>
            <w:sz w:val="22"/>
            <w:szCs w:val="22"/>
            <w:u w:val="single"/>
          </w:rPr>
          <w:t xml:space="preserve">IEDC</w:t>
        </w:r>
      </w:hyperlink>
      <w:r>
        <w:rPr>
          <w:rFonts w:ascii="Arial" w:cs="Arial" w:eastAsia="Arial" w:hAnsi="Arial"/>
          <w:sz w:val="22"/>
          <w:szCs w:val="22"/>
        </w:rPr>
        <w:t xml:space="preserve">)—a priority for legitimate SBA lenders and SBIC participants like those in SBIA who benefit from a scandal-free program (</w:t>
      </w:r>
      <w:hyperlink w:history="1" r:id="rIdgqlorkfgtbeqoguqqt-b2">
        <w:r>
          <w:rPr>
            <w:rFonts w:ascii="Arial" w:cs="Arial" w:eastAsia="Arial" w:hAnsi="Arial"/>
            <w:color w:val="1155CC"/>
            <w:sz w:val="22"/>
            <w:szCs w:val="22"/>
            <w:u w:val="single"/>
          </w:rPr>
          <w:t xml:space="preserve">Nasdaq coverage</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Small Business Lending Fraud Prevention Act (</w:t>
      </w:r>
      <w:hyperlink w:history="1" r:id="rIdqx2qweeeq__9hed6wbiie">
        <w:r>
          <w:rPr>
            <w:rFonts w:ascii="Arial" w:cs="Arial" w:eastAsia="Arial" w:hAnsi="Arial"/>
            <w:b/>
            <w:bCs/>
            <w:color w:val="1155CC"/>
            <w:sz w:val="22"/>
            <w:szCs w:val="22"/>
            <w:u w:val="single"/>
          </w:rPr>
          <w:t xml:space="preserve">H.R. 7401</w:t>
        </w:r>
      </w:hyperlink>
      <w:r>
        <w:rPr>
          <w:rFonts w:ascii="Arial" w:cs="Arial" w:eastAsia="Arial" w:hAnsi="Arial"/>
          <w:b/>
          <w:bCs/>
          <w:sz w:val="22"/>
          <w:szCs w:val="22"/>
        </w:rPr>
        <w:t xml:space="preserve">). </w:t>
      </w:r>
      <w:r>
        <w:rPr>
          <w:rFonts w:ascii="Arial" w:cs="Arial" w:eastAsia="Arial" w:hAnsi="Arial"/>
          <w:sz w:val="22"/>
          <w:szCs w:val="22"/>
        </w:rPr>
        <w:t xml:space="preserve">Introduced in February 2026 with bipartisan backing, this bill would require SBA employees to certify they have no conflicts of interest with SBA lenders—another layer of integrity protection for the lending programs in which SBIA members participate.</w:t>
      </w:r>
    </w:p>
    <w:p>
      <w:pPr>
        <w:pStyle w:val="Heading1"/>
      </w:pPr>
      <w:r>
        <w:t xml:space="preserve">NASDAQ: PAC + Executive Giving, Bills That Serve the Exchange</w:t>
      </w:r>
    </w:p>
    <w:p>
      <w:pPr>
        <w:spacing w:after="200" w:line="276"/>
      </w:pPr>
      <w:r>
        <w:rPr>
          <w:rFonts w:ascii="Arial" w:cs="Arial" w:eastAsia="Arial" w:hAnsi="Arial"/>
          <w:sz w:val="22"/>
          <w:szCs w:val="22"/>
        </w:rPr>
        <w:t xml:space="preserve">Nasdaq, Inc.’s corporate PAC contributed $5,000 to Meuser, and three NASDAQ executives—including Tal Cohen ($5,000), Oliver Albers ($2,500), and Bryan Smith ($2,000)—added another $9,500 in personal donations, </w:t>
      </w:r>
      <w:hyperlink w:history="1" r:id="rIdd8y3c0f16o1m2lo0v3fkw">
        <w:r>
          <w:rPr>
            <w:rFonts w:ascii="Arial" w:cs="Arial" w:eastAsia="Arial" w:hAnsi="Arial"/>
            <w:color w:val="1155CC"/>
            <w:sz w:val="22"/>
            <w:szCs w:val="22"/>
            <w:u w:val="single"/>
          </w:rPr>
          <w:t xml:space="preserve">totaling $14,500</w:t>
        </w:r>
      </w:hyperlink>
      <w:r>
        <w:rPr>
          <w:rFonts w:ascii="Arial" w:cs="Arial" w:eastAsia="Arial" w:hAnsi="Arial"/>
          <w:sz w:val="22"/>
          <w:szCs w:val="22"/>
        </w:rPr>
        <w:t xml:space="preserve">. Two of Meuser’s bills directly benefit NASDAQ’s core business.</w:t>
      </w:r>
    </w:p>
    <w:p>
      <w:pPr>
        <w:spacing w:after="200" w:line="276"/>
      </w:pPr>
      <w:hyperlink w:history="1" r:id="rIdguajdr_hzaralksggobec">
        <w:r>
          <w:rPr>
            <w:rFonts w:ascii="Arial" w:cs="Arial" w:eastAsia="Arial" w:hAnsi="Arial"/>
            <w:color w:val="1155CC"/>
            <w:sz w:val="22"/>
            <w:szCs w:val="22"/>
            <w:u w:val="single"/>
          </w:rPr>
          <w:t xml:space="preserve">H.R. 7127</w:t>
        </w:r>
      </w:hyperlink>
      <w:r>
        <w:rPr>
          <w:rFonts w:ascii="Arial" w:cs="Arial" w:eastAsia="Arial" w:hAnsi="Arial"/>
          <w:sz w:val="22"/>
          <w:szCs w:val="22"/>
        </w:rPr>
        <w:t xml:space="preserve">, the secondary trading market bill, directly affects securities trading markets—NASDAQ’s bread and butter. </w:t>
      </w:r>
      <w:hyperlink w:history="1" r:id="rIdytfoulafwh3ukeaniozoo">
        <w:r>
          <w:rPr>
            <w:rFonts w:ascii="Arial" w:cs="Arial" w:eastAsia="Arial" w:hAnsi="Arial"/>
            <w:color w:val="1155CC"/>
            <w:sz w:val="22"/>
            <w:szCs w:val="22"/>
            <w:u w:val="single"/>
          </w:rPr>
          <w:t xml:space="preserve">H.R. 3645</w:t>
        </w:r>
      </w:hyperlink>
      <w:r>
        <w:rPr>
          <w:rFonts w:ascii="Arial" w:cs="Arial" w:eastAsia="Arial" w:hAnsi="Arial"/>
          <w:sz w:val="22"/>
          <w:szCs w:val="22"/>
        </w:rPr>
        <w:t xml:space="preserve">, the ACCESS Act crowdfunding bill, eases capital formation for startups, which feeds the pipeline of companies that eventually pursue public listings on exchanges like NASDAQ (</w:t>
      </w:r>
      <w:hyperlink w:history="1" r:id="rIdxiil_pnbswls2of4fds8u">
        <w:r>
          <w:rPr>
            <w:rFonts w:ascii="Arial" w:cs="Arial" w:eastAsia="Arial" w:hAnsi="Arial"/>
            <w:color w:val="1155CC"/>
            <w:sz w:val="22"/>
            <w:szCs w:val="22"/>
            <w:u w:val="single"/>
          </w:rPr>
          <w:t xml:space="preserve">Mayer Brown / JDSupra</w:t>
        </w:r>
      </w:hyperlink>
      <w:r>
        <w:rPr>
          <w:rFonts w:ascii="Arial" w:cs="Arial" w:eastAsia="Arial" w:hAnsi="Arial"/>
          <w:sz w:val="22"/>
          <w:szCs w:val="22"/>
        </w:rPr>
        <w:t xml:space="preserve">).</w:t>
      </w:r>
    </w:p>
    <w:p>
      <w:pPr>
        <w:pStyle w:val="Heading1"/>
      </w:pPr>
      <w:r>
        <w:t xml:space="preserve">Insurance Industry: ~$34,000 for a Friendly Regulatory Posture</w:t>
      </w:r>
    </w:p>
    <w:p>
      <w:pPr>
        <w:spacing w:after="200" w:line="276"/>
      </w:pPr>
      <w:r>
        <w:rPr>
          <w:rFonts w:ascii="Arial" w:cs="Arial" w:eastAsia="Arial" w:hAnsi="Arial"/>
          <w:sz w:val="22"/>
          <w:szCs w:val="22"/>
        </w:rPr>
        <w:t xml:space="preserve">Insurance PACs—including </w:t>
      </w:r>
      <w:hyperlink w:history="1" r:id="rIdv3_xm9cmrqlfocwtaayhy">
        <w:r>
          <w:rPr>
            <w:rFonts w:ascii="Arial" w:cs="Arial" w:eastAsia="Arial" w:hAnsi="Arial"/>
            <w:color w:val="1155CC"/>
            <w:sz w:val="22"/>
            <w:szCs w:val="22"/>
            <w:u w:val="single"/>
          </w:rPr>
          <w:t xml:space="preserve">NAIFA ($9,000)</w:t>
        </w:r>
      </w:hyperlink>
      <w:r>
        <w:rPr>
          <w:rFonts w:ascii="Arial" w:cs="Arial" w:eastAsia="Arial" w:hAnsi="Arial"/>
          <w:sz w:val="22"/>
          <w:szCs w:val="22"/>
        </w:rPr>
        <w:t xml:space="preserve">, </w:t>
      </w:r>
      <w:hyperlink w:history="1" r:id="rId8ybrlc7nmoryapu7f9g9b">
        <w:r>
          <w:rPr>
            <w:rFonts w:ascii="Arial" w:cs="Arial" w:eastAsia="Arial" w:hAnsi="Arial"/>
            <w:color w:val="1155CC"/>
            <w:sz w:val="22"/>
            <w:szCs w:val="22"/>
            <w:u w:val="single"/>
          </w:rPr>
          <w:t xml:space="preserve">Northwestern Mutual ($5,000)</w:t>
        </w:r>
      </w:hyperlink>
      <w:r>
        <w:rPr>
          <w:rFonts w:ascii="Arial" w:cs="Arial" w:eastAsia="Arial" w:hAnsi="Arial"/>
          <w:sz w:val="22"/>
          <w:szCs w:val="22"/>
        </w:rPr>
        <w:t xml:space="preserve">, </w:t>
      </w:r>
      <w:hyperlink w:history="1" r:id="rIdhxuhbj7mg5pgizqqyhws-">
        <w:r>
          <w:rPr>
            <w:rFonts w:ascii="Arial" w:cs="Arial" w:eastAsia="Arial" w:hAnsi="Arial"/>
            <w:color w:val="1155CC"/>
            <w:sz w:val="22"/>
            <w:szCs w:val="22"/>
            <w:u w:val="single"/>
          </w:rPr>
          <w:t xml:space="preserve">INSURPAC ($5,000)</w:t>
        </w:r>
      </w:hyperlink>
      <w:r>
        <w:rPr>
          <w:rFonts w:ascii="Arial" w:cs="Arial" w:eastAsia="Arial" w:hAnsi="Arial"/>
          <w:sz w:val="22"/>
          <w:szCs w:val="22"/>
        </w:rPr>
        <w:t xml:space="preserve">, and </w:t>
      </w:r>
      <w:hyperlink w:history="1" r:id="rIdkcpt5xxnjdq0jazzsvtsi">
        <w:r>
          <w:rPr>
            <w:rFonts w:ascii="Arial" w:cs="Arial" w:eastAsia="Arial" w:hAnsi="Arial"/>
            <w:color w:val="1155CC"/>
            <w:sz w:val="22"/>
            <w:szCs w:val="22"/>
            <w:u w:val="single"/>
          </w:rPr>
          <w:t xml:space="preserve">WSIA ($5,000)</w:t>
        </w:r>
      </w:hyperlink>
      <w:r>
        <w:rPr>
          <w:rFonts w:ascii="Arial" w:cs="Arial" w:eastAsia="Arial" w:hAnsi="Arial"/>
          <w:sz w:val="22"/>
          <w:szCs w:val="22"/>
        </w:rPr>
        <w:t xml:space="preserve">—gave roughly $34,000. Meuser didn’t write any insurance-specific bills, but his general deregulatory agenda serves these donors well. </w:t>
      </w:r>
      <w:hyperlink w:history="1" r:id="rIdrgmlm9exrpqlosaei7nv-">
        <w:r>
          <w:rPr>
            <w:rFonts w:ascii="Arial" w:cs="Arial" w:eastAsia="Arial" w:hAnsi="Arial"/>
            <w:color w:val="1155CC"/>
            <w:sz w:val="22"/>
            <w:szCs w:val="22"/>
            <w:u w:val="single"/>
          </w:rPr>
          <w:t xml:space="preserve">H.R. 4460</w:t>
        </w:r>
      </w:hyperlink>
      <w:r>
        <w:rPr>
          <w:rFonts w:ascii="Arial" w:cs="Arial" w:eastAsia="Arial" w:hAnsi="Arial"/>
          <w:sz w:val="22"/>
          <w:szCs w:val="22"/>
        </w:rPr>
        <w:t xml:space="preserve"> protects all regulated financial firms—including insurers—from being governed through informal regulatory guidance. </w:t>
      </w:r>
      <w:hyperlink w:history="1" r:id="rId9tgi6iol0oay9g6r5j42o">
        <w:r>
          <w:rPr>
            <w:rFonts w:ascii="Arial" w:cs="Arial" w:eastAsia="Arial" w:hAnsi="Arial"/>
            <w:color w:val="1155CC"/>
            <w:sz w:val="22"/>
            <w:szCs w:val="22"/>
            <w:u w:val="single"/>
          </w:rPr>
          <w:t xml:space="preserve">H.R. 2513</w:t>
        </w:r>
      </w:hyperlink>
      <w:r>
        <w:rPr>
          <w:rFonts w:ascii="Arial" w:cs="Arial" w:eastAsia="Arial" w:hAnsi="Arial"/>
          <w:sz w:val="22"/>
          <w:szCs w:val="22"/>
        </w:rPr>
        <w:t xml:space="preserve"> could aid insurers’ affiliate businesses by checking the CFPB. Meuser’s efforts to “reduce unnecessary regulatory burdens” (</w:t>
      </w:r>
      <w:hyperlink w:history="1" r:id="rIdrbkhpmmpkwnss_plbryyu">
        <w:r>
          <w:rPr>
            <w:rFonts w:ascii="Arial" w:cs="Arial" w:eastAsia="Arial" w:hAnsi="Arial"/>
            <w:color w:val="1155CC"/>
            <w:sz w:val="22"/>
            <w:szCs w:val="22"/>
            <w:u w:val="single"/>
          </w:rPr>
          <w:t xml:space="preserve">Financial Regulation News</w:t>
        </w:r>
      </w:hyperlink>
      <w:r>
        <w:rPr>
          <w:rFonts w:ascii="Arial" w:cs="Arial" w:eastAsia="Arial" w:hAnsi="Arial"/>
          <w:sz w:val="22"/>
          <w:szCs w:val="22"/>
        </w:rPr>
        <w:t xml:space="preserve">) deliver exactly what the insurance lobby has long sought.</w:t>
      </w:r>
    </w:p>
    <w:p>
      <w:pPr>
        <w:pStyle w:val="Heading1"/>
      </w:pPr>
      <w:r>
        <w:t xml:space="preserve">Energy &amp; Manufacturing: Pro-Industry Posture</w:t>
      </w:r>
    </w:p>
    <w:p>
      <w:pPr>
        <w:spacing w:after="200" w:line="276"/>
      </w:pPr>
      <w:hyperlink w:history="1" r:id="rIdvs3wrvefj_oqzyg2wuphg">
        <w:r>
          <w:rPr>
            <w:rFonts w:ascii="Arial" w:cs="Arial" w:eastAsia="Arial" w:hAnsi="Arial"/>
            <w:color w:val="1155CC"/>
            <w:sz w:val="22"/>
            <w:szCs w:val="22"/>
            <w:u w:val="single"/>
          </w:rPr>
          <w:t xml:space="preserve">Marathon Petroleum ($10,000)</w:t>
        </w:r>
      </w:hyperlink>
      <w:r>
        <w:rPr>
          <w:rFonts w:ascii="Arial" w:cs="Arial" w:eastAsia="Arial" w:hAnsi="Arial"/>
          <w:sz w:val="22"/>
          <w:szCs w:val="22"/>
        </w:rPr>
        <w:t xml:space="preserve">, </w:t>
      </w:r>
      <w:hyperlink w:history="1" r:id="rIdvg8qvp4cmye9osqzcrbo0">
        <w:r>
          <w:rPr>
            <w:rFonts w:ascii="Arial" w:cs="Arial" w:eastAsia="Arial" w:hAnsi="Arial"/>
            <w:color w:val="1155CC"/>
            <w:sz w:val="22"/>
            <w:szCs w:val="22"/>
            <w:u w:val="single"/>
          </w:rPr>
          <w:t xml:space="preserve">US Steel ($5,000)</w:t>
        </w:r>
      </w:hyperlink>
      <w:r>
        <w:rPr>
          <w:rFonts w:ascii="Arial" w:cs="Arial" w:eastAsia="Arial" w:hAnsi="Arial"/>
          <w:sz w:val="22"/>
          <w:szCs w:val="22"/>
        </w:rPr>
        <w:t xml:space="preserve">, </w:t>
      </w:r>
      <w:hyperlink w:history="1" r:id="rIds805fgpd4ovbtyb92vxha">
        <w:r>
          <w:rPr>
            <w:rFonts w:ascii="Arial" w:cs="Arial" w:eastAsia="Arial" w:hAnsi="Arial"/>
            <w:color w:val="1155CC"/>
            <w:sz w:val="22"/>
            <w:szCs w:val="22"/>
            <w:u w:val="single"/>
          </w:rPr>
          <w:t xml:space="preserve">Hewlett Packard Enterprise ($5,000)</w:t>
        </w:r>
      </w:hyperlink>
      <w:r>
        <w:rPr>
          <w:rFonts w:ascii="Arial" w:cs="Arial" w:eastAsia="Arial" w:hAnsi="Arial"/>
          <w:sz w:val="22"/>
          <w:szCs w:val="22"/>
        </w:rPr>
        <w:t xml:space="preserve">, and </w:t>
      </w:r>
      <w:hyperlink w:history="1" r:id="rIdlyegvaemvyzqapgx9-xn_">
        <w:r>
          <w:rPr>
            <w:rFonts w:ascii="Arial" w:cs="Arial" w:eastAsia="Arial" w:hAnsi="Arial"/>
            <w:color w:val="1155CC"/>
            <w:sz w:val="22"/>
            <w:szCs w:val="22"/>
            <w:u w:val="single"/>
          </w:rPr>
          <w:t xml:space="preserve">Microsoft ($5,000)</w:t>
        </w:r>
      </w:hyperlink>
      <w:r>
        <w:rPr>
          <w:rFonts w:ascii="Arial" w:cs="Arial" w:eastAsia="Arial" w:hAnsi="Arial"/>
          <w:sz w:val="22"/>
          <w:szCs w:val="22"/>
        </w:rPr>
        <w:t xml:space="preserve"> PACs each contributed, while individual donors tied to </w:t>
      </w:r>
      <w:hyperlink w:history="1" r:id="rIdhftcbgs5ugwteqxbljqru">
        <w:r>
          <w:rPr>
            <w:rFonts w:ascii="Arial" w:cs="Arial" w:eastAsia="Arial" w:hAnsi="Arial"/>
            <w:color w:val="1155CC"/>
            <w:sz w:val="22"/>
            <w:szCs w:val="22"/>
            <w:u w:val="single"/>
          </w:rPr>
          <w:t xml:space="preserve">Talen Energy ($7,000+)</w:t>
        </w:r>
      </w:hyperlink>
      <w:r>
        <w:rPr>
          <w:rFonts w:ascii="Arial" w:cs="Arial" w:eastAsia="Arial" w:hAnsi="Arial"/>
          <w:sz w:val="22"/>
          <w:szCs w:val="22"/>
        </w:rPr>
        <w:t xml:space="preserve"> and </w:t>
      </w:r>
      <w:hyperlink w:history="1" r:id="rIdp13ttihre_ee-mqeikrmg">
        <w:r>
          <w:rPr>
            <w:rFonts w:ascii="Arial" w:cs="Arial" w:eastAsia="Arial" w:hAnsi="Arial"/>
            <w:color w:val="1155CC"/>
            <w:sz w:val="22"/>
            <w:szCs w:val="22"/>
            <w:u w:val="single"/>
          </w:rPr>
          <w:t xml:space="preserve">Apollo Management ($14,000)</w:t>
        </w:r>
      </w:hyperlink>
      <w:r>
        <w:rPr>
          <w:rFonts w:ascii="Arial" w:cs="Arial" w:eastAsia="Arial" w:hAnsi="Arial"/>
          <w:sz w:val="22"/>
          <w:szCs w:val="22"/>
        </w:rPr>
        <w:t xml:space="preserve"> added significant personal contributions.</w:t>
      </w:r>
    </w:p>
    <w:p>
      <w:pPr>
        <w:spacing w:after="200" w:line="276"/>
      </w:pPr>
      <w:r>
        <w:rPr>
          <w:rFonts w:ascii="Arial" w:cs="Arial" w:eastAsia="Arial" w:hAnsi="Arial"/>
          <w:b/>
          <w:bCs/>
          <w:sz w:val="22"/>
          <w:szCs w:val="22"/>
        </w:rPr>
        <w:t xml:space="preserve">USA Batteries Act (</w:t>
      </w:r>
      <w:hyperlink w:history="1" r:id="rId53hpikjd2wergdmcrrnys">
        <w:r>
          <w:rPr>
            <w:rFonts w:ascii="Arial" w:cs="Arial" w:eastAsia="Arial" w:hAnsi="Arial"/>
            <w:b/>
            <w:bCs/>
            <w:color w:val="1155CC"/>
            <w:sz w:val="22"/>
            <w:szCs w:val="22"/>
            <w:u w:val="single"/>
          </w:rPr>
          <w:t xml:space="preserve">H.R. 1264</w:t>
        </w:r>
      </w:hyperlink>
      <w:r>
        <w:rPr>
          <w:rFonts w:ascii="Arial" w:cs="Arial" w:eastAsia="Arial" w:hAnsi="Arial"/>
          <w:b/>
          <w:bCs/>
          <w:sz w:val="22"/>
          <w:szCs w:val="22"/>
        </w:rPr>
        <w:t xml:space="preserve">). </w:t>
      </w:r>
      <w:r>
        <w:rPr>
          <w:rFonts w:ascii="Arial" w:cs="Arial" w:eastAsia="Arial" w:hAnsi="Arial"/>
          <w:sz w:val="22"/>
          <w:szCs w:val="22"/>
        </w:rPr>
        <w:t xml:space="preserve">Repeals excise taxes on critical raw materials used in battery production. Battery Council International stated the bill targeted “punitive excise taxes on strategic raw materials critical to domestic battery manufacturing” that “put domestic producers at a disadvantage while foreign competitors operate without the same burden” (</w:t>
      </w:r>
      <w:hyperlink w:history="1" r:id="rIdf4c8ttentyevoembqxkwj">
        <w:r>
          <w:rPr>
            <w:rFonts w:ascii="Arial" w:cs="Arial" w:eastAsia="Arial" w:hAnsi="Arial"/>
            <w:color w:val="1155CC"/>
            <w:sz w:val="22"/>
            <w:szCs w:val="22"/>
            <w:u w:val="single"/>
          </w:rPr>
          <w:t xml:space="preserve">BCI press release</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China Exchange Rate Transparency Act (</w:t>
      </w:r>
      <w:hyperlink w:history="1" r:id="rIdsojpgyfzp95tre4bak3rv">
        <w:r>
          <w:rPr>
            <w:rFonts w:ascii="Arial" w:cs="Arial" w:eastAsia="Arial" w:hAnsi="Arial"/>
            <w:b/>
            <w:bCs/>
            <w:color w:val="1155CC"/>
            <w:sz w:val="22"/>
            <w:szCs w:val="22"/>
            <w:u w:val="single"/>
          </w:rPr>
          <w:t xml:space="preserve">H.R. 692</w:t>
        </w:r>
      </w:hyperlink>
      <w:r>
        <w:rPr>
          <w:rFonts w:ascii="Arial" w:cs="Arial" w:eastAsia="Arial" w:hAnsi="Arial"/>
          <w:b/>
          <w:bCs/>
          <w:sz w:val="22"/>
          <w:szCs w:val="22"/>
        </w:rPr>
        <w:t xml:space="preserve">). </w:t>
      </w:r>
      <w:r>
        <w:rPr>
          <w:rFonts w:ascii="Arial" w:cs="Arial" w:eastAsia="Arial" w:hAnsi="Arial"/>
          <w:sz w:val="22"/>
          <w:szCs w:val="22"/>
        </w:rPr>
        <w:t xml:space="preserve">Passed the House with bipartisan support. Sen. McCormick stated that “China’s currency manipulation and secrecy are putting American businesses at a disadvantage in the global economy” (</w:t>
      </w:r>
      <w:hyperlink w:history="1" r:id="rIdl8ou9831zdm79tbncvggb">
        <w:r>
          <w:rPr>
            <w:rFonts w:ascii="Arial" w:cs="Arial" w:eastAsia="Arial" w:hAnsi="Arial"/>
            <w:color w:val="1155CC"/>
            <w:sz w:val="22"/>
            <w:szCs w:val="22"/>
            <w:u w:val="single"/>
          </w:rPr>
          <w:t xml:space="preserve">Senate press release</w:t>
        </w:r>
      </w:hyperlink>
      <w:r>
        <w:rPr>
          <w:rFonts w:ascii="Arial" w:cs="Arial" w:eastAsia="Arial" w:hAnsi="Arial"/>
          <w:sz w:val="22"/>
          <w:szCs w:val="22"/>
        </w:rPr>
        <w:t xml:space="preserve">). While the bill had ten co-sponsors and broad appeal, it still serves manufacturing donors who compete against Chinese imports.</w:t>
      </w:r>
    </w:p>
    <w:p>
      <w:pPr>
        <w:pageBreakBefore/>
        <w:spacing w:before="100" w:after="100"/>
      </w:pPr>
      <w:r>
        <w:rPr>
          <w:rFonts w:ascii="Arial" w:cs="Arial" w:eastAsia="Arial" w:hAnsi="Arial"/>
          <w:b/>
          <w:bCs/>
          <w:color w:val="888888"/>
          <w:spacing w:val="80"/>
          <w:sz w:val="22"/>
          <w:szCs w:val="22"/>
        </w:rPr>
        <w:t xml:space="preserve">PART II: VOTING AGAINST HIS DISTRICT</w:t>
      </w:r>
    </w:p>
    <w:p>
      <w:pPr>
        <w:spacing w:after="200"/>
      </w:pPr>
      <w:r>
        <w:rPr>
          <w:rFonts w:ascii="Arial" w:cs="Arial" w:eastAsia="Arial" w:hAnsi="Arial"/>
          <w:color w:val="CCCCCC"/>
          <w:sz w:val="16"/>
          <w:szCs w:val="16"/>
        </w:rPr>
        <w:t xml:space="preserve">────────────────────────────────────────────────────────────</w:t>
      </w:r>
    </w:p>
    <w:p>
      <w:pPr>
        <w:pStyle w:val="Heading1"/>
      </w:pPr>
      <w:r>
        <w:t xml:space="preserve">A District Bleeding Jobs</w:t>
      </w:r>
    </w:p>
    <w:p>
      <w:pPr>
        <w:spacing w:after="200" w:line="276"/>
      </w:pPr>
      <w:r>
        <w:rPr>
          <w:rFonts w:ascii="Arial" w:cs="Arial" w:eastAsia="Arial" w:hAnsi="Arial"/>
          <w:sz w:val="22"/>
          <w:szCs w:val="22"/>
        </w:rPr>
        <w:t xml:space="preserve">While Meuser has been busy legislating for Wall Street PACs and small-business investment funds, </w:t>
      </w:r>
      <w:hyperlink w:history="1" r:id="rIdjsta70ymmfb7ckcydffly">
        <w:r>
          <w:rPr>
            <w:rFonts w:ascii="Arial" w:cs="Arial" w:eastAsia="Arial" w:hAnsi="Arial"/>
            <w:color w:val="1155CC"/>
            <w:sz w:val="22"/>
            <w:szCs w:val="22"/>
            <w:u w:val="single"/>
          </w:rPr>
          <w:t xml:space="preserve">PA-9</w:t>
        </w:r>
      </w:hyperlink>
      <w:r>
        <w:rPr>
          <w:rFonts w:ascii="Arial" w:cs="Arial" w:eastAsia="Arial" w:hAnsi="Arial"/>
          <w:sz w:val="22"/>
          <w:szCs w:val="22"/>
        </w:rPr>
        <w:t xml:space="preserve"> has been hemorrhaging jobs. Since early 2024, closures and mass layoffs across the district have eliminated more than 1,700 positions in manufacturing, distribution, and pharmaceuticals—precisely the kinds of working-class jobs the district depends on.</w:t>
      </w:r>
    </w:p>
    <w:p>
      <w:pPr>
        <w:spacing w:after="200" w:line="276"/>
      </w:pPr>
      <w:r>
        <w:rPr>
          <w:rFonts w:ascii="Arial" w:cs="Arial" w:eastAsia="Arial" w:hAnsi="Arial"/>
          <w:b/>
          <w:bCs/>
          <w:sz w:val="22"/>
          <w:szCs w:val="22"/>
        </w:rPr>
        <w:t xml:space="preserve">Schuylkill County: </w:t>
      </w:r>
      <w:r>
        <w:rPr>
          <w:rFonts w:ascii="Arial" w:cs="Arial" w:eastAsia="Arial" w:hAnsi="Arial"/>
          <w:sz w:val="22"/>
          <w:szCs w:val="22"/>
        </w:rPr>
        <w:t xml:space="preserve">Big Lots’ Tremont distribution center laid off 505 employees between January and March 2025 (</w:t>
      </w:r>
      <w:hyperlink w:history="1" r:id="rIdzputh9ulr_fzfn-dc24ca">
        <w:r>
          <w:rPr>
            <w:rFonts w:ascii="Arial" w:cs="Arial" w:eastAsia="Arial" w:hAnsi="Arial"/>
            <w:color w:val="1155CC"/>
            <w:sz w:val="22"/>
            <w:szCs w:val="22"/>
            <w:u w:val="single"/>
          </w:rPr>
          <w:t xml:space="preserve">PA WARN notice</w:t>
        </w:r>
      </w:hyperlink>
      <w:r>
        <w:rPr>
          <w:rFonts w:ascii="Arial" w:cs="Arial" w:eastAsia="Arial" w:hAnsi="Arial"/>
          <w:sz w:val="22"/>
          <w:szCs w:val="22"/>
        </w:rPr>
        <w:t xml:space="preserve">). Prysmian Cables &amp; Systems will close its Schuylkill Haven facility, affecting about 150 workers through a phase-down running from January 2026 through December 2027 (</w:t>
      </w:r>
      <w:hyperlink w:history="1" r:id="rId6gl3ohshgju7elf_4zw1q">
        <w:r>
          <w:rPr>
            <w:rFonts w:ascii="Arial" w:cs="Arial" w:eastAsia="Arial" w:hAnsi="Arial"/>
            <w:color w:val="1155CC"/>
            <w:sz w:val="22"/>
            <w:szCs w:val="22"/>
            <w:u w:val="single"/>
          </w:rPr>
          <w:t xml:space="preserve">Yahoo News</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Northumberland and Montour Counties: </w:t>
      </w:r>
      <w:r>
        <w:rPr>
          <w:rFonts w:ascii="Arial" w:cs="Arial" w:eastAsia="Arial" w:hAnsi="Arial"/>
          <w:sz w:val="22"/>
          <w:szCs w:val="22"/>
        </w:rPr>
        <w:t xml:space="preserve">Great Dane will lay off 164 workers at its Elysburg plant beginning February 2026 and previously laid off 155 workers at its Danville plant effective January 2025 (</w:t>
      </w:r>
      <w:hyperlink w:history="1" r:id="rIdymvgp-k18fr6joe4ghctb">
        <w:r>
          <w:rPr>
            <w:rFonts w:ascii="Arial" w:cs="Arial" w:eastAsia="Arial" w:hAnsi="Arial"/>
            <w:color w:val="1155CC"/>
            <w:sz w:val="22"/>
            <w:szCs w:val="22"/>
            <w:u w:val="single"/>
          </w:rPr>
          <w:t xml:space="preserve">PA WARN notices</w:t>
        </w:r>
      </w:hyperlink>
      <w:r>
        <w:rPr>
          <w:rFonts w:ascii="Arial" w:cs="Arial" w:eastAsia="Arial" w:hAnsi="Arial"/>
          <w:sz w:val="22"/>
          <w:szCs w:val="22"/>
        </w:rPr>
        <w:t xml:space="preserve">). Merck’s Cherokee plant in Riverside is being shut down with 163 layoffs in three rounds starting May 2025 and concluding in 2026 (</w:t>
      </w:r>
      <w:hyperlink w:history="1" r:id="rIdetp0hk-ksryab6hmgxnkl">
        <w:r>
          <w:rPr>
            <w:rFonts w:ascii="Arial" w:cs="Arial" w:eastAsia="Arial" w:hAnsi="Arial"/>
            <w:color w:val="1155CC"/>
            <w:sz w:val="22"/>
            <w:szCs w:val="22"/>
            <w:u w:val="single"/>
          </w:rPr>
          <w:t xml:space="preserve">FiercePharma</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Columbia and Luzerne Counties: </w:t>
      </w:r>
      <w:r>
        <w:rPr>
          <w:rFonts w:ascii="Arial" w:cs="Arial" w:eastAsia="Arial" w:hAnsi="Arial"/>
          <w:sz w:val="22"/>
          <w:szCs w:val="22"/>
        </w:rPr>
        <w:t xml:space="preserve">IG Design Group Americas closed facilities in Berwick, Briar Creek Township, and Salem Township, laying off about 380 employees effective August 2025 (</w:t>
      </w:r>
      <w:hyperlink w:history="1" r:id="rIdzxsiipe4w8yuxgnj9osg1">
        <w:r>
          <w:rPr>
            <w:rFonts w:ascii="Arial" w:cs="Arial" w:eastAsia="Arial" w:hAnsi="Arial"/>
            <w:color w:val="1155CC"/>
            <w:sz w:val="22"/>
            <w:szCs w:val="22"/>
            <w:u w:val="single"/>
          </w:rPr>
          <w:t xml:space="preserve">Yahoo News</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Lebanon County: </w:t>
      </w:r>
      <w:r>
        <w:rPr>
          <w:rFonts w:ascii="Arial" w:cs="Arial" w:eastAsia="Arial" w:hAnsi="Arial"/>
          <w:sz w:val="22"/>
          <w:szCs w:val="22"/>
        </w:rPr>
        <w:t xml:space="preserve">Weaber, Inc. laid off 145 workers at its distribution center between August and September 2025 (</w:t>
      </w:r>
      <w:hyperlink w:history="1" r:id="rIdshhzharbnnzoktpl1bkad">
        <w:r>
          <w:rPr>
            <w:rFonts w:ascii="Arial" w:cs="Arial" w:eastAsia="Arial" w:hAnsi="Arial"/>
            <w:color w:val="1155CC"/>
            <w:sz w:val="22"/>
            <w:szCs w:val="22"/>
            <w:u w:val="single"/>
          </w:rPr>
          <w:t xml:space="preserve">PA WARN notice</w:t>
        </w:r>
      </w:hyperlink>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Berks County: </w:t>
      </w:r>
      <w:r>
        <w:rPr>
          <w:rFonts w:ascii="Arial" w:cs="Arial" w:eastAsia="Arial" w:hAnsi="Arial"/>
          <w:sz w:val="22"/>
          <w:szCs w:val="22"/>
        </w:rPr>
        <w:t xml:space="preserve">Engineered Materials Solutions is closing its Hamburg plant, with 58 positions eliminated beginning January 2026 (</w:t>
      </w:r>
      <w:hyperlink w:history="1" r:id="rIdyllvgabae4v7nmkx-s6ib">
        <w:r>
          <w:rPr>
            <w:rFonts w:ascii="Arial" w:cs="Arial" w:eastAsia="Arial" w:hAnsi="Arial"/>
            <w:color w:val="1155CC"/>
            <w:sz w:val="22"/>
            <w:szCs w:val="22"/>
            <w:u w:val="single"/>
          </w:rPr>
          <w:t xml:space="preserve">American Machinist</w:t>
        </w:r>
      </w:hyperlink>
      <w:r>
        <w:rPr>
          <w:rFonts w:ascii="Arial" w:cs="Arial" w:eastAsia="Arial" w:hAnsi="Arial"/>
          <w:sz w:val="22"/>
          <w:szCs w:val="22"/>
        </w:rPr>
        <w:t xml:space="preserve">). Appeeling Fruit shut down its Dauberville facility in March 2024, eliminating 68 jobs (</w:t>
      </w:r>
      <w:hyperlink w:history="1" r:id="rIdcnh4hsgrv2anzfhnqdbb4">
        <w:r>
          <w:rPr>
            <w:rFonts w:ascii="Arial" w:cs="Arial" w:eastAsia="Arial" w:hAnsi="Arial"/>
            <w:color w:val="1155CC"/>
            <w:sz w:val="22"/>
            <w:szCs w:val="22"/>
            <w:u w:val="single"/>
          </w:rPr>
          <w:t xml:space="preserve">Lehigh Valley Business</w:t>
        </w:r>
      </w:hyperlink>
      <w:r>
        <w:rPr>
          <w:rFonts w:ascii="Arial" w:cs="Arial" w:eastAsia="Arial" w:hAnsi="Arial"/>
          <w:sz w:val="22"/>
          <w:szCs w:val="22"/>
        </w:rPr>
        <w:t xml:space="preserve">).</w:t>
      </w:r>
    </w:p>
    <w:p>
      <w:pPr>
        <w:spacing w:after="200" w:line="276"/>
      </w:pPr>
      <w:r>
        <w:rPr>
          <w:rFonts w:ascii="Arial" w:cs="Arial" w:eastAsia="Arial" w:hAnsi="Arial"/>
          <w:sz w:val="22"/>
          <w:szCs w:val="22"/>
        </w:rPr>
        <w:t xml:space="preserve">These are communities where a single plant closure can ripple through an entire local economy. Yet Meuser’s legislative output shows no bills addressing workforce transition, retraining, or economic development for these distressed areas.</w:t>
      </w:r>
    </w:p>
    <w:p>
      <w:pPr>
        <w:pStyle w:val="Heading1"/>
      </w:pPr>
      <w:r>
        <w:t xml:space="preserve">Voting to Cut Health Care for His Own Constituents</w:t>
      </w:r>
    </w:p>
    <w:p>
      <w:pPr>
        <w:pStyle w:val="Heading2"/>
      </w:pPr>
      <w:r>
        <w:t xml:space="preserve">Medicaid Work Requirements That Strip Coverage</w:t>
      </w:r>
    </w:p>
    <w:p>
      <w:pPr>
        <w:spacing w:after="200" w:line="276"/>
      </w:pPr>
      <w:r>
        <w:rPr>
          <w:rFonts w:ascii="Arial" w:cs="Arial" w:eastAsia="Arial" w:hAnsi="Arial"/>
          <w:sz w:val="22"/>
          <w:szCs w:val="22"/>
        </w:rPr>
        <w:t xml:space="preserve">On April 26, 2023, Meuser </w:t>
      </w:r>
      <w:hyperlink w:history="1" r:id="rIdld-swaz6rd1xe-a8a2ukj">
        <w:r>
          <w:rPr>
            <w:rFonts w:ascii="Arial" w:cs="Arial" w:eastAsia="Arial" w:hAnsi="Arial"/>
            <w:color w:val="1155CC"/>
            <w:sz w:val="22"/>
            <w:szCs w:val="22"/>
            <w:u w:val="single"/>
          </w:rPr>
          <w:t xml:space="preserve">voted Yea</w:t>
        </w:r>
      </w:hyperlink>
      <w:r>
        <w:rPr>
          <w:rFonts w:ascii="Arial" w:cs="Arial" w:eastAsia="Arial" w:hAnsi="Arial"/>
          <w:sz w:val="22"/>
          <w:szCs w:val="22"/>
        </w:rPr>
        <w:t xml:space="preserve"> on H.R. 2811, the Limit, Save, Grow Act. The bill required adults ages 19–55 to meet at least 80 hours per month of work, community service, or a work program to keep their Medicaid coverage, and </w:t>
      </w:r>
      <w:hyperlink w:history="1" r:id="rIdul9qga-1evclubfmpsac0">
        <w:r>
          <w:rPr>
            <w:rFonts w:ascii="Arial" w:cs="Arial" w:eastAsia="Arial" w:hAnsi="Arial"/>
            <w:color w:val="1155CC"/>
            <w:sz w:val="22"/>
            <w:szCs w:val="22"/>
            <w:u w:val="single"/>
          </w:rPr>
          <w:t xml:space="preserve">allowed states to disenroll</w:t>
        </w:r>
      </w:hyperlink>
      <w:r>
        <w:rPr>
          <w:rFonts w:ascii="Arial" w:cs="Arial" w:eastAsia="Arial" w:hAnsi="Arial"/>
          <w:sz w:val="22"/>
          <w:szCs w:val="22"/>
        </w:rPr>
        <w:t xml:space="preserve"> people who didn’t meet the requirement for three months in a year. The evidence on these requirements is clear: </w:t>
      </w:r>
      <w:hyperlink w:history="1" r:id="rIdxfw94ltequelxt1y4qflj">
        <w:r>
          <w:rPr>
            <w:rFonts w:ascii="Arial" w:cs="Arial" w:eastAsia="Arial" w:hAnsi="Arial"/>
            <w:color w:val="1155CC"/>
            <w:sz w:val="22"/>
            <w:szCs w:val="22"/>
            <w:u w:val="single"/>
          </w:rPr>
          <w:t xml:space="preserve">peer-reviewed research</w:t>
        </w:r>
      </w:hyperlink>
      <w:r>
        <w:rPr>
          <w:rFonts w:ascii="Arial" w:cs="Arial" w:eastAsia="Arial" w:hAnsi="Arial"/>
          <w:sz w:val="22"/>
          <w:szCs w:val="22"/>
        </w:rPr>
        <w:t xml:space="preserve"> on the first Medicaid work requirement implemented in Arkansas found that thousands lost coverage and there was no increase in employment. For a rural district like PA-9, where transportation barriers and seasonal work are common, these requirements would be especially punishing.</w:t>
      </w:r>
    </w:p>
    <w:p>
      <w:pPr>
        <w:pStyle w:val="Heading2"/>
      </w:pPr>
      <w:r>
        <w:t xml:space="preserve">Opposing Affordable Coverage Expansions</w:t>
      </w:r>
    </w:p>
    <w:p>
      <w:pPr>
        <w:spacing w:after="200" w:line="276"/>
      </w:pPr>
      <w:r>
        <w:rPr>
          <w:rFonts w:ascii="Arial" w:cs="Arial" w:eastAsia="Arial" w:hAnsi="Arial"/>
          <w:sz w:val="22"/>
          <w:szCs w:val="22"/>
        </w:rPr>
        <w:t xml:space="preserve">On August 12, 2022, Meuser </w:t>
      </w:r>
      <w:hyperlink w:history="1" r:id="rId3hybqwp6jjrgt3ctkj2l0">
        <w:r>
          <w:rPr>
            <w:rFonts w:ascii="Arial" w:cs="Arial" w:eastAsia="Arial" w:hAnsi="Arial"/>
            <w:color w:val="1155CC"/>
            <w:sz w:val="22"/>
            <w:szCs w:val="22"/>
            <w:u w:val="single"/>
          </w:rPr>
          <w:t xml:space="preserve">voted Nay</w:t>
        </w:r>
      </w:hyperlink>
      <w:r>
        <w:rPr>
          <w:rFonts w:ascii="Arial" w:cs="Arial" w:eastAsia="Arial" w:hAnsi="Arial"/>
          <w:sz w:val="22"/>
          <w:szCs w:val="22"/>
        </w:rPr>
        <w:t xml:space="preserve"> on the Inflation Reduction Act (</w:t>
      </w:r>
      <w:hyperlink w:history="1" r:id="rIdo4b9zylgg9kmpbsyq8cu9">
        <w:r>
          <w:rPr>
            <w:rFonts w:ascii="Arial" w:cs="Arial" w:eastAsia="Arial" w:hAnsi="Arial"/>
            <w:color w:val="1155CC"/>
            <w:sz w:val="22"/>
            <w:szCs w:val="22"/>
            <w:u w:val="single"/>
          </w:rPr>
          <w:t xml:space="preserve">H.R. 5376</w:t>
        </w:r>
      </w:hyperlink>
      <w:r>
        <w:rPr>
          <w:rFonts w:ascii="Arial" w:cs="Arial" w:eastAsia="Arial" w:hAnsi="Arial"/>
          <w:sz w:val="22"/>
          <w:szCs w:val="22"/>
        </w:rPr>
        <w:t xml:space="preserve">), which extended the ACA’s enhanced premium tax credits through 2025. </w:t>
      </w:r>
      <w:hyperlink w:history="1" r:id="rIdn5ri_0pgiqo7ukkcqllrt">
        <w:r>
          <w:rPr>
            <w:rFonts w:ascii="Arial" w:cs="Arial" w:eastAsia="Arial" w:hAnsi="Arial"/>
            <w:color w:val="1155CC"/>
            <w:sz w:val="22"/>
            <w:szCs w:val="22"/>
            <w:u w:val="single"/>
          </w:rPr>
          <w:t xml:space="preserve">KFF estimates</w:t>
        </w:r>
      </w:hyperlink>
      <w:r>
        <w:rPr>
          <w:rFonts w:ascii="Arial" w:cs="Arial" w:eastAsia="Arial" w:hAnsi="Arial"/>
          <w:sz w:val="22"/>
          <w:szCs w:val="22"/>
        </w:rPr>
        <w:t xml:space="preserve"> that without these enhanced subsidies, average premium payments for subsidized Marketplace enrollees would more than double—directly pricing working families out of coverage. Earlier, on June 29, 2020, he </w:t>
      </w:r>
      <w:hyperlink w:history="1" r:id="rId-vmypo-oqdcqjbzr5rjiw">
        <w:r>
          <w:rPr>
            <w:rFonts w:ascii="Arial" w:cs="Arial" w:eastAsia="Arial" w:hAnsi="Arial"/>
            <w:color w:val="1155CC"/>
            <w:sz w:val="22"/>
            <w:szCs w:val="22"/>
            <w:u w:val="single"/>
          </w:rPr>
          <w:t xml:space="preserve">voted Nay</w:t>
        </w:r>
      </w:hyperlink>
      <w:r>
        <w:rPr>
          <w:rFonts w:ascii="Arial" w:cs="Arial" w:eastAsia="Arial" w:hAnsi="Arial"/>
          <w:sz w:val="22"/>
          <w:szCs w:val="22"/>
        </w:rPr>
        <w:t xml:space="preserve"> on H.R. 1425, the Patient Protection and Affordable Care Enhancement Act, which would have increased ACA subsidies, funded reinsurance and outreach, and curtailed short-term “junk” plans.</w:t>
      </w:r>
    </w:p>
    <w:p>
      <w:pPr>
        <w:pStyle w:val="Heading2"/>
      </w:pPr>
      <w:r>
        <w:t xml:space="preserve">Opposing Lower Drug Costs</w:t>
      </w:r>
    </w:p>
    <w:p>
      <w:pPr>
        <w:spacing w:after="200" w:line="276"/>
      </w:pPr>
      <w:r>
        <w:rPr>
          <w:rFonts w:ascii="Arial" w:cs="Arial" w:eastAsia="Arial" w:hAnsi="Arial"/>
          <w:sz w:val="22"/>
          <w:szCs w:val="22"/>
        </w:rPr>
        <w:t xml:space="preserve">By voting against the Inflation Reduction Act, Meuser also opposed Medicare’s new authority to negotiate prescription drug prices and the $2,000 annual cap on Part D out-of-pocket costs (</w:t>
      </w:r>
      <w:hyperlink w:history="1" r:id="rIdgyd2gfpvzhbpxtjyi7ngl">
        <w:r>
          <w:rPr>
            <w:rFonts w:ascii="Arial" w:cs="Arial" w:eastAsia="Arial" w:hAnsi="Arial"/>
            <w:color w:val="1155CC"/>
            <w:sz w:val="22"/>
            <w:szCs w:val="22"/>
            <w:u w:val="single"/>
          </w:rPr>
          <w:t xml:space="preserve">CMS</w:t>
        </w:r>
      </w:hyperlink>
      <w:r>
        <w:rPr>
          <w:rFonts w:ascii="Arial" w:cs="Arial" w:eastAsia="Arial" w:hAnsi="Arial"/>
          <w:sz w:val="22"/>
          <w:szCs w:val="22"/>
        </w:rPr>
        <w:t xml:space="preserve">). CMS reports that negotiated prices for the first ten drugs will take effect January 1, 2026, with discounts of 38–79% and an estimated $1.5 billion in seniors’ out-of-pocket savings in the first year alone (</w:t>
      </w:r>
      <w:hyperlink w:history="1" r:id="rId3p7azuz-txw9lm3g_imwe">
        <w:r>
          <w:rPr>
            <w:rFonts w:ascii="Arial" w:cs="Arial" w:eastAsia="Arial" w:hAnsi="Arial"/>
            <w:color w:val="1155CC"/>
            <w:sz w:val="22"/>
            <w:szCs w:val="22"/>
            <w:u w:val="single"/>
          </w:rPr>
          <w:t xml:space="preserve">CMS announcement</w:t>
        </w:r>
      </w:hyperlink>
      <w:r>
        <w:rPr>
          <w:rFonts w:ascii="Arial" w:cs="Arial" w:eastAsia="Arial" w:hAnsi="Arial"/>
          <w:sz w:val="22"/>
          <w:szCs w:val="22"/>
        </w:rPr>
        <w:t xml:space="preserve">). Every one of those savings is something Meuser voted against.</w:t>
      </w:r>
    </w:p>
    <w:p>
      <w:pPr>
        <w:pStyle w:val="Heading2"/>
      </w:pPr>
      <w:r>
        <w:t xml:space="preserve">Weakening Preexisting Condition Protections</w:t>
      </w:r>
    </w:p>
    <w:p>
      <w:pPr>
        <w:spacing w:after="200" w:line="276"/>
      </w:pPr>
      <w:r>
        <w:rPr>
          <w:rFonts w:ascii="Arial" w:cs="Arial" w:eastAsia="Arial" w:hAnsi="Arial"/>
          <w:sz w:val="22"/>
          <w:szCs w:val="22"/>
        </w:rPr>
        <w:t xml:space="preserve">On May 9, 2019, Meuser </w:t>
      </w:r>
      <w:hyperlink w:history="1" r:id="rIdo949ffdwhqp_ol4kw7ud3">
        <w:r>
          <w:rPr>
            <w:rFonts w:ascii="Arial" w:cs="Arial" w:eastAsia="Arial" w:hAnsi="Arial"/>
            <w:color w:val="1155CC"/>
            <w:sz w:val="22"/>
            <w:szCs w:val="22"/>
            <w:u w:val="single"/>
          </w:rPr>
          <w:t xml:space="preserve">voted No</w:t>
        </w:r>
      </w:hyperlink>
      <w:r>
        <w:rPr>
          <w:rFonts w:ascii="Arial" w:cs="Arial" w:eastAsia="Arial" w:hAnsi="Arial"/>
          <w:sz w:val="22"/>
          <w:szCs w:val="22"/>
        </w:rPr>
        <w:t xml:space="preserve"> on H.R. 986, which sought to block the Trump Administration’s 2018 Section 1332 waiver guidance. </w:t>
      </w:r>
      <w:hyperlink w:history="1" r:id="rIdzwfyv5sfyu3cj-ntfzrv8">
        <w:r>
          <w:rPr>
            <w:rFonts w:ascii="Arial" w:cs="Arial" w:eastAsia="Arial" w:hAnsi="Arial"/>
            <w:color w:val="1155CC"/>
            <w:sz w:val="22"/>
            <w:szCs w:val="22"/>
            <w:u w:val="single"/>
          </w:rPr>
          <w:t xml:space="preserve">Analysis from the Center on Budget and Policy Priorities</w:t>
        </w:r>
      </w:hyperlink>
      <w:r>
        <w:rPr>
          <w:rFonts w:ascii="Arial" w:cs="Arial" w:eastAsia="Arial" w:hAnsi="Arial"/>
          <w:sz w:val="22"/>
          <w:szCs w:val="22"/>
        </w:rPr>
        <w:t xml:space="preserve"> concluded that this guidance weakened preexisting-condition safeguards by encouraging coverage that can skirt ACA standards—including short-term and association plans—and by counting mere “access” to comprehensive coverage rather than actual enrollment, shifting costs and risks to sicker people.</w:t>
      </w:r>
    </w:p>
    <w:p>
      <w:pPr>
        <w:pStyle w:val="Heading2"/>
      </w:pPr>
      <w:r>
        <w:t xml:space="preserve">Expanding Substandard Coverage Options</w:t>
      </w:r>
    </w:p>
    <w:p>
      <w:pPr>
        <w:spacing w:after="200" w:line="276"/>
      </w:pPr>
      <w:r>
        <w:rPr>
          <w:rFonts w:ascii="Arial" w:cs="Arial" w:eastAsia="Arial" w:hAnsi="Arial"/>
          <w:sz w:val="22"/>
          <w:szCs w:val="22"/>
        </w:rPr>
        <w:t xml:space="preserve">On June 21, 2023, Meuser </w:t>
      </w:r>
      <w:hyperlink w:history="1" r:id="rIdr_kya6cdn_hwej-nqz4tm">
        <w:r>
          <w:rPr>
            <w:rFonts w:ascii="Arial" w:cs="Arial" w:eastAsia="Arial" w:hAnsi="Arial"/>
            <w:color w:val="1155CC"/>
            <w:sz w:val="22"/>
            <w:szCs w:val="22"/>
            <w:u w:val="single"/>
          </w:rPr>
          <w:t xml:space="preserve">voted Yea</w:t>
        </w:r>
      </w:hyperlink>
      <w:r>
        <w:rPr>
          <w:rFonts w:ascii="Arial" w:cs="Arial" w:eastAsia="Arial" w:hAnsi="Arial"/>
          <w:sz w:val="22"/>
          <w:szCs w:val="22"/>
        </w:rPr>
        <w:t xml:space="preserve"> on H.R. 3799, which included the Association Health Plans Act and codified individual coverage HRAs (ICHRAs). The </w:t>
      </w:r>
      <w:hyperlink w:history="1" r:id="rIdzhv20tv268g4yeqvqj74b">
        <w:r>
          <w:rPr>
            <w:rFonts w:ascii="Arial" w:cs="Arial" w:eastAsia="Arial" w:hAnsi="Arial"/>
            <w:color w:val="1155CC"/>
            <w:sz w:val="22"/>
            <w:szCs w:val="22"/>
            <w:u w:val="single"/>
          </w:rPr>
          <w:t xml:space="preserve">Department of Labor rescinded</w:t>
        </w:r>
      </w:hyperlink>
      <w:r>
        <w:rPr>
          <w:rFonts w:ascii="Arial" w:cs="Arial" w:eastAsia="Arial" w:hAnsi="Arial"/>
          <w:sz w:val="22"/>
          <w:szCs w:val="22"/>
        </w:rPr>
        <w:t xml:space="preserve"> the prior AHP expansion rule in 2024, warning that expanded AHPs can evade key ACA consumer protections, reduce coverage quality, and destabilize individual and small-group markets. Health policy experts have </w:t>
      </w:r>
      <w:hyperlink w:history="1" r:id="rId9rpevy_dea3yswg2rqju7">
        <w:r>
          <w:rPr>
            <w:rFonts w:ascii="Arial" w:cs="Arial" w:eastAsia="Arial" w:hAnsi="Arial"/>
            <w:color w:val="1155CC"/>
            <w:sz w:val="22"/>
            <w:szCs w:val="22"/>
            <w:u w:val="single"/>
          </w:rPr>
          <w:t xml:space="preserve">long cautioned</w:t>
        </w:r>
      </w:hyperlink>
      <w:r>
        <w:rPr>
          <w:rFonts w:ascii="Arial" w:cs="Arial" w:eastAsia="Arial" w:hAnsi="Arial"/>
          <w:sz w:val="22"/>
          <w:szCs w:val="22"/>
        </w:rPr>
        <w:t xml:space="preserve"> that broad AHP expansion risks fraud and insolvency that can leave enrollees with unpaid claims. </w:t>
      </w:r>
      <w:hyperlink w:history="1" r:id="rIdaogxq7zrqkxhznnch3plz">
        <w:r>
          <w:rPr>
            <w:rFonts w:ascii="Arial" w:cs="Arial" w:eastAsia="Arial" w:hAnsi="Arial"/>
            <w:color w:val="1155CC"/>
            <w:sz w:val="22"/>
            <w:szCs w:val="22"/>
            <w:u w:val="single"/>
          </w:rPr>
          <w:t xml:space="preserve">Commonwealth Fund analysis</w:t>
        </w:r>
      </w:hyperlink>
      <w:r>
        <w:rPr>
          <w:rFonts w:ascii="Arial" w:cs="Arial" w:eastAsia="Arial" w:hAnsi="Arial"/>
          <w:sz w:val="22"/>
          <w:szCs w:val="22"/>
        </w:rPr>
        <w:t xml:space="preserve"> notes that ICHRA arrangements can make some workers—especially older and lower-income employees—worse off, with narrower networks and unaffordable contributions.</w:t>
      </w:r>
    </w:p>
    <w:p>
      <w:pPr>
        <w:pStyle w:val="Heading2"/>
      </w:pPr>
      <w:r>
        <w:t xml:space="preserve">Restricting Tools That Keep Drug Costs Down</w:t>
      </w:r>
    </w:p>
    <w:p>
      <w:pPr>
        <w:spacing w:after="200" w:line="276"/>
      </w:pPr>
      <w:r>
        <w:rPr>
          <w:rFonts w:ascii="Arial" w:cs="Arial" w:eastAsia="Arial" w:hAnsi="Arial"/>
          <w:sz w:val="22"/>
          <w:szCs w:val="22"/>
        </w:rPr>
        <w:t xml:space="preserve">On February 7, 2024, Meuser </w:t>
      </w:r>
      <w:hyperlink w:history="1" r:id="rIdjufzci2ohsm_qkw55mhda">
        <w:r>
          <w:rPr>
            <w:rFonts w:ascii="Arial" w:cs="Arial" w:eastAsia="Arial" w:hAnsi="Arial"/>
            <w:color w:val="1155CC"/>
            <w:sz w:val="22"/>
            <w:szCs w:val="22"/>
            <w:u w:val="single"/>
          </w:rPr>
          <w:t xml:space="preserve">voted Aye</w:t>
        </w:r>
      </w:hyperlink>
      <w:r>
        <w:rPr>
          <w:rFonts w:ascii="Arial" w:cs="Arial" w:eastAsia="Arial" w:hAnsi="Arial"/>
          <w:sz w:val="22"/>
          <w:szCs w:val="22"/>
        </w:rPr>
        <w:t xml:space="preserve"> on H.R. 485, the Protecting Health Care for All Patients Act, which passed 211–208. The bill </w:t>
      </w:r>
      <w:hyperlink w:history="1" r:id="rIdc4s-pwhdiymocikrkc2n0">
        <w:r>
          <w:rPr>
            <w:rFonts w:ascii="Arial" w:cs="Arial" w:eastAsia="Arial" w:hAnsi="Arial"/>
            <w:color w:val="1155CC"/>
            <w:sz w:val="22"/>
            <w:szCs w:val="22"/>
            <w:u w:val="single"/>
          </w:rPr>
          <w:t xml:space="preserve">broadly bans</w:t>
        </w:r>
      </w:hyperlink>
      <w:r>
        <w:rPr>
          <w:rFonts w:ascii="Arial" w:cs="Arial" w:eastAsia="Arial" w:hAnsi="Arial"/>
          <w:sz w:val="22"/>
          <w:szCs w:val="22"/>
        </w:rPr>
        <w:t xml:space="preserve"> use of quality-adjusted life year (QALY) metrics across federal health programs and further cuts Prevention and Public Health Fund (PPHF) funding. </w:t>
      </w:r>
      <w:hyperlink w:history="1" r:id="rIdvxphzgiffauofjstv3klc">
        <w:r>
          <w:rPr>
            <w:rFonts w:ascii="Arial" w:cs="Arial" w:eastAsia="Arial" w:hAnsi="Arial"/>
            <w:color w:val="1155CC"/>
            <w:sz w:val="22"/>
            <w:szCs w:val="22"/>
            <w:u w:val="single"/>
          </w:rPr>
          <w:t xml:space="preserve">Georgetown University’s Center for Children and Families</w:t>
        </w:r>
      </w:hyperlink>
      <w:r>
        <w:rPr>
          <w:rFonts w:ascii="Arial" w:cs="Arial" w:eastAsia="Arial" w:hAnsi="Arial"/>
          <w:sz w:val="22"/>
          <w:szCs w:val="22"/>
        </w:rPr>
        <w:t xml:space="preserve"> found that this would impede state Medicaid negotiation of supplemental drug rebates and weaken use of preferred drug lists and prior authorization—raising federal Medicaid spending and limiting states’ leverage to control costs. The </w:t>
      </w:r>
      <w:hyperlink w:history="1" r:id="rIdbvbopr-iwutr3rsbkx2cz">
        <w:r>
          <w:rPr>
            <w:rFonts w:ascii="Arial" w:cs="Arial" w:eastAsia="Arial" w:hAnsi="Arial"/>
            <w:color w:val="1155CC"/>
            <w:sz w:val="22"/>
            <w:szCs w:val="22"/>
            <w:u w:val="single"/>
          </w:rPr>
          <w:t xml:space="preserve">PPHF</w:t>
        </w:r>
      </w:hyperlink>
      <w:r>
        <w:rPr>
          <w:rFonts w:ascii="Arial" w:cs="Arial" w:eastAsia="Arial" w:hAnsi="Arial"/>
          <w:sz w:val="22"/>
          <w:szCs w:val="22"/>
        </w:rPr>
        <w:t xml:space="preserve"> supports CDC immunization infrastructure, lead-poisoning prevention, and preventive health block grants; cutting it undermines public health capacity in communities like those across PA-9.</w:t>
      </w:r>
    </w:p>
    <w:p>
      <w:pPr>
        <w:pStyle w:val="Heading2"/>
      </w:pPr>
      <w:r>
        <w:t xml:space="preserve">Advancing Deep Cuts to Public Health and Family Planning</w:t>
      </w:r>
    </w:p>
    <w:p>
      <w:pPr>
        <w:spacing w:after="200" w:line="276"/>
      </w:pPr>
      <w:r>
        <w:rPr>
          <w:rFonts w:ascii="Arial" w:cs="Arial" w:eastAsia="Arial" w:hAnsi="Arial"/>
          <w:sz w:val="22"/>
          <w:szCs w:val="22"/>
        </w:rPr>
        <w:t xml:space="preserve">On November 14, 2023, Meuser </w:t>
      </w:r>
      <w:hyperlink w:history="1" r:id="rIdta6mucwgjkouqi4inm9vg">
        <w:r>
          <w:rPr>
            <w:rFonts w:ascii="Arial" w:cs="Arial" w:eastAsia="Arial" w:hAnsi="Arial"/>
            <w:color w:val="1155CC"/>
            <w:sz w:val="22"/>
            <w:szCs w:val="22"/>
            <w:u w:val="single"/>
          </w:rPr>
          <w:t xml:space="preserve">voted Aye</w:t>
        </w:r>
      </w:hyperlink>
      <w:r>
        <w:rPr>
          <w:rFonts w:ascii="Arial" w:cs="Arial" w:eastAsia="Arial" w:hAnsi="Arial"/>
          <w:sz w:val="22"/>
          <w:szCs w:val="22"/>
        </w:rPr>
        <w:t xml:space="preserve"> on the rule to bring the FY2024 Labor-HHS-Education appropriations bill (H.R. 5894) to the floor. The </w:t>
      </w:r>
      <w:hyperlink w:history="1" r:id="rIdurl6t_scjcctt0olqqgbg">
        <w:r>
          <w:rPr>
            <w:rFonts w:ascii="Arial" w:cs="Arial" w:eastAsia="Arial" w:hAnsi="Arial"/>
            <w:color w:val="1155CC"/>
            <w:sz w:val="22"/>
            <w:szCs w:val="22"/>
            <w:u w:val="single"/>
          </w:rPr>
          <w:t xml:space="preserve">American Public Health Association reported</w:t>
        </w:r>
      </w:hyperlink>
      <w:r>
        <w:rPr>
          <w:rFonts w:ascii="Arial" w:cs="Arial" w:eastAsia="Arial" w:hAnsi="Arial"/>
          <w:sz w:val="22"/>
          <w:szCs w:val="22"/>
        </w:rPr>
        <w:t xml:space="preserve"> that the bill proposed roughly $1.6 billion less for CDC, $700 million less for HRSA, and elimination of the Title X family-planning program—reducing access to basic preventive and reproductive health services. </w:t>
      </w:r>
      <w:hyperlink w:history="1" r:id="rIdi0byb1xaxkl4khezy5t0c">
        <w:r>
          <w:rPr>
            <w:rFonts w:ascii="Arial" w:cs="Arial" w:eastAsia="Arial" w:hAnsi="Arial"/>
            <w:color w:val="1155CC"/>
            <w:sz w:val="22"/>
            <w:szCs w:val="22"/>
            <w:u w:val="single"/>
          </w:rPr>
          <w:t xml:space="preserve">CRS confirmed</w:t>
        </w:r>
      </w:hyperlink>
      <w:r>
        <w:rPr>
          <w:rFonts w:ascii="Arial" w:cs="Arial" w:eastAsia="Arial" w:hAnsi="Arial"/>
          <w:sz w:val="22"/>
          <w:szCs w:val="22"/>
        </w:rPr>
        <w:t xml:space="preserve"> that the House floor version proposed substantially lower discretionary funding levels for HHS compared with enacted amounts.</w:t>
      </w:r>
    </w:p>
    <w:p>
      <w:pPr>
        <w:pStyle w:val="Heading2"/>
      </w:pPr>
      <w:r>
        <w:t xml:space="preserve">Restricting Reproductive Health Access</w:t>
      </w:r>
    </w:p>
    <w:p>
      <w:pPr>
        <w:spacing w:after="200" w:line="276"/>
      </w:pPr>
      <w:r>
        <w:rPr>
          <w:rFonts w:ascii="Arial" w:cs="Arial" w:eastAsia="Arial" w:hAnsi="Arial"/>
          <w:sz w:val="22"/>
          <w:szCs w:val="22"/>
        </w:rPr>
        <w:t xml:space="preserve">Meuser’s voting record consistently restricts access to reproductive health care. He </w:t>
      </w:r>
      <w:hyperlink w:history="1" r:id="rId-ruov1iwjwymgwl_yr8at">
        <w:r>
          <w:rPr>
            <w:rFonts w:ascii="Arial" w:cs="Arial" w:eastAsia="Arial" w:hAnsi="Arial"/>
            <w:color w:val="1155CC"/>
            <w:sz w:val="22"/>
            <w:szCs w:val="22"/>
            <w:u w:val="single"/>
          </w:rPr>
          <w:t xml:space="preserve">voted Yea</w:t>
        </w:r>
      </w:hyperlink>
      <w:r>
        <w:rPr>
          <w:rFonts w:ascii="Arial" w:cs="Arial" w:eastAsia="Arial" w:hAnsi="Arial"/>
          <w:sz w:val="22"/>
          <w:szCs w:val="22"/>
        </w:rPr>
        <w:t xml:space="preserve"> on the Born-Alive Abortion Survivors Protection Act (H.R. 26) and voted No on both the Women’s Health Protection Act (in 2021 and 2022) and the Ensuring Access to Abortion Act, which would have protected people traveling across state lines for legal abortion care (</w:t>
      </w:r>
      <w:hyperlink w:history="1" r:id="rIds_nhpuskmjkxctyu47bok">
        <w:r>
          <w:rPr>
            <w:rFonts w:ascii="Arial" w:cs="Arial" w:eastAsia="Arial" w:hAnsi="Arial"/>
            <w:color w:val="1155CC"/>
            <w:sz w:val="22"/>
            <w:szCs w:val="22"/>
            <w:u w:val="single"/>
          </w:rPr>
          <w:t xml:space="preserve">VoteSmart record</w:t>
        </w:r>
      </w:hyperlink>
      <w:r>
        <w:rPr>
          <w:rFonts w:ascii="Arial" w:cs="Arial" w:eastAsia="Arial" w:hAnsi="Arial"/>
          <w:sz w:val="22"/>
          <w:szCs w:val="22"/>
        </w:rPr>
        <w:t xml:space="preserve">). His 2018 campaign platform called for </w:t>
      </w:r>
      <w:hyperlink w:history="1" r:id="rIdw1w4uckvdmza26dwysrjm">
        <w:r>
          <w:rPr>
            <w:rFonts w:ascii="Arial" w:cs="Arial" w:eastAsia="Arial" w:hAnsi="Arial"/>
            <w:color w:val="1155CC"/>
            <w:sz w:val="22"/>
            <w:szCs w:val="22"/>
            <w:u w:val="single"/>
          </w:rPr>
          <w:t xml:space="preserve">repealing and replacing the ACA entirely</w:t>
        </w:r>
      </w:hyperlink>
      <w:r>
        <w:rPr>
          <w:rFonts w:ascii="Arial" w:cs="Arial" w:eastAsia="Arial" w:hAnsi="Arial"/>
          <w:sz w:val="22"/>
          <w:szCs w:val="22"/>
        </w:rPr>
        <w:t xml:space="preserve">, and his subsequent </w:t>
      </w:r>
      <w:hyperlink w:history="1" r:id="rIdsbrx6rt123tkp8pv22bdg">
        <w:r>
          <w:rPr>
            <w:rFonts w:ascii="Arial" w:cs="Arial" w:eastAsia="Arial" w:hAnsi="Arial"/>
            <w:color w:val="1155CC"/>
            <w:sz w:val="22"/>
            <w:szCs w:val="22"/>
            <w:u w:val="single"/>
          </w:rPr>
          <w:t xml:space="preserve">legislation</w:t>
        </w:r>
      </w:hyperlink>
      <w:r>
        <w:rPr>
          <w:rFonts w:ascii="Arial" w:cs="Arial" w:eastAsia="Arial" w:hAnsi="Arial"/>
          <w:sz w:val="22"/>
          <w:szCs w:val="22"/>
        </w:rPr>
        <w:t xml:space="preserve"> has targeted the Inflation Reduction Act’s health-related provisions, reinforcing a consistent pattern of opposing federal health-cost-reduction efforts.</w:t>
      </w:r>
    </w:p>
    <w:p>
      <w:pPr>
        <w:pStyle w:val="Heading1"/>
      </w:pPr>
      <w:r>
        <w:t xml:space="preserve">Backing Tariffs That Raise Prices on His Constituents</w:t>
      </w:r>
    </w:p>
    <w:p>
      <w:pPr>
        <w:spacing w:after="200" w:line="276"/>
      </w:pPr>
      <w:r>
        <w:rPr>
          <w:rFonts w:ascii="Arial" w:cs="Arial" w:eastAsia="Arial" w:hAnsi="Arial"/>
          <w:sz w:val="22"/>
          <w:szCs w:val="22"/>
        </w:rPr>
        <w:t xml:space="preserve">While Meuser has been vocal about defending tariffs as a negotiating tool, those tariffs translate to higher prices for the working families in PA-9.</w:t>
      </w:r>
    </w:p>
    <w:p>
      <w:pPr>
        <w:spacing w:after="200" w:line="276"/>
      </w:pPr>
      <w:r>
        <w:rPr>
          <w:rFonts w:ascii="Arial" w:cs="Arial" w:eastAsia="Arial" w:hAnsi="Arial"/>
          <w:sz w:val="22"/>
          <w:szCs w:val="22"/>
        </w:rPr>
        <w:t xml:space="preserve">On April 28, 2023, Meuser </w:t>
      </w:r>
      <w:hyperlink w:history="1" r:id="rIdmgij-mtf_8pcouhh6ldtl">
        <w:r>
          <w:rPr>
            <w:rFonts w:ascii="Arial" w:cs="Arial" w:eastAsia="Arial" w:hAnsi="Arial"/>
            <w:color w:val="1155CC"/>
            <w:sz w:val="22"/>
            <w:szCs w:val="22"/>
            <w:u w:val="single"/>
          </w:rPr>
          <w:t xml:space="preserve">voted Yea</w:t>
        </w:r>
      </w:hyperlink>
      <w:r>
        <w:rPr>
          <w:rFonts w:ascii="Arial" w:cs="Arial" w:eastAsia="Arial" w:hAnsi="Arial"/>
          <w:sz w:val="22"/>
          <w:szCs w:val="22"/>
        </w:rPr>
        <w:t xml:space="preserve"> on H.J.Res. 39, a resolution to reinstate tariffs on solar imports from Southeast Asian countries processing Chinese inputs (</w:t>
      </w:r>
      <w:hyperlink w:history="1" r:id="rId1fd9uvgibp7nfbbtxur4y">
        <w:r>
          <w:rPr>
            <w:rFonts w:ascii="Arial" w:cs="Arial" w:eastAsia="Arial" w:hAnsi="Arial"/>
            <w:color w:val="1155CC"/>
            <w:sz w:val="22"/>
            <w:szCs w:val="22"/>
            <w:u w:val="single"/>
          </w:rPr>
          <w:t xml:space="preserve">Congress.gov</w:t>
        </w:r>
      </w:hyperlink>
      <w:r>
        <w:rPr>
          <w:rFonts w:ascii="Arial" w:cs="Arial" w:eastAsia="Arial" w:hAnsi="Arial"/>
          <w:sz w:val="22"/>
          <w:szCs w:val="22"/>
        </w:rPr>
        <w:t xml:space="preserve">). He then </w:t>
      </w:r>
      <w:hyperlink w:history="1" r:id="rIdkmteldkttovdgejyw0z4a">
        <w:r>
          <w:rPr>
            <w:rFonts w:ascii="Arial" w:cs="Arial" w:eastAsia="Arial" w:hAnsi="Arial"/>
            <w:color w:val="1155CC"/>
            <w:sz w:val="22"/>
            <w:szCs w:val="22"/>
            <w:u w:val="single"/>
          </w:rPr>
          <w:t xml:space="preserve">voted Yea again</w:t>
        </w:r>
      </w:hyperlink>
      <w:r>
        <w:rPr>
          <w:rFonts w:ascii="Arial" w:cs="Arial" w:eastAsia="Arial" w:hAnsi="Arial"/>
          <w:sz w:val="22"/>
          <w:szCs w:val="22"/>
        </w:rPr>
        <w:t xml:space="preserve"> to override the President’s veto, attempting to restore those tariffs despite the veto.</w:t>
      </w:r>
    </w:p>
    <w:p>
      <w:pPr>
        <w:spacing w:after="200" w:line="276"/>
      </w:pPr>
      <w:r>
        <w:rPr>
          <w:rFonts w:ascii="Arial" w:cs="Arial" w:eastAsia="Arial" w:hAnsi="Arial"/>
          <w:sz w:val="22"/>
          <w:szCs w:val="22"/>
        </w:rPr>
        <w:t xml:space="preserve">His support has only grown more emphatic. At a May 2025 Schuylkill Chamber of Commerce meeting, Meuser “defended Trump’s trade war against China” and said tariffs would bring foreign powers to negotiate reciprocal trade agreements (</w:t>
      </w:r>
      <w:hyperlink w:history="1" r:id="rIdh3id62vfwizd32wm0ufii">
        <w:r>
          <w:rPr>
            <w:rFonts w:ascii="Arial" w:cs="Arial" w:eastAsia="Arial" w:hAnsi="Arial"/>
            <w:color w:val="1155CC"/>
            <w:sz w:val="22"/>
            <w:szCs w:val="22"/>
            <w:u w:val="single"/>
          </w:rPr>
          <w:t xml:space="preserve">WVIA</w:t>
        </w:r>
      </w:hyperlink>
      <w:r>
        <w:rPr>
          <w:rFonts w:ascii="Arial" w:cs="Arial" w:eastAsia="Arial" w:hAnsi="Arial"/>
          <w:sz w:val="22"/>
          <w:szCs w:val="22"/>
        </w:rPr>
        <w:t xml:space="preserve">; </w:t>
      </w:r>
      <w:hyperlink w:history="1" r:id="rId9htzx8wnhezlgqzlutohw">
        <w:r>
          <w:rPr>
            <w:rFonts w:ascii="Arial" w:cs="Arial" w:eastAsia="Arial" w:hAnsi="Arial"/>
            <w:color w:val="1155CC"/>
            <w:sz w:val="22"/>
            <w:szCs w:val="22"/>
            <w:u w:val="single"/>
          </w:rPr>
          <w:t xml:space="preserve">WITF</w:t>
        </w:r>
      </w:hyperlink>
      <w:r>
        <w:rPr>
          <w:rFonts w:ascii="Arial" w:cs="Arial" w:eastAsia="Arial" w:hAnsi="Arial"/>
          <w:sz w:val="22"/>
          <w:szCs w:val="22"/>
        </w:rPr>
        <w:t xml:space="preserve">). The White House highlighted Meuser’s support for the reciprocal-tariffs plan, quoting him: “We needed a reckoning; we needed a correction. President Trump is bringing it” (</w:t>
      </w:r>
      <w:hyperlink w:history="1" r:id="rId1w_he74owspfchueudq8w">
        <w:r>
          <w:rPr>
            <w:rFonts w:ascii="Arial" w:cs="Arial" w:eastAsia="Arial" w:hAnsi="Arial"/>
            <w:color w:val="1155CC"/>
            <w:sz w:val="22"/>
            <w:szCs w:val="22"/>
            <w:u w:val="single"/>
          </w:rPr>
          <w:t xml:space="preserve">White House</w:t>
        </w:r>
      </w:hyperlink>
      <w:r>
        <w:rPr>
          <w:rFonts w:ascii="Arial" w:cs="Arial" w:eastAsia="Arial" w:hAnsi="Arial"/>
          <w:sz w:val="22"/>
          <w:szCs w:val="22"/>
        </w:rPr>
        <w:t xml:space="preserve">). He told Newsmax the tariffs were necessary to “correct” unfair trade (</w:t>
      </w:r>
      <w:hyperlink w:history="1" r:id="rIdunj-6pgias4oxfuzep1fc">
        <w:r>
          <w:rPr>
            <w:rFonts w:ascii="Arial" w:cs="Arial" w:eastAsia="Arial" w:hAnsi="Arial"/>
            <w:color w:val="1155CC"/>
            <w:sz w:val="22"/>
            <w:szCs w:val="22"/>
            <w:u w:val="single"/>
          </w:rPr>
          <w:t xml:space="preserve">WLS</w:t>
        </w:r>
      </w:hyperlink>
      <w:r>
        <w:rPr>
          <w:rFonts w:ascii="Arial" w:cs="Arial" w:eastAsia="Arial" w:hAnsi="Arial"/>
          <w:sz w:val="22"/>
          <w:szCs w:val="22"/>
        </w:rPr>
        <w:t xml:space="preserve">), and in a May 2025 press release </w:t>
      </w:r>
      <w:hyperlink w:history="1" r:id="rIdqbrjxpbpagqnyfu5ldoun">
        <w:r>
          <w:rPr>
            <w:rFonts w:ascii="Arial" w:cs="Arial" w:eastAsia="Arial" w:hAnsi="Arial"/>
            <w:color w:val="1155CC"/>
            <w:sz w:val="22"/>
            <w:szCs w:val="22"/>
            <w:u w:val="single"/>
          </w:rPr>
          <w:t xml:space="preserve">praised Trump’s steel policy</w:t>
        </w:r>
      </w:hyperlink>
      <w:r>
        <w:rPr>
          <w:rFonts w:ascii="Arial" w:cs="Arial" w:eastAsia="Arial" w:hAnsi="Arial"/>
          <w:sz w:val="22"/>
          <w:szCs w:val="22"/>
        </w:rPr>
        <w:t xml:space="preserve">, asserting that “President Trump’s tariff policies ensure American steel remains the backbone of critical infrastructure and defense production.”</w:t>
      </w:r>
    </w:p>
    <w:p>
      <w:pPr>
        <w:spacing w:after="200" w:line="276"/>
      </w:pPr>
      <w:r>
        <w:rPr>
          <w:rFonts w:ascii="Arial" w:cs="Arial" w:eastAsia="Arial" w:hAnsi="Arial"/>
          <w:sz w:val="22"/>
          <w:szCs w:val="22"/>
        </w:rPr>
        <w:t xml:space="preserve">At the same Schuylkill Chamber event, Meuser also </w:t>
      </w:r>
      <w:hyperlink w:history="1" r:id="rIdcqikehkvel9ptsqmyugoj">
        <w:r>
          <w:rPr>
            <w:rFonts w:ascii="Arial" w:cs="Arial" w:eastAsia="Arial" w:hAnsi="Arial"/>
            <w:color w:val="1155CC"/>
            <w:sz w:val="22"/>
            <w:szCs w:val="22"/>
            <w:u w:val="single"/>
          </w:rPr>
          <w:t xml:space="preserve">defended possible Medicaid cuts</w:t>
        </w:r>
      </w:hyperlink>
      <w:r>
        <w:rPr>
          <w:rFonts w:ascii="Arial" w:cs="Arial" w:eastAsia="Arial" w:hAnsi="Arial"/>
          <w:sz w:val="22"/>
          <w:szCs w:val="22"/>
        </w:rPr>
        <w:t xml:space="preserve">—a telling moment where he simultaneously backed policies that raise consumer prices and reduce health coverage for the same constituents.</w:t>
      </w:r>
    </w:p>
    <w:p>
      <w:pPr>
        <w:pStyle w:val="Heading1"/>
      </w:pPr>
      <w:r>
        <w:t xml:space="preserve">The Bottom Line</w:t>
      </w:r>
    </w:p>
    <w:p>
      <w:pPr>
        <w:spacing w:after="200" w:line="276"/>
      </w:pPr>
      <w:r>
        <w:rPr>
          <w:rFonts w:ascii="Arial" w:cs="Arial" w:eastAsia="Arial" w:hAnsi="Arial"/>
          <w:sz w:val="22"/>
          <w:szCs w:val="22"/>
        </w:rPr>
        <w:t xml:space="preserve">Dan Meuser’s congressional record raises a fundamental question about who he works for. On one side of the ledger, his 119th Congress bill portfolio is overwhelmingly oriented toward the financial interests of his biggest campaign contributors—deregulating the banks that fund him, expanding lending capacity for the investment funds that back him, and easing capital markets rules for the exchange that writes him checks. The SBIA contributed $17,000 and got a bill it </w:t>
      </w:r>
      <w:hyperlink w:history="1" r:id="rIdjslzjlsp5nusqfalprhki">
        <w:r>
          <w:rPr>
            <w:rFonts w:ascii="Arial" w:cs="Arial" w:eastAsia="Arial" w:hAnsi="Arial"/>
            <w:color w:val="1155CC"/>
            <w:sz w:val="22"/>
            <w:szCs w:val="22"/>
            <w:u w:val="single"/>
          </w:rPr>
          <w:t xml:space="preserve">publicly celebrated</w:t>
        </w:r>
      </w:hyperlink>
      <w:r>
        <w:rPr>
          <w:rFonts w:ascii="Arial" w:cs="Arial" w:eastAsia="Arial" w:hAnsi="Arial"/>
          <w:sz w:val="22"/>
          <w:szCs w:val="22"/>
        </w:rPr>
        <w:t xml:space="preserve">. NASDAQ’s PAC and executives gave $14,500 and got </w:t>
      </w:r>
      <w:hyperlink w:history="1" r:id="rIdwkzk8ak_ngnrjdji_s2dh">
        <w:r>
          <w:rPr>
            <w:rFonts w:ascii="Arial" w:cs="Arial" w:eastAsia="Arial" w:hAnsi="Arial"/>
            <w:color w:val="1155CC"/>
            <w:sz w:val="22"/>
            <w:szCs w:val="22"/>
            <w:u w:val="single"/>
          </w:rPr>
          <w:t xml:space="preserve">a bill</w:t>
        </w:r>
      </w:hyperlink>
      <w:r>
        <w:rPr>
          <w:rFonts w:ascii="Arial" w:cs="Arial" w:eastAsia="Arial" w:hAnsi="Arial"/>
          <w:sz w:val="22"/>
          <w:szCs w:val="22"/>
        </w:rPr>
        <w:t xml:space="preserve"> benefiting securities trading. Approximately $62,500 from banking PACs preceded bills that would weaken </w:t>
      </w:r>
      <w:hyperlink w:history="1" r:id="rIdgzp7gvkb5p_g6siqeqvkg">
        <w:r>
          <w:rPr>
            <w:rFonts w:ascii="Arial" w:cs="Arial" w:eastAsia="Arial" w:hAnsi="Arial"/>
            <w:color w:val="1155CC"/>
            <w:sz w:val="22"/>
            <w:szCs w:val="22"/>
            <w:u w:val="single"/>
          </w:rPr>
          <w:t xml:space="preserve">CFPB oversight</w:t>
        </w:r>
      </w:hyperlink>
      <w:r>
        <w:rPr>
          <w:rFonts w:ascii="Arial" w:cs="Arial" w:eastAsia="Arial" w:hAnsi="Arial"/>
          <w:sz w:val="22"/>
          <w:szCs w:val="22"/>
        </w:rPr>
        <w:t xml:space="preserve"> and shield banks from </w:t>
      </w:r>
      <w:hyperlink w:history="1" r:id="rIdyd3h7kslajurxbsizs0vq">
        <w:r>
          <w:rPr>
            <w:rFonts w:ascii="Arial" w:cs="Arial" w:eastAsia="Arial" w:hAnsi="Arial"/>
            <w:color w:val="1155CC"/>
            <w:sz w:val="22"/>
            <w:szCs w:val="22"/>
            <w:u w:val="single"/>
          </w:rPr>
          <w:t xml:space="preserve">regulatory guidance</w:t>
        </w:r>
      </w:hyperlink>
      <w:r>
        <w:rPr>
          <w:rFonts w:ascii="Arial" w:cs="Arial" w:eastAsia="Arial" w:hAnsi="Arial"/>
          <w:sz w:val="22"/>
          <w:szCs w:val="22"/>
        </w:rPr>
        <w:t xml:space="preserve">.</w:t>
      </w:r>
    </w:p>
    <w:p>
      <w:pPr>
        <w:spacing w:after="200" w:line="276"/>
      </w:pPr>
      <w:r>
        <w:rPr>
          <w:rFonts w:ascii="Arial" w:cs="Arial" w:eastAsia="Arial" w:hAnsi="Arial"/>
          <w:sz w:val="22"/>
          <w:szCs w:val="22"/>
        </w:rPr>
        <w:t xml:space="preserve">On the other side, his district has shed more than 1,700 jobs in recent closures and layoffs, and Meuser’s voting record has consistently sided against the health care and economic interests of the people he represents. He voted to impose Medicaid work requirements that </w:t>
      </w:r>
      <w:hyperlink w:history="1" r:id="rIdqxfdfftlpm5nw3z2slqse">
        <w:r>
          <w:rPr>
            <w:rFonts w:ascii="Arial" w:cs="Arial" w:eastAsia="Arial" w:hAnsi="Arial"/>
            <w:color w:val="1155CC"/>
            <w:sz w:val="22"/>
            <w:szCs w:val="22"/>
            <w:u w:val="single"/>
          </w:rPr>
          <w:t xml:space="preserve">research shows</w:t>
        </w:r>
      </w:hyperlink>
      <w:r>
        <w:rPr>
          <w:rFonts w:ascii="Arial" w:cs="Arial" w:eastAsia="Arial" w:hAnsi="Arial"/>
          <w:sz w:val="22"/>
          <w:szCs w:val="22"/>
        </w:rPr>
        <w:t xml:space="preserve"> strip coverage without increasing employment. He opposed the Inflation Reduction Act’s </w:t>
      </w:r>
      <w:hyperlink w:history="1" r:id="rIdhzqkhlqlpool_8kxjzqcg">
        <w:r>
          <w:rPr>
            <w:rFonts w:ascii="Arial" w:cs="Arial" w:eastAsia="Arial" w:hAnsi="Arial"/>
            <w:color w:val="1155CC"/>
            <w:sz w:val="22"/>
            <w:szCs w:val="22"/>
            <w:u w:val="single"/>
          </w:rPr>
          <w:t xml:space="preserve">drug price negotiation</w:t>
        </w:r>
      </w:hyperlink>
      <w:r>
        <w:rPr>
          <w:rFonts w:ascii="Arial" w:cs="Arial" w:eastAsia="Arial" w:hAnsi="Arial"/>
          <w:sz w:val="22"/>
          <w:szCs w:val="22"/>
        </w:rPr>
        <w:t xml:space="preserve"> and </w:t>
      </w:r>
      <w:hyperlink w:history="1" r:id="rIdb9tv40dzkmmlabici03jg">
        <w:r>
          <w:rPr>
            <w:rFonts w:ascii="Arial" w:cs="Arial" w:eastAsia="Arial" w:hAnsi="Arial"/>
            <w:color w:val="1155CC"/>
            <w:sz w:val="22"/>
            <w:szCs w:val="22"/>
            <w:u w:val="single"/>
          </w:rPr>
          <w:t xml:space="preserve">premium subsidies</w:t>
        </w:r>
      </w:hyperlink>
      <w:r>
        <w:rPr>
          <w:rFonts w:ascii="Arial" w:cs="Arial" w:eastAsia="Arial" w:hAnsi="Arial"/>
          <w:sz w:val="22"/>
          <w:szCs w:val="22"/>
        </w:rPr>
        <w:t xml:space="preserve"> that keep coverage affordable. He backed tariffs that raise consumer prices while simultaneously </w:t>
      </w:r>
      <w:hyperlink w:history="1" r:id="rId5yu0unuo9tzlhapx6un5f">
        <w:r>
          <w:rPr>
            <w:rFonts w:ascii="Arial" w:cs="Arial" w:eastAsia="Arial" w:hAnsi="Arial"/>
            <w:color w:val="1155CC"/>
            <w:sz w:val="22"/>
            <w:szCs w:val="22"/>
            <w:u w:val="single"/>
          </w:rPr>
          <w:t xml:space="preserve">defending Medicaid cuts</w:t>
        </w:r>
      </w:hyperlink>
      <w:r>
        <w:rPr>
          <w:rFonts w:ascii="Arial" w:cs="Arial" w:eastAsia="Arial" w:hAnsi="Arial"/>
          <w:sz w:val="22"/>
          <w:szCs w:val="22"/>
        </w:rPr>
        <w:t xml:space="preserve"> at a local Chamber event.</w:t>
      </w:r>
    </w:p>
    <w:p>
      <w:pPr>
        <w:spacing w:after="200" w:line="276"/>
      </w:pPr>
      <w:r>
        <w:rPr>
          <w:rFonts w:ascii="Arial" w:cs="Arial" w:eastAsia="Arial" w:hAnsi="Arial"/>
          <w:sz w:val="22"/>
          <w:szCs w:val="22"/>
        </w:rPr>
        <w:t xml:space="preserve">The contrast is stark: when Wall Street calls, Meuser legislates. When his constituents need someone fighting to keep their jobs, lower their drug costs, and protect their health coverage, his record is on the other 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prdlwd8onlbmmd0x29ui" Type="http://schemas.openxmlformats.org/officeDocument/2006/relationships/hyperlink" Target="https://en.wikipedia.org/wiki/Pennsylvania%27s_9th_congressional_district" TargetMode="External"/><Relationship Id="rIdmshmctwrbhifvbtyllee5" Type="http://schemas.openxmlformats.org/officeDocument/2006/relationships/hyperlink" Target="https://www.fec.gov/data/receipts/?data_type=processed&amp;committee_id=C00654723&amp;two_year_transaction_period=2026" TargetMode="External"/><Relationship Id="rId50fe5x5fjkpsiti5hbaky" Type="http://schemas.openxmlformats.org/officeDocument/2006/relationships/hyperlink" Target="https://www.congress.gov/member/daniel-meuser/M001204" TargetMode="External"/><Relationship Id="rIdp4wqumf2mott8qgqkep3c" Type="http://schemas.openxmlformats.org/officeDocument/2006/relationships/hyperlink" Target="https://www.congress.gov/bill/119th-congress/house-bill/7127" TargetMode="External"/><Relationship Id="rId0lhl_1pvqe80yzmghkiyw" Type="http://schemas.openxmlformats.org/officeDocument/2006/relationships/hyperlink" Target="https://www.congress.gov/bill/119th-congress/house-bill/4460" TargetMode="External"/><Relationship Id="rId_bhojuoeowhrzge-9lajg" Type="http://schemas.openxmlformats.org/officeDocument/2006/relationships/hyperlink" Target="https://www.congress.gov/bill/119th-congress/house-bill/3645" TargetMode="External"/><Relationship Id="rIdmai0me4bh3wa6cbbmtjlw" Type="http://schemas.openxmlformats.org/officeDocument/2006/relationships/hyperlink" Target="https://www.congress.gov/bill/119th-congress/house-bill/2513" TargetMode="External"/><Relationship Id="rIdg1ajx3kbiywpu0yecgbxw" Type="http://schemas.openxmlformats.org/officeDocument/2006/relationships/hyperlink" Target="https://www.congress.gov/bill/119th-congress/house-bill/2513" TargetMode="External"/><Relationship Id="rIdqfklcx8zge5elslrjbqeq" Type="http://schemas.openxmlformats.org/officeDocument/2006/relationships/hyperlink" Target="https://www.congress.gov/bill/119th-congress/house-bill/4460" TargetMode="External"/><Relationship Id="rIdq-yj2qvotzljz_a3yzscx" Type="http://schemas.openxmlformats.org/officeDocument/2006/relationships/hyperlink" Target="https://www.congress.gov/bill/119th-congress/house-bill/2066" TargetMode="External"/><Relationship Id="rIdfqmmgxcdiuhvk5t0ycpyb" Type="http://schemas.openxmlformats.org/officeDocument/2006/relationships/hyperlink" Target="https://www.congress.gov/bill/119th-congress/house-bill/1804" TargetMode="External"/><Relationship Id="rIdy2imyyey8i3rtkp7ikocg" Type="http://schemas.openxmlformats.org/officeDocument/2006/relationships/hyperlink" Target="https://www.congress.gov/bill/119th-congress/house-bill/7401" TargetMode="External"/><Relationship Id="rIdaxclyh9k3snm-5gikf4u-" Type="http://schemas.openxmlformats.org/officeDocument/2006/relationships/hyperlink" Target="https://www.congress.gov/bill/119th-congress/house-bill/7127" TargetMode="External"/><Relationship Id="rIdl_vvf4zi0isuf6bmjgzxu" Type="http://schemas.openxmlformats.org/officeDocument/2006/relationships/hyperlink" Target="https://www.congress.gov/bill/119th-congress/house-bill/3645" TargetMode="External"/><Relationship Id="rIdtbvunc-zbletardefuhhk" Type="http://schemas.openxmlformats.org/officeDocument/2006/relationships/hyperlink" Target="https://www.congress.gov/bill/119th-congress/house-bill/1264" TargetMode="External"/><Relationship Id="rIdndnooiwge_clzmiisnzzz" Type="http://schemas.openxmlformats.org/officeDocument/2006/relationships/hyperlink" Target="https://www.congress.gov/bill/119th-congress/house-bill/692" TargetMode="External"/><Relationship Id="rIdjmc-htkjc6g30ijd50sgi" Type="http://schemas.openxmlformats.org/officeDocument/2006/relationships/hyperlink" Target="https://www.fec.gov/data/receipts/?data_type=processed&amp;committee_id=C00654723&amp;two_year_transaction_period=2026" TargetMode="External"/><Relationship Id="rIdfz-fiqq-hxdssoeoffwqt" Type="http://schemas.openxmlformats.org/officeDocument/2006/relationships/hyperlink" Target="https://www.congress.gov/member/daniel-meuser/M001204" TargetMode="External"/><Relationship Id="rIdfexvjwgwutfg2iz6gobbg" Type="http://schemas.openxmlformats.org/officeDocument/2006/relationships/hyperlink" Target="https://www.fec.gov/data/receipts/?data_type=processed&amp;committee_id=C00654723&amp;contributor_name=JPMORGAN%20CHASE" TargetMode="External"/><Relationship Id="rIddltkze7j2plm598zimbpy" Type="http://schemas.openxmlformats.org/officeDocument/2006/relationships/hyperlink" Target="https://www.fec.gov/data/receipts/?data_type=processed&amp;committee_id=C00654723&amp;contributor_name=GOLDMAN%20SACHS" TargetMode="External"/><Relationship Id="rIdwvpcczllcoaqhifejkd9b" Type="http://schemas.openxmlformats.org/officeDocument/2006/relationships/hyperlink" Target="https://www.fec.gov/data/receipts/?data_type=processed&amp;committee_id=C00654723&amp;contributor_name=BANK%20OF%20AMERICA" TargetMode="External"/><Relationship Id="rIdnoahh49ldqji_0r2rhujo" Type="http://schemas.openxmlformats.org/officeDocument/2006/relationships/hyperlink" Target="https://www.fec.gov/data/receipts/?data_type=processed&amp;committee_id=C00654723&amp;contributor_name=BANK%20OF%20NEW%20YORK" TargetMode="External"/><Relationship Id="rIdry3dggxwkebtqspgv10ey" Type="http://schemas.openxmlformats.org/officeDocument/2006/relationships/hyperlink" Target="https://www.fec.gov/data/receipts/?data_type=processed&amp;committee_id=C00654723&amp;contributor_name=VANGUARD%20GROUP" TargetMode="External"/><Relationship Id="rIdqehvbpa-wygqa385okhuz" Type="http://schemas.openxmlformats.org/officeDocument/2006/relationships/hyperlink" Target="https://www.fec.gov/data/receipts/?data_type=processed&amp;committee_id=C00654723&amp;contributor_name=FMR%20LLC" TargetMode="External"/><Relationship Id="rId1gqdhfcwzvn0qmth49qc6" Type="http://schemas.openxmlformats.org/officeDocument/2006/relationships/hyperlink" Target="https://www.fec.gov/data/receipts/?data_type=processed&amp;committee_id=C00654723&amp;contributor_name=UBS%20AMERICAS" TargetMode="External"/><Relationship Id="rIdo2dftrg0fjjmxfbnyaxpt" Type="http://schemas.openxmlformats.org/officeDocument/2006/relationships/hyperlink" Target="https://www.fec.gov/data/receipts/?data_type=processed&amp;committee_id=C00654723&amp;contributor_name=PRUDENTIAL%20FINANCIAL" TargetMode="External"/><Relationship Id="rId7-p5m2oodyhodtkabwp8h" Type="http://schemas.openxmlformats.org/officeDocument/2006/relationships/hyperlink" Target="https://www.congress.gov/bill/119th-congress/house-bill/7127" TargetMode="External"/><Relationship Id="rIdwufwe177plvh5nvcvdnd4" Type="http://schemas.openxmlformats.org/officeDocument/2006/relationships/hyperlink" Target="https://www.quiverquant.com/news/New+Bill%3A+Representative+Daniel+Meuser+introduces+H.R.+7127%3A+Restoring+the+Secondary+Trading+Market+Act" TargetMode="External"/><Relationship Id="rIdkblsw0c7d7vptjektewr6" Type="http://schemas.openxmlformats.org/officeDocument/2006/relationships/hyperlink" Target="https://www.congress.gov/bill/119th-congress/house-bill/4460" TargetMode="External"/><Relationship Id="rIdujaeirqj2tqhmhvd3jn2u" Type="http://schemas.openxmlformats.org/officeDocument/2006/relationships/hyperlink" Target="https://financialregnews.com/house-financial-services-advances-six-bills-one-resolution-to-reduce-unnecessary-regulatory-burdens/" TargetMode="External"/><Relationship Id="rIdiknw65gd8nqamr6f3a3w8" Type="http://schemas.openxmlformats.org/officeDocument/2006/relationships/hyperlink" Target="https://www.congress.gov/bill/119th-congress/house-bill/2513" TargetMode="External"/><Relationship Id="rIdl3diyd_v_elsubxdchqup" Type="http://schemas.openxmlformats.org/officeDocument/2006/relationships/hyperlink" Target="https://www.quiverquant.com/bills/119/hr-2513" TargetMode="External"/><Relationship Id="rIdj7g8rihl21ejdj1wodsnn" Type="http://schemas.openxmlformats.org/officeDocument/2006/relationships/hyperlink" Target="https://financialservices.house.gov/news/documentsingle.aspx?DocumentID=410779" TargetMode="External"/><Relationship Id="rId7gkycskjqzh-llxv6ullz" Type="http://schemas.openxmlformats.org/officeDocument/2006/relationships/hyperlink" Target="https://www.congress.gov/bill/119th-congress/house-bill/3645" TargetMode="External"/><Relationship Id="rId8k5vab7cwtxlaz9e-iqq6" Type="http://schemas.openxmlformats.org/officeDocument/2006/relationships/hyperlink" Target="https://www.congress.gov/bill/119th-congress/house-bill/3645/text" TargetMode="External"/><Relationship Id="rIdvraob82h-v6kdrapcpzjr" Type="http://schemas.openxmlformats.org/officeDocument/2006/relationships/hyperlink" Target="https://technical.ly/civics/access-act-introduced-startup-crowdfunding-regulation/" TargetMode="External"/><Relationship Id="rIdd5orty_mwy_deopfuhavd" Type="http://schemas.openxmlformats.org/officeDocument/2006/relationships/hyperlink" Target="https://www.jdsupra.com/legalnews/house-passes-bipartisan-capital-6780193/" TargetMode="External"/><Relationship Id="rIdjvaf8rikwks9mdh2eumua" Type="http://schemas.openxmlformats.org/officeDocument/2006/relationships/hyperlink" Target="https://www.fec.gov/data/receipts/?data_type=processed&amp;committee_id=C00654723&amp;contributor_name=SMALL%20BUSINESS%20INVESTOR%20ALLIANCE" TargetMode="External"/><Relationship Id="rIdmsrwiwejxjofvftmokehn" Type="http://schemas.openxmlformats.org/officeDocument/2006/relationships/hyperlink" Target="https://www.fec.gov/data/receipts/?data_type=processed&amp;committee_id=C00654723&amp;contributor_name=PALMER%2C%20BRETT" TargetMode="External"/><Relationship Id="rIdslunuivr7hltesmpawyur" Type="http://schemas.openxmlformats.org/officeDocument/2006/relationships/hyperlink" Target="https://www.fec.gov/data/receipts/?data_type=processed&amp;committee_id=C00654723&amp;contributor_name=REVENUE%20BASED%20FINANCE" TargetMode="External"/><Relationship Id="rIdzggegkwsmtya4bbielpum" Type="http://schemas.openxmlformats.org/officeDocument/2006/relationships/hyperlink" Target="https://www.congress.gov/bill/119th-congress/house-bill/2066" TargetMode="External"/><Relationship Id="rIdnksmk-gsf8etisc-ioi-p" Type="http://schemas.openxmlformats.org/officeDocument/2006/relationships/hyperlink" Target="https://www.congress.gov/bill/119th-congress/house-bill/2066/text" TargetMode="External"/><Relationship Id="rIdorrvvkbx7qkklekbag-ev" Type="http://schemas.openxmlformats.org/officeDocument/2006/relationships/hyperlink" Target="https://sbia.org/2025/12/01/sbia-applauds-house-passage-of-the-investing-in-all-of-america-act/" TargetMode="External"/><Relationship Id="rId9t9s_bginbvgeshqxo9vm" Type="http://schemas.openxmlformats.org/officeDocument/2006/relationships/hyperlink" Target="https://www.congress.gov/bill/119th-congress/house-bill/1804" TargetMode="External"/><Relationship Id="rId-dv2rs07xgx33kmeakfpy" Type="http://schemas.openxmlformats.org/officeDocument/2006/relationships/hyperlink" Target="https://www.congress.gov/bill/119th-congress/house-bill/1804/text" TargetMode="External"/><Relationship Id="rId_uzybdjfs-vohcwpqrogn" Type="http://schemas.openxmlformats.org/officeDocument/2006/relationships/hyperlink" Target="https://www.iedconline.org/news/2025/12/08/community-updates/u.s.-house-passes-five-sba-related-bills/" TargetMode="External"/><Relationship Id="rIdgqlorkfgtbeqoguqqt-b2" Type="http://schemas.openxmlformats.org/officeDocument/2006/relationships/hyperlink" Target="https://www.nasdaq.com/articles/congress-vote-house-has-passed-hr-1804-7a-loan-agent-oversight-act" TargetMode="External"/><Relationship Id="rIdqx2qweeeq__9hed6wbiie" Type="http://schemas.openxmlformats.org/officeDocument/2006/relationships/hyperlink" Target="https://www.congress.gov/bill/119th-congress/house-bill/7401" TargetMode="External"/><Relationship Id="rIdd8y3c0f16o1m2lo0v3fkw" Type="http://schemas.openxmlformats.org/officeDocument/2006/relationships/hyperlink" Target="https://www.fec.gov/data/receipts/?data_type=processed&amp;committee_id=C00654723&amp;contributor_name=NASDAQ" TargetMode="External"/><Relationship Id="rIdguajdr_hzaralksggobec" Type="http://schemas.openxmlformats.org/officeDocument/2006/relationships/hyperlink" Target="https://www.congress.gov/bill/119th-congress/house-bill/7127" TargetMode="External"/><Relationship Id="rIdytfoulafwh3ukeaniozoo" Type="http://schemas.openxmlformats.org/officeDocument/2006/relationships/hyperlink" Target="https://www.congress.gov/bill/119th-congress/house-bill/3645" TargetMode="External"/><Relationship Id="rIdxiil_pnbswls2of4fds8u" Type="http://schemas.openxmlformats.org/officeDocument/2006/relationships/hyperlink" Target="https://www.jdsupra.com/legalnews/house-passes-bipartisan-capital-6780193/" TargetMode="External"/><Relationship Id="rIdv3_xm9cmrqlfocwtaayhy" Type="http://schemas.openxmlformats.org/officeDocument/2006/relationships/hyperlink" Target="https://www.fec.gov/data/receipts/?data_type=processed&amp;committee_id=C00654723&amp;contributor_name=NATIONAL%20ASSOCIATION%20OF%20INSURANCE%20AND%20FINANCIAL" TargetMode="External"/><Relationship Id="rId8ybrlc7nmoryapu7f9g9b" Type="http://schemas.openxmlformats.org/officeDocument/2006/relationships/hyperlink" Target="https://www.fec.gov/data/receipts/?data_type=processed&amp;committee_id=C00654723&amp;contributor_name=NORTHWESTERN%20MUTUAL" TargetMode="External"/><Relationship Id="rIdhxuhbj7mg5pgizqqyhws-" Type="http://schemas.openxmlformats.org/officeDocument/2006/relationships/hyperlink" Target="https://www.fec.gov/data/receipts/?data_type=processed&amp;committee_id=C00654723&amp;contributor_name=INDEPENDENT%20INSURANCE%20AGENTS" TargetMode="External"/><Relationship Id="rIdkcpt5xxnjdq0jazzsvtsi" Type="http://schemas.openxmlformats.org/officeDocument/2006/relationships/hyperlink" Target="https://www.fec.gov/data/receipts/?data_type=processed&amp;committee_id=C00654723&amp;contributor_name=WHOLESALE" TargetMode="External"/><Relationship Id="rIdrgmlm9exrpqlosaei7nv-" Type="http://schemas.openxmlformats.org/officeDocument/2006/relationships/hyperlink" Target="https://www.congress.gov/bill/119th-congress/house-bill/4460" TargetMode="External"/><Relationship Id="rId9tgi6iol0oay9g6r5j42o" Type="http://schemas.openxmlformats.org/officeDocument/2006/relationships/hyperlink" Target="https://www.congress.gov/bill/119th-congress/house-bill/2513" TargetMode="External"/><Relationship Id="rIdrbkhpmmpkwnss_plbryyu" Type="http://schemas.openxmlformats.org/officeDocument/2006/relationships/hyperlink" Target="https://financialregnews.com/house-financial-services-advances-six-bills-one-resolution-to-reduce-unnecessary-regulatory-burdens/" TargetMode="External"/><Relationship Id="rIdvs3wrvefj_oqzyg2wuphg" Type="http://schemas.openxmlformats.org/officeDocument/2006/relationships/hyperlink" Target="https://www.fec.gov/data/receipts/?data_type=processed&amp;committee_id=C00654723&amp;contributor_name=MARATHON%20PETROLEUM" TargetMode="External"/><Relationship Id="rIdvg8qvp4cmye9osqzcrbo0" Type="http://schemas.openxmlformats.org/officeDocument/2006/relationships/hyperlink" Target="https://www.fec.gov/data/receipts/?data_type=processed&amp;committee_id=C00654723&amp;contributor_name=UNITED%20STATES%20STEEL" TargetMode="External"/><Relationship Id="rIds805fgpd4ovbtyb92vxha" Type="http://schemas.openxmlformats.org/officeDocument/2006/relationships/hyperlink" Target="https://www.fec.gov/data/receipts/?data_type=processed&amp;committee_id=C00654723&amp;contributor_name=HEWLETT%20PACKARD" TargetMode="External"/><Relationship Id="rIdlyegvaemvyzqapgx9-xn_" Type="http://schemas.openxmlformats.org/officeDocument/2006/relationships/hyperlink" Target="https://www.fec.gov/data/receipts/?data_type=processed&amp;committee_id=C00654723&amp;contributor_name=MICROSOFT" TargetMode="External"/><Relationship Id="rIdhftcbgs5ugwteqxbljqru" Type="http://schemas.openxmlformats.org/officeDocument/2006/relationships/hyperlink" Target="https://www.fec.gov/data/receipts/?data_type=processed&amp;committee_id=C00654723&amp;contributor_name=TALEN%20ENERGY" TargetMode="External"/><Relationship Id="rIdp13ttihre_ee-mqeikrmg" Type="http://schemas.openxmlformats.org/officeDocument/2006/relationships/hyperlink" Target="https://www.fec.gov/data/receipts/?data_type=processed&amp;committee_id=C00654723&amp;contributor_name=APOLLO" TargetMode="External"/><Relationship Id="rId53hpikjd2wergdmcrrnys" Type="http://schemas.openxmlformats.org/officeDocument/2006/relationships/hyperlink" Target="https://www.congress.gov/bill/119th-congress/house-bill/1264" TargetMode="External"/><Relationship Id="rIdf4c8ttentyevoembqxkwj" Type="http://schemas.openxmlformats.org/officeDocument/2006/relationships/hyperlink" Target="https://batterycouncil.org/news/congress-reintroduces-usa-batteries-act/" TargetMode="External"/><Relationship Id="rIdsojpgyfzp95tre4bak3rv" Type="http://schemas.openxmlformats.org/officeDocument/2006/relationships/hyperlink" Target="https://www.congress.gov/bill/119th-congress/house-bill/692" TargetMode="External"/><Relationship Id="rIdl8ou9831zdm79tbncvggb" Type="http://schemas.openxmlformats.org/officeDocument/2006/relationships/hyperlink" Target="https://www.mccormick.senate.gov/news/press-releases/senators-dave-mccormick-catherine-cortez-masto-introduce-china-exchange-rate-legislation/" TargetMode="External"/><Relationship Id="rIdjsta70ymmfb7ckcydffly" Type="http://schemas.openxmlformats.org/officeDocument/2006/relationships/hyperlink" Target="https://en.wikipedia.org/wiki/Pennsylvania%27s_9th_congressional_district" TargetMode="External"/><Relationship Id="rIdzputh9ulr_fzfn-dc24ca" Type="http://schemas.openxmlformats.org/officeDocument/2006/relationships/hyperlink" Target="https://www.pa.gov/agencies/dli/programs-services/workforce-development-home/warn-requirements/warn-notices.html" TargetMode="External"/><Relationship Id="rId6gl3ohshgju7elf_4zw1q" Type="http://schemas.openxmlformats.org/officeDocument/2006/relationships/hyperlink" Target="https://www.yahoo.com/news/articles/schuylkill-county-plant-closure-impact-211031636.html" TargetMode="External"/><Relationship Id="rIdymvgp-k18fr6joe4ghctb" Type="http://schemas.openxmlformats.org/officeDocument/2006/relationships/hyperlink" Target="https://www.pa.gov/agencies/dli/programs-services/workforce-development-home/warn-requirements/warn-notices.html" TargetMode="External"/><Relationship Id="rIdetp0hk-ksryab6hmgxnkl" Type="http://schemas.openxmlformats.org/officeDocument/2006/relationships/hyperlink" Target="https://www.fiercepharma.com/manufacturing/merck-readies-pennsylvania-manufacturing-site-closure-163-layoffs-scheduled-through" TargetMode="External"/><Relationship Id="rIdzxsiipe4w8yuxgnj9osg1" Type="http://schemas.openxmlformats.org/officeDocument/2006/relationships/hyperlink" Target="https://www.yahoo.com/news/3-manufacturing-plants-close-columbia-224002012.html" TargetMode="External"/><Relationship Id="rIdshhzharbnnzoktpl1bkad" Type="http://schemas.openxmlformats.org/officeDocument/2006/relationships/hyperlink" Target="https://www.pa.gov/agencies/dli/programs-services/workforce-development-home/warn-requirements/warn-notices.html" TargetMode="External"/><Relationship Id="rIdyllvgabae4v7nmkx-s6ib" Type="http://schemas.openxmlformats.org/officeDocument/2006/relationships/hyperlink" Target="https://www.americanmachinist.com/news/news/55340748/engineered-materials-solutions-to-close-hamburg-pa-plant" TargetMode="External"/><Relationship Id="rIdcnh4hsgrv2anzfhnqdbb4" Type="http://schemas.openxmlformats.org/officeDocument/2006/relationships/hyperlink" Target="https://lvb.com/appeeling-fruit-to-shut-down-68-workers-lose-jobs/" TargetMode="External"/><Relationship Id="rIdld-swaz6rd1xe-a8a2ukj" Type="http://schemas.openxmlformats.org/officeDocument/2006/relationships/hyperlink" Target="https://clerk.house.gov/Votes/2023199" TargetMode="External"/><Relationship Id="rIdul9qga-1evclubfmpsac0" Type="http://schemas.openxmlformats.org/officeDocument/2006/relationships/hyperlink" Target="https://www.congress.gov/bill/118th-congress/house-bill/2811/text/ih" TargetMode="External"/><Relationship Id="rIdxfw94ltequelxt1y4qflj" Type="http://schemas.openxmlformats.org/officeDocument/2006/relationships/hyperlink" Target="https://hsph.harvard.edu/news/coverage-losses-substantial-confusion-in-arkansas-following-implementation-of-medicaid-work-requirements/" TargetMode="External"/><Relationship Id="rId3hybqwp6jjrgt3ctkj2l0" Type="http://schemas.openxmlformats.org/officeDocument/2006/relationships/hyperlink" Target="https://clerk.house.gov/Votes/2022420" TargetMode="External"/><Relationship Id="rIdo4b9zylgg9kmpbsyq8cu9" Type="http://schemas.openxmlformats.org/officeDocument/2006/relationships/hyperlink" Target="https://www.congress.gov/bill/117th-congress/house-bill/5376/all-info" TargetMode="External"/><Relationship Id="rIdn5ri_0pgiqo7ukkcqllrt" Type="http://schemas.openxmlformats.org/officeDocument/2006/relationships/hyperlink" Target="https://www.kff.org/affordable-care-act/aca-marketplace-premium-payments-would-more-than-double-on-average-next-year-if-enhanced-premium-tax-credits-expire/" TargetMode="External"/><Relationship Id="rId-vmypo-oqdcqjbzr5rjiw" Type="http://schemas.openxmlformats.org/officeDocument/2006/relationships/hyperlink" Target="https://clerk.house.gov/Votes/2020124" TargetMode="External"/><Relationship Id="rIdgyd2gfpvzhbpxtjyi7ngl" Type="http://schemas.openxmlformats.org/officeDocument/2006/relationships/hyperlink" Target="https://www.cms.gov/newsroom/press-releases/hhs-releases-final-guidance-second-cycle-historic-medicare-drug-price-negotiation-program" TargetMode="External"/><Relationship Id="rId3p7azuz-txw9lm3g_imwe" Type="http://schemas.openxmlformats.org/officeDocument/2006/relationships/hyperlink" Target="https://www.cms.gov/newsroom/press-releases/hhs-announces-15-additional-drugs-selected-medicare-drug-price-negotiations-continued-effort-lower" TargetMode="External"/><Relationship Id="rIdo949ffdwhqp_ol4kw7ud3" Type="http://schemas.openxmlformats.org/officeDocument/2006/relationships/hyperlink" Target="https://clerk.house.gov/Votes/2019196" TargetMode="External"/><Relationship Id="rIdzwfyv5sfyu3cj-ntfzrv8" Type="http://schemas.openxmlformats.org/officeDocument/2006/relationships/hyperlink" Target="https://www.cbpp.org/research/health/trump-administration-rules-on-health-waivers-weaken-pre-existing-condition" TargetMode="External"/><Relationship Id="rIdr_kya6cdn_hwej-nqz4tm" Type="http://schemas.openxmlformats.org/officeDocument/2006/relationships/hyperlink" Target="https://clerk.house.gov/Votes/2023282" TargetMode="External"/><Relationship Id="rIdzhv20tv268g4yeqvqj74b" Type="http://schemas.openxmlformats.org/officeDocument/2006/relationships/hyperlink" Target="https://www.dol.gov/newsroom/releases/ebsa/ebsa20240429" TargetMode="External"/><Relationship Id="rId9rpevy_dea3yswg2rqju7" Type="http://schemas.openxmlformats.org/officeDocument/2006/relationships/hyperlink" Target="https://www.commonwealthfund.org/blog/2018/association-health-plans-maintaining-state-authority-critical-avoid-fraud-insolvency-and" TargetMode="External"/><Relationship Id="rIdaogxq7zrqkxhznnch3plz" Type="http://schemas.openxmlformats.org/officeDocument/2006/relationships/hyperlink" Target="https://www.commonwealthfund.org/blog/2025/new-trump-administration-policies-weaken-health-insurance-marketplace-consumers-including" TargetMode="External"/><Relationship Id="rIdjufzci2ohsm_qkw55mhda" Type="http://schemas.openxmlformats.org/officeDocument/2006/relationships/hyperlink" Target="https://clerk.house.gov/Votes/202440" TargetMode="External"/><Relationship Id="rIdc4s-pwhdiymocikrkc2n0" Type="http://schemas.openxmlformats.org/officeDocument/2006/relationships/hyperlink" Target="https://www.congress.gov/bill/118th-congress/house-bill/485" TargetMode="External"/><Relationship Id="rIdvxphzgiffauofjstv3klc" Type="http://schemas.openxmlformats.org/officeDocument/2006/relationships/hyperlink" Target="https://ccf.georgetown.edu/2023/09/25/cbo-confirms-house-bill-prohibiting-use-of-qalys-would-undermine-state-negotiation-of-medicaid-supplemental-rebates/" TargetMode="External"/><Relationship Id="rIdbvbopr-iwutr3rsbkx2cz" Type="http://schemas.openxmlformats.org/officeDocument/2006/relationships/hyperlink" Target="https://www.hhs.gov/open/prevention/index.html" TargetMode="External"/><Relationship Id="rIdta6mucwgjkouqi4inm9vg" Type="http://schemas.openxmlformats.org/officeDocument/2006/relationships/hyperlink" Target="https://clerk.house.gov/Votes/2023647" TargetMode="External"/><Relationship Id="rIdurl6t_scjcctt0olqqgbg" Type="http://schemas.openxmlformats.org/officeDocument/2006/relationships/hyperlink" Target="https://www.apha.org/news-and-media/news-releases/apha-news-releases/2023/house-fy-2024-labor-hhs-education-spending-bill" TargetMode="External"/><Relationship Id="rIdi0byb1xaxkl4khezy5t0c" Type="http://schemas.openxmlformats.org/officeDocument/2006/relationships/hyperlink" Target="https://www.congress.gov/crs-product/R47936" TargetMode="External"/><Relationship Id="rId-ruov1iwjwymgwl_yr8at" Type="http://schemas.openxmlformats.org/officeDocument/2006/relationships/hyperlink" Target="https://www.congress.gov/votes/house/118-1/29" TargetMode="External"/><Relationship Id="rIds_nhpuskmjkxctyu47bok" Type="http://schemas.openxmlformats.org/officeDocument/2006/relationships/hyperlink" Target="https://justfacts.votesmart.org/candidate/key-votes/102438/dan-meuser/2/abortion" TargetMode="External"/><Relationship Id="rIdw1w4uckvdmza26dwysrjm" Type="http://schemas.openxmlformats.org/officeDocument/2006/relationships/hyperlink" Target="https://www.ontheissues.org/2018_House_PA.htm" TargetMode="External"/><Relationship Id="rIdsbrx6rt123tkp8pv22bdg" Type="http://schemas.openxmlformats.org/officeDocument/2006/relationships/hyperlink" Target="https://meuser.house.gov/media/press-releases/meuser-introduces-fiscal-responsibility-legislation" TargetMode="External"/><Relationship Id="rIdmgij-mtf_8pcouhh6ldtl" Type="http://schemas.openxmlformats.org/officeDocument/2006/relationships/hyperlink" Target="https://clerk.house.gov/Votes/2023202" TargetMode="External"/><Relationship Id="rId1fd9uvgibp7nfbbtxur4y" Type="http://schemas.openxmlformats.org/officeDocument/2006/relationships/hyperlink" Target="https://www.congress.gov/bill/118th-congress/house-joint-resolution/39" TargetMode="External"/><Relationship Id="rIdkmteldkttovdgejyw0z4a" Type="http://schemas.openxmlformats.org/officeDocument/2006/relationships/hyperlink" Target="https://clerk.house.gov/Votes/2023233" TargetMode="External"/><Relationship Id="rIdh3id62vfwizd32wm0ufii" Type="http://schemas.openxmlformats.org/officeDocument/2006/relationships/hyperlink" Target="https://www.wvia.org/news/local/2025-05-28/meuser-defends-possible-medicaid-cuts-tariffs-at-schuylkill-chamber-of-commerce-meeting" TargetMode="External"/><Relationship Id="rId9htzx8wnhezlgqzlutohw" Type="http://schemas.openxmlformats.org/officeDocument/2006/relationships/hyperlink" Target="https://www.witf.org/2025/05/28/pa-rep-dan-meuser-defends-possible-medicaid-cuts-tariffs-at-schuylkill-chamber-of-commerce-meeting/" TargetMode="External"/><Relationship Id="rId1w_he74owspfchueudq8w" Type="http://schemas.openxmlformats.org/officeDocument/2006/relationships/hyperlink" Target="https://www.whitehouse.gov/articles/2025/04/support-grows-for-president-trumps-america-first-reciprocal-trade-plan/" TargetMode="External"/><Relationship Id="rIdunj-6pgias4oxfuzep1fc" Type="http://schemas.openxmlformats.org/officeDocument/2006/relationships/hyperlink" Target="https://www.wlsam.com/2025/04/03/rep-meuser-to-newsmax-trump-is-bringing-a-correction-in-trade/" TargetMode="External"/><Relationship Id="rIdqbrjxpbpagqnyfu5ldoun" Type="http://schemas.openxmlformats.org/officeDocument/2006/relationships/hyperlink" Target="https://meuser.house.gov/media/press-releases/congressman-meuser-celebrates-president-trumps-landmark-action-keep-us-steel" TargetMode="External"/><Relationship Id="rIdcqikehkvel9ptsqmyugoj" Type="http://schemas.openxmlformats.org/officeDocument/2006/relationships/hyperlink" Target="https://www.wvia.org/news/local/2025-05-28/meuser-defends-possible-medicaid-cuts-tariffs-at-schuylkill-chamber-of-commerce-meeting" TargetMode="External"/><Relationship Id="rIdjslzjlsp5nusqfalprhki" Type="http://schemas.openxmlformats.org/officeDocument/2006/relationships/hyperlink" Target="https://sbia.org/2025/12/01/sbia-applauds-house-passage-of-the-investing-in-all-of-america-act/" TargetMode="External"/><Relationship Id="rIdwkzk8ak_ngnrjdji_s2dh" Type="http://schemas.openxmlformats.org/officeDocument/2006/relationships/hyperlink" Target="https://www.congress.gov/bill/119th-congress/house-bill/7127" TargetMode="External"/><Relationship Id="rIdgzp7gvkb5p_g6siqeqvkg" Type="http://schemas.openxmlformats.org/officeDocument/2006/relationships/hyperlink" Target="https://www.congress.gov/bill/119th-congress/house-bill/2513" TargetMode="External"/><Relationship Id="rIdyd3h7kslajurxbsizs0vq" Type="http://schemas.openxmlformats.org/officeDocument/2006/relationships/hyperlink" Target="https://www.congress.gov/bill/119th-congress/house-bill/4460" TargetMode="External"/><Relationship Id="rIdqxfdfftlpm5nw3z2slqse" Type="http://schemas.openxmlformats.org/officeDocument/2006/relationships/hyperlink" Target="https://hsph.harvard.edu/news/coverage-losses-substantial-confusion-in-arkansas-following-implementation-of-medicaid-work-requirements/" TargetMode="External"/><Relationship Id="rIdhzqkhlqlpool_8kxjzqcg" Type="http://schemas.openxmlformats.org/officeDocument/2006/relationships/hyperlink" Target="https://www.cms.gov/newsroom/press-releases/hhs-announces-15-additional-drugs-selected-medicare-drug-price-negotiations-continued-effort-lower" TargetMode="External"/><Relationship Id="rIdb9tv40dzkmmlabici03jg" Type="http://schemas.openxmlformats.org/officeDocument/2006/relationships/hyperlink" Target="https://www.kff.org/affordable-care-act/aca-marketplace-premium-payments-would-more-than-double-on-average-next-year-if-enhanced-premium-tax-credits-expire/" TargetMode="External"/><Relationship Id="rId5yu0unuo9tzlhapx6un5f" Type="http://schemas.openxmlformats.org/officeDocument/2006/relationships/hyperlink" Target="https://www.wvia.org/news/local/2025-05-28/meuser-defends-possible-medicaid-cuts-tariffs-at-schuylkill-chamber-of-commerce-meeting" TargetMode="External"/><Relationship Id="rId1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2026-02-10T01:07:19.817Z</dcterms:created>
  <dcterms:modified xsi:type="dcterms:W3CDTF">2026-02-10T01:07:19.818Z</dcterms:modified>
</cp:coreProperties>
</file>

<file path=docProps/custom.xml><?xml version="1.0" encoding="utf-8"?>
<Properties xmlns="http://schemas.openxmlformats.org/officeDocument/2006/custom-properties" xmlns:vt="http://schemas.openxmlformats.org/officeDocument/2006/docPropsVTypes"/>
</file>