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AF72B" w14:textId="77777777" w:rsidR="0060466F" w:rsidRDefault="00000000">
      <w:pPr>
        <w:pStyle w:val="Title"/>
      </w:pPr>
      <w:r>
        <w:t>Autonomy as a promotor of intrapreneurship</w:t>
      </w:r>
    </w:p>
    <w:p w14:paraId="6D38D3E2" w14:textId="77777777" w:rsidR="0060466F" w:rsidRDefault="00000000">
      <w:pPr>
        <w:pStyle w:val="Subtitle"/>
      </w:pPr>
      <w:r>
        <w:t>A Person-Environment fit view on autonomy and intrapreneurial behaviour, together with the influence of psychological safety.</w:t>
      </w:r>
    </w:p>
    <w:p w14:paraId="382565D6" w14:textId="77777777" w:rsidR="0060466F" w:rsidRDefault="00000000">
      <w:pPr>
        <w:pStyle w:val="Author"/>
      </w:pPr>
      <w:r>
        <w:t xml:space="preserve">Paul de </w:t>
      </w:r>
      <w:proofErr w:type="spellStart"/>
      <w:r>
        <w:t>Raaij</w:t>
      </w:r>
      <w:proofErr w:type="spellEnd"/>
    </w:p>
    <w:sdt>
      <w:sdtPr>
        <w:rPr>
          <w:rFonts w:asciiTheme="minorHAnsi" w:eastAsiaTheme="minorHAnsi" w:hAnsiTheme="minorHAnsi" w:cstheme="minorBidi"/>
          <w:color w:val="auto"/>
          <w:sz w:val="24"/>
          <w:szCs w:val="24"/>
        </w:rPr>
        <w:id w:val="-1686124486"/>
        <w:docPartObj>
          <w:docPartGallery w:val="Table of Contents"/>
          <w:docPartUnique/>
        </w:docPartObj>
      </w:sdtPr>
      <w:sdtContent>
        <w:p w14:paraId="0DC08967" w14:textId="77777777" w:rsidR="0060466F" w:rsidRDefault="00000000">
          <w:pPr>
            <w:pStyle w:val="TOCHeading"/>
          </w:pPr>
          <w:r>
            <w:t>Table of Contents</w:t>
          </w:r>
        </w:p>
        <w:p w14:paraId="2E63F2E9" w14:textId="77777777" w:rsidR="00B211DA" w:rsidRDefault="00000000">
          <w:pPr>
            <w:pStyle w:val="TOC1"/>
            <w:tabs>
              <w:tab w:val="right" w:leader="dot" w:pos="9350"/>
            </w:tabs>
            <w:rPr>
              <w:noProof/>
            </w:rPr>
          </w:pPr>
          <w:r>
            <w:fldChar w:fldCharType="begin"/>
          </w:r>
          <w:r>
            <w:instrText>TOC \o "1-3" \h \z \u</w:instrText>
          </w:r>
          <w:r>
            <w:fldChar w:fldCharType="separate"/>
          </w:r>
          <w:hyperlink w:anchor="_Toc122030716" w:history="1">
            <w:r w:rsidR="00B211DA" w:rsidRPr="0006729E">
              <w:rPr>
                <w:rStyle w:val="Hyperlink"/>
                <w:noProof/>
              </w:rPr>
              <w:t>Summary</w:t>
            </w:r>
            <w:r w:rsidR="00B211DA">
              <w:rPr>
                <w:noProof/>
                <w:webHidden/>
              </w:rPr>
              <w:tab/>
            </w:r>
            <w:r w:rsidR="00B211DA">
              <w:rPr>
                <w:noProof/>
                <w:webHidden/>
              </w:rPr>
              <w:fldChar w:fldCharType="begin"/>
            </w:r>
            <w:r w:rsidR="00B211DA">
              <w:rPr>
                <w:noProof/>
                <w:webHidden/>
              </w:rPr>
              <w:instrText xml:space="preserve"> PAGEREF _Toc122030716 \h </w:instrText>
            </w:r>
            <w:r w:rsidR="00B211DA">
              <w:rPr>
                <w:noProof/>
                <w:webHidden/>
              </w:rPr>
            </w:r>
            <w:r w:rsidR="00B211DA">
              <w:rPr>
                <w:noProof/>
                <w:webHidden/>
              </w:rPr>
              <w:fldChar w:fldCharType="separate"/>
            </w:r>
            <w:r w:rsidR="00B211DA">
              <w:rPr>
                <w:noProof/>
                <w:webHidden/>
              </w:rPr>
              <w:t>2</w:t>
            </w:r>
            <w:r w:rsidR="00B211DA">
              <w:rPr>
                <w:noProof/>
                <w:webHidden/>
              </w:rPr>
              <w:fldChar w:fldCharType="end"/>
            </w:r>
          </w:hyperlink>
        </w:p>
        <w:p w14:paraId="4B6A9ADA" w14:textId="77777777" w:rsidR="00B211DA" w:rsidRDefault="00B211DA">
          <w:pPr>
            <w:pStyle w:val="TOC1"/>
            <w:tabs>
              <w:tab w:val="right" w:leader="dot" w:pos="9350"/>
            </w:tabs>
            <w:rPr>
              <w:noProof/>
            </w:rPr>
          </w:pPr>
          <w:hyperlink w:anchor="_Toc122030717" w:history="1">
            <w:r w:rsidRPr="0006729E">
              <w:rPr>
                <w:rStyle w:val="Hyperlink"/>
                <w:noProof/>
              </w:rPr>
              <w:t>1. Introduction</w:t>
            </w:r>
            <w:r>
              <w:rPr>
                <w:noProof/>
                <w:webHidden/>
              </w:rPr>
              <w:tab/>
            </w:r>
            <w:r>
              <w:rPr>
                <w:noProof/>
                <w:webHidden/>
              </w:rPr>
              <w:fldChar w:fldCharType="begin"/>
            </w:r>
            <w:r>
              <w:rPr>
                <w:noProof/>
                <w:webHidden/>
              </w:rPr>
              <w:instrText xml:space="preserve"> PAGEREF _Toc122030717 \h </w:instrText>
            </w:r>
            <w:r>
              <w:rPr>
                <w:noProof/>
                <w:webHidden/>
              </w:rPr>
            </w:r>
            <w:r>
              <w:rPr>
                <w:noProof/>
                <w:webHidden/>
              </w:rPr>
              <w:fldChar w:fldCharType="separate"/>
            </w:r>
            <w:r>
              <w:rPr>
                <w:noProof/>
                <w:webHidden/>
              </w:rPr>
              <w:t>4</w:t>
            </w:r>
            <w:r>
              <w:rPr>
                <w:noProof/>
                <w:webHidden/>
              </w:rPr>
              <w:fldChar w:fldCharType="end"/>
            </w:r>
          </w:hyperlink>
        </w:p>
        <w:p w14:paraId="53C37E9A" w14:textId="77777777" w:rsidR="00B211DA" w:rsidRDefault="00B211DA">
          <w:pPr>
            <w:pStyle w:val="TOC2"/>
            <w:tabs>
              <w:tab w:val="right" w:leader="dot" w:pos="9350"/>
            </w:tabs>
            <w:rPr>
              <w:noProof/>
            </w:rPr>
          </w:pPr>
          <w:hyperlink w:anchor="_Toc122030718" w:history="1">
            <w:r w:rsidRPr="0006729E">
              <w:rPr>
                <w:rStyle w:val="Hyperlink"/>
                <w:noProof/>
              </w:rPr>
              <w:t>1.1 Background &amp; context</w:t>
            </w:r>
            <w:r>
              <w:rPr>
                <w:noProof/>
                <w:webHidden/>
              </w:rPr>
              <w:tab/>
            </w:r>
            <w:r>
              <w:rPr>
                <w:noProof/>
                <w:webHidden/>
              </w:rPr>
              <w:fldChar w:fldCharType="begin"/>
            </w:r>
            <w:r>
              <w:rPr>
                <w:noProof/>
                <w:webHidden/>
              </w:rPr>
              <w:instrText xml:space="preserve"> PAGEREF _Toc122030718 \h </w:instrText>
            </w:r>
            <w:r>
              <w:rPr>
                <w:noProof/>
                <w:webHidden/>
              </w:rPr>
            </w:r>
            <w:r>
              <w:rPr>
                <w:noProof/>
                <w:webHidden/>
              </w:rPr>
              <w:fldChar w:fldCharType="separate"/>
            </w:r>
            <w:r>
              <w:rPr>
                <w:noProof/>
                <w:webHidden/>
              </w:rPr>
              <w:t>4</w:t>
            </w:r>
            <w:r>
              <w:rPr>
                <w:noProof/>
                <w:webHidden/>
              </w:rPr>
              <w:fldChar w:fldCharType="end"/>
            </w:r>
          </w:hyperlink>
        </w:p>
        <w:p w14:paraId="0DDCB8E2" w14:textId="77777777" w:rsidR="00B211DA" w:rsidRDefault="00B211DA">
          <w:pPr>
            <w:pStyle w:val="TOC2"/>
            <w:tabs>
              <w:tab w:val="right" w:leader="dot" w:pos="9350"/>
            </w:tabs>
            <w:rPr>
              <w:noProof/>
            </w:rPr>
          </w:pPr>
          <w:hyperlink w:anchor="_Toc122030719" w:history="1">
            <w:r w:rsidRPr="0006729E">
              <w:rPr>
                <w:rStyle w:val="Hyperlink"/>
                <w:noProof/>
              </w:rPr>
              <w:t>1.2 Problem statement</w:t>
            </w:r>
            <w:r>
              <w:rPr>
                <w:noProof/>
                <w:webHidden/>
              </w:rPr>
              <w:tab/>
            </w:r>
            <w:r>
              <w:rPr>
                <w:noProof/>
                <w:webHidden/>
              </w:rPr>
              <w:fldChar w:fldCharType="begin"/>
            </w:r>
            <w:r>
              <w:rPr>
                <w:noProof/>
                <w:webHidden/>
              </w:rPr>
              <w:instrText xml:space="preserve"> PAGEREF _Toc122030719 \h </w:instrText>
            </w:r>
            <w:r>
              <w:rPr>
                <w:noProof/>
                <w:webHidden/>
              </w:rPr>
            </w:r>
            <w:r>
              <w:rPr>
                <w:noProof/>
                <w:webHidden/>
              </w:rPr>
              <w:fldChar w:fldCharType="separate"/>
            </w:r>
            <w:r>
              <w:rPr>
                <w:noProof/>
                <w:webHidden/>
              </w:rPr>
              <w:t>5</w:t>
            </w:r>
            <w:r>
              <w:rPr>
                <w:noProof/>
                <w:webHidden/>
              </w:rPr>
              <w:fldChar w:fldCharType="end"/>
            </w:r>
          </w:hyperlink>
        </w:p>
        <w:p w14:paraId="67AD6EE5" w14:textId="77777777" w:rsidR="00B211DA" w:rsidRDefault="00B211DA">
          <w:pPr>
            <w:pStyle w:val="TOC2"/>
            <w:tabs>
              <w:tab w:val="right" w:leader="dot" w:pos="9350"/>
            </w:tabs>
            <w:rPr>
              <w:noProof/>
            </w:rPr>
          </w:pPr>
          <w:hyperlink w:anchor="_Toc122030720" w:history="1">
            <w:r w:rsidRPr="0006729E">
              <w:rPr>
                <w:rStyle w:val="Hyperlink"/>
                <w:noProof/>
              </w:rPr>
              <w:t>1.3 Academic &amp; practical relevance</w:t>
            </w:r>
            <w:r>
              <w:rPr>
                <w:noProof/>
                <w:webHidden/>
              </w:rPr>
              <w:tab/>
            </w:r>
            <w:r>
              <w:rPr>
                <w:noProof/>
                <w:webHidden/>
              </w:rPr>
              <w:fldChar w:fldCharType="begin"/>
            </w:r>
            <w:r>
              <w:rPr>
                <w:noProof/>
                <w:webHidden/>
              </w:rPr>
              <w:instrText xml:space="preserve"> PAGEREF _Toc122030720 \h </w:instrText>
            </w:r>
            <w:r>
              <w:rPr>
                <w:noProof/>
                <w:webHidden/>
              </w:rPr>
            </w:r>
            <w:r>
              <w:rPr>
                <w:noProof/>
                <w:webHidden/>
              </w:rPr>
              <w:fldChar w:fldCharType="separate"/>
            </w:r>
            <w:r>
              <w:rPr>
                <w:noProof/>
                <w:webHidden/>
              </w:rPr>
              <w:t>6</w:t>
            </w:r>
            <w:r>
              <w:rPr>
                <w:noProof/>
                <w:webHidden/>
              </w:rPr>
              <w:fldChar w:fldCharType="end"/>
            </w:r>
          </w:hyperlink>
        </w:p>
        <w:p w14:paraId="03843B42" w14:textId="77777777" w:rsidR="00B211DA" w:rsidRDefault="00B211DA">
          <w:pPr>
            <w:pStyle w:val="TOC3"/>
            <w:tabs>
              <w:tab w:val="right" w:leader="dot" w:pos="9350"/>
            </w:tabs>
            <w:rPr>
              <w:noProof/>
            </w:rPr>
          </w:pPr>
          <w:hyperlink w:anchor="_Toc122030721" w:history="1">
            <w:r w:rsidRPr="0006729E">
              <w:rPr>
                <w:rStyle w:val="Hyperlink"/>
                <w:noProof/>
              </w:rPr>
              <w:t>1.3.1 Academic relevance</w:t>
            </w:r>
            <w:r>
              <w:rPr>
                <w:noProof/>
                <w:webHidden/>
              </w:rPr>
              <w:tab/>
            </w:r>
            <w:r>
              <w:rPr>
                <w:noProof/>
                <w:webHidden/>
              </w:rPr>
              <w:fldChar w:fldCharType="begin"/>
            </w:r>
            <w:r>
              <w:rPr>
                <w:noProof/>
                <w:webHidden/>
              </w:rPr>
              <w:instrText xml:space="preserve"> PAGEREF _Toc122030721 \h </w:instrText>
            </w:r>
            <w:r>
              <w:rPr>
                <w:noProof/>
                <w:webHidden/>
              </w:rPr>
            </w:r>
            <w:r>
              <w:rPr>
                <w:noProof/>
                <w:webHidden/>
              </w:rPr>
              <w:fldChar w:fldCharType="separate"/>
            </w:r>
            <w:r>
              <w:rPr>
                <w:noProof/>
                <w:webHidden/>
              </w:rPr>
              <w:t>6</w:t>
            </w:r>
            <w:r>
              <w:rPr>
                <w:noProof/>
                <w:webHidden/>
              </w:rPr>
              <w:fldChar w:fldCharType="end"/>
            </w:r>
          </w:hyperlink>
        </w:p>
        <w:p w14:paraId="02E21451" w14:textId="77777777" w:rsidR="00B211DA" w:rsidRDefault="00B211DA">
          <w:pPr>
            <w:pStyle w:val="TOC3"/>
            <w:tabs>
              <w:tab w:val="right" w:leader="dot" w:pos="9350"/>
            </w:tabs>
            <w:rPr>
              <w:noProof/>
            </w:rPr>
          </w:pPr>
          <w:hyperlink w:anchor="_Toc122030722" w:history="1">
            <w:r w:rsidRPr="0006729E">
              <w:rPr>
                <w:rStyle w:val="Hyperlink"/>
                <w:noProof/>
              </w:rPr>
              <w:t>1.3.2 Practical relevance</w:t>
            </w:r>
            <w:r>
              <w:rPr>
                <w:noProof/>
                <w:webHidden/>
              </w:rPr>
              <w:tab/>
            </w:r>
            <w:r>
              <w:rPr>
                <w:noProof/>
                <w:webHidden/>
              </w:rPr>
              <w:fldChar w:fldCharType="begin"/>
            </w:r>
            <w:r>
              <w:rPr>
                <w:noProof/>
                <w:webHidden/>
              </w:rPr>
              <w:instrText xml:space="preserve"> PAGEREF _Toc122030722 \h </w:instrText>
            </w:r>
            <w:r>
              <w:rPr>
                <w:noProof/>
                <w:webHidden/>
              </w:rPr>
            </w:r>
            <w:r>
              <w:rPr>
                <w:noProof/>
                <w:webHidden/>
              </w:rPr>
              <w:fldChar w:fldCharType="separate"/>
            </w:r>
            <w:r>
              <w:rPr>
                <w:noProof/>
                <w:webHidden/>
              </w:rPr>
              <w:t>6</w:t>
            </w:r>
            <w:r>
              <w:rPr>
                <w:noProof/>
                <w:webHidden/>
              </w:rPr>
              <w:fldChar w:fldCharType="end"/>
            </w:r>
          </w:hyperlink>
        </w:p>
        <w:p w14:paraId="363229E3" w14:textId="77777777" w:rsidR="00B211DA" w:rsidRDefault="00B211DA">
          <w:pPr>
            <w:pStyle w:val="TOC2"/>
            <w:tabs>
              <w:tab w:val="right" w:leader="dot" w:pos="9350"/>
            </w:tabs>
            <w:rPr>
              <w:noProof/>
            </w:rPr>
          </w:pPr>
          <w:hyperlink w:anchor="_Toc122030723" w:history="1">
            <w:r w:rsidRPr="0006729E">
              <w:rPr>
                <w:rStyle w:val="Hyperlink"/>
                <w:noProof/>
              </w:rPr>
              <w:t>1.4 Method of research</w:t>
            </w:r>
            <w:r>
              <w:rPr>
                <w:noProof/>
                <w:webHidden/>
              </w:rPr>
              <w:tab/>
            </w:r>
            <w:r>
              <w:rPr>
                <w:noProof/>
                <w:webHidden/>
              </w:rPr>
              <w:fldChar w:fldCharType="begin"/>
            </w:r>
            <w:r>
              <w:rPr>
                <w:noProof/>
                <w:webHidden/>
              </w:rPr>
              <w:instrText xml:space="preserve"> PAGEREF _Toc122030723 \h </w:instrText>
            </w:r>
            <w:r>
              <w:rPr>
                <w:noProof/>
                <w:webHidden/>
              </w:rPr>
            </w:r>
            <w:r>
              <w:rPr>
                <w:noProof/>
                <w:webHidden/>
              </w:rPr>
              <w:fldChar w:fldCharType="separate"/>
            </w:r>
            <w:r>
              <w:rPr>
                <w:noProof/>
                <w:webHidden/>
              </w:rPr>
              <w:t>7</w:t>
            </w:r>
            <w:r>
              <w:rPr>
                <w:noProof/>
                <w:webHidden/>
              </w:rPr>
              <w:fldChar w:fldCharType="end"/>
            </w:r>
          </w:hyperlink>
        </w:p>
        <w:p w14:paraId="3D7DC7BA" w14:textId="77777777" w:rsidR="00B211DA" w:rsidRDefault="00B211DA">
          <w:pPr>
            <w:pStyle w:val="TOC1"/>
            <w:tabs>
              <w:tab w:val="right" w:leader="dot" w:pos="9350"/>
            </w:tabs>
            <w:rPr>
              <w:noProof/>
            </w:rPr>
          </w:pPr>
          <w:hyperlink w:anchor="_Toc122030724" w:history="1">
            <w:r w:rsidRPr="0006729E">
              <w:rPr>
                <w:rStyle w:val="Hyperlink"/>
                <w:noProof/>
              </w:rPr>
              <w:t>2. Literature research</w:t>
            </w:r>
            <w:r>
              <w:rPr>
                <w:noProof/>
                <w:webHidden/>
              </w:rPr>
              <w:tab/>
            </w:r>
            <w:r>
              <w:rPr>
                <w:noProof/>
                <w:webHidden/>
              </w:rPr>
              <w:fldChar w:fldCharType="begin"/>
            </w:r>
            <w:r>
              <w:rPr>
                <w:noProof/>
                <w:webHidden/>
              </w:rPr>
              <w:instrText xml:space="preserve"> PAGEREF _Toc122030724 \h </w:instrText>
            </w:r>
            <w:r>
              <w:rPr>
                <w:noProof/>
                <w:webHidden/>
              </w:rPr>
            </w:r>
            <w:r>
              <w:rPr>
                <w:noProof/>
                <w:webHidden/>
              </w:rPr>
              <w:fldChar w:fldCharType="separate"/>
            </w:r>
            <w:r>
              <w:rPr>
                <w:noProof/>
                <w:webHidden/>
              </w:rPr>
              <w:t>7</w:t>
            </w:r>
            <w:r>
              <w:rPr>
                <w:noProof/>
                <w:webHidden/>
              </w:rPr>
              <w:fldChar w:fldCharType="end"/>
            </w:r>
          </w:hyperlink>
        </w:p>
        <w:p w14:paraId="1D640862" w14:textId="77777777" w:rsidR="00B211DA" w:rsidRDefault="00B211DA">
          <w:pPr>
            <w:pStyle w:val="TOC2"/>
            <w:tabs>
              <w:tab w:val="right" w:leader="dot" w:pos="9350"/>
            </w:tabs>
            <w:rPr>
              <w:noProof/>
            </w:rPr>
          </w:pPr>
          <w:hyperlink w:anchor="_Toc122030725" w:history="1">
            <w:r w:rsidRPr="0006729E">
              <w:rPr>
                <w:rStyle w:val="Hyperlink"/>
                <w:noProof/>
              </w:rPr>
              <w:t>2.1 What is intrapreneurship &amp; intrapreneurial behaviour?</w:t>
            </w:r>
            <w:r>
              <w:rPr>
                <w:noProof/>
                <w:webHidden/>
              </w:rPr>
              <w:tab/>
            </w:r>
            <w:r>
              <w:rPr>
                <w:noProof/>
                <w:webHidden/>
              </w:rPr>
              <w:fldChar w:fldCharType="begin"/>
            </w:r>
            <w:r>
              <w:rPr>
                <w:noProof/>
                <w:webHidden/>
              </w:rPr>
              <w:instrText xml:space="preserve"> PAGEREF _Toc122030725 \h </w:instrText>
            </w:r>
            <w:r>
              <w:rPr>
                <w:noProof/>
                <w:webHidden/>
              </w:rPr>
            </w:r>
            <w:r>
              <w:rPr>
                <w:noProof/>
                <w:webHidden/>
              </w:rPr>
              <w:fldChar w:fldCharType="separate"/>
            </w:r>
            <w:r>
              <w:rPr>
                <w:noProof/>
                <w:webHidden/>
              </w:rPr>
              <w:t>7</w:t>
            </w:r>
            <w:r>
              <w:rPr>
                <w:noProof/>
                <w:webHidden/>
              </w:rPr>
              <w:fldChar w:fldCharType="end"/>
            </w:r>
          </w:hyperlink>
        </w:p>
        <w:p w14:paraId="21A25AF7" w14:textId="77777777" w:rsidR="00B211DA" w:rsidRDefault="00B211DA">
          <w:pPr>
            <w:pStyle w:val="TOC2"/>
            <w:tabs>
              <w:tab w:val="right" w:leader="dot" w:pos="9350"/>
            </w:tabs>
            <w:rPr>
              <w:noProof/>
            </w:rPr>
          </w:pPr>
          <w:hyperlink w:anchor="_Toc122030726" w:history="1">
            <w:r w:rsidRPr="0006729E">
              <w:rPr>
                <w:rStyle w:val="Hyperlink"/>
                <w:noProof/>
              </w:rPr>
              <w:t>2.2 The role of autonomy</w:t>
            </w:r>
            <w:r>
              <w:rPr>
                <w:noProof/>
                <w:webHidden/>
              </w:rPr>
              <w:tab/>
            </w:r>
            <w:r>
              <w:rPr>
                <w:noProof/>
                <w:webHidden/>
              </w:rPr>
              <w:fldChar w:fldCharType="begin"/>
            </w:r>
            <w:r>
              <w:rPr>
                <w:noProof/>
                <w:webHidden/>
              </w:rPr>
              <w:instrText xml:space="preserve"> PAGEREF _Toc122030726 \h </w:instrText>
            </w:r>
            <w:r>
              <w:rPr>
                <w:noProof/>
                <w:webHidden/>
              </w:rPr>
            </w:r>
            <w:r>
              <w:rPr>
                <w:noProof/>
                <w:webHidden/>
              </w:rPr>
              <w:fldChar w:fldCharType="separate"/>
            </w:r>
            <w:r>
              <w:rPr>
                <w:noProof/>
                <w:webHidden/>
              </w:rPr>
              <w:t>8</w:t>
            </w:r>
            <w:r>
              <w:rPr>
                <w:noProof/>
                <w:webHidden/>
              </w:rPr>
              <w:fldChar w:fldCharType="end"/>
            </w:r>
          </w:hyperlink>
        </w:p>
        <w:p w14:paraId="6C887485" w14:textId="77777777" w:rsidR="00B211DA" w:rsidRDefault="00B211DA">
          <w:pPr>
            <w:pStyle w:val="TOC3"/>
            <w:tabs>
              <w:tab w:val="right" w:leader="dot" w:pos="9350"/>
            </w:tabs>
            <w:rPr>
              <w:noProof/>
            </w:rPr>
          </w:pPr>
          <w:hyperlink w:anchor="_Toc122030727" w:history="1">
            <w:r w:rsidRPr="0006729E">
              <w:rPr>
                <w:rStyle w:val="Hyperlink"/>
                <w:noProof/>
              </w:rPr>
              <w:t>2.2.1 The affective-consistency view</w:t>
            </w:r>
            <w:r>
              <w:rPr>
                <w:noProof/>
                <w:webHidden/>
              </w:rPr>
              <w:tab/>
            </w:r>
            <w:r>
              <w:rPr>
                <w:noProof/>
                <w:webHidden/>
              </w:rPr>
              <w:fldChar w:fldCharType="begin"/>
            </w:r>
            <w:r>
              <w:rPr>
                <w:noProof/>
                <w:webHidden/>
              </w:rPr>
              <w:instrText xml:space="preserve"> PAGEREF _Toc122030727 \h </w:instrText>
            </w:r>
            <w:r>
              <w:rPr>
                <w:noProof/>
                <w:webHidden/>
              </w:rPr>
            </w:r>
            <w:r>
              <w:rPr>
                <w:noProof/>
                <w:webHidden/>
              </w:rPr>
              <w:fldChar w:fldCharType="separate"/>
            </w:r>
            <w:r>
              <w:rPr>
                <w:noProof/>
                <w:webHidden/>
              </w:rPr>
              <w:t>10</w:t>
            </w:r>
            <w:r>
              <w:rPr>
                <w:noProof/>
                <w:webHidden/>
              </w:rPr>
              <w:fldChar w:fldCharType="end"/>
            </w:r>
          </w:hyperlink>
        </w:p>
        <w:p w14:paraId="49EAF466" w14:textId="77777777" w:rsidR="00B211DA" w:rsidRDefault="00B211DA">
          <w:pPr>
            <w:pStyle w:val="TOC3"/>
            <w:tabs>
              <w:tab w:val="right" w:leader="dot" w:pos="9350"/>
            </w:tabs>
            <w:rPr>
              <w:noProof/>
            </w:rPr>
          </w:pPr>
          <w:hyperlink w:anchor="_Toc122030728" w:history="1">
            <w:r w:rsidRPr="0006729E">
              <w:rPr>
                <w:rStyle w:val="Hyperlink"/>
                <w:noProof/>
              </w:rPr>
              <w:t>2.2.2 The self-regulatory view</w:t>
            </w:r>
            <w:r>
              <w:rPr>
                <w:noProof/>
                <w:webHidden/>
              </w:rPr>
              <w:tab/>
            </w:r>
            <w:r>
              <w:rPr>
                <w:noProof/>
                <w:webHidden/>
              </w:rPr>
              <w:fldChar w:fldCharType="begin"/>
            </w:r>
            <w:r>
              <w:rPr>
                <w:noProof/>
                <w:webHidden/>
              </w:rPr>
              <w:instrText xml:space="preserve"> PAGEREF _Toc122030728 \h </w:instrText>
            </w:r>
            <w:r>
              <w:rPr>
                <w:noProof/>
                <w:webHidden/>
              </w:rPr>
            </w:r>
            <w:r>
              <w:rPr>
                <w:noProof/>
                <w:webHidden/>
              </w:rPr>
              <w:fldChar w:fldCharType="separate"/>
            </w:r>
            <w:r>
              <w:rPr>
                <w:noProof/>
                <w:webHidden/>
              </w:rPr>
              <w:t>11</w:t>
            </w:r>
            <w:r>
              <w:rPr>
                <w:noProof/>
                <w:webHidden/>
              </w:rPr>
              <w:fldChar w:fldCharType="end"/>
            </w:r>
          </w:hyperlink>
        </w:p>
        <w:p w14:paraId="55AEBE0D" w14:textId="77777777" w:rsidR="00B211DA" w:rsidRDefault="00B211DA">
          <w:pPr>
            <w:pStyle w:val="TOC2"/>
            <w:tabs>
              <w:tab w:val="right" w:leader="dot" w:pos="9350"/>
            </w:tabs>
            <w:rPr>
              <w:noProof/>
            </w:rPr>
          </w:pPr>
          <w:hyperlink w:anchor="_Toc122030729" w:history="1">
            <w:r w:rsidRPr="0006729E">
              <w:rPr>
                <w:rStyle w:val="Hyperlink"/>
                <w:noProof/>
              </w:rPr>
              <w:t>2.3 Psychological safety</w:t>
            </w:r>
            <w:r>
              <w:rPr>
                <w:noProof/>
                <w:webHidden/>
              </w:rPr>
              <w:tab/>
            </w:r>
            <w:r>
              <w:rPr>
                <w:noProof/>
                <w:webHidden/>
              </w:rPr>
              <w:fldChar w:fldCharType="begin"/>
            </w:r>
            <w:r>
              <w:rPr>
                <w:noProof/>
                <w:webHidden/>
              </w:rPr>
              <w:instrText xml:space="preserve"> PAGEREF _Toc122030729 \h </w:instrText>
            </w:r>
            <w:r>
              <w:rPr>
                <w:noProof/>
                <w:webHidden/>
              </w:rPr>
            </w:r>
            <w:r>
              <w:rPr>
                <w:noProof/>
                <w:webHidden/>
              </w:rPr>
              <w:fldChar w:fldCharType="separate"/>
            </w:r>
            <w:r>
              <w:rPr>
                <w:noProof/>
                <w:webHidden/>
              </w:rPr>
              <w:t>13</w:t>
            </w:r>
            <w:r>
              <w:rPr>
                <w:noProof/>
                <w:webHidden/>
              </w:rPr>
              <w:fldChar w:fldCharType="end"/>
            </w:r>
          </w:hyperlink>
        </w:p>
        <w:p w14:paraId="2BBDE020" w14:textId="77777777" w:rsidR="00B211DA" w:rsidRDefault="00B211DA">
          <w:pPr>
            <w:pStyle w:val="TOC2"/>
            <w:tabs>
              <w:tab w:val="right" w:leader="dot" w:pos="9350"/>
            </w:tabs>
            <w:rPr>
              <w:noProof/>
            </w:rPr>
          </w:pPr>
          <w:hyperlink w:anchor="_Toc122030730" w:history="1">
            <w:r w:rsidRPr="0006729E">
              <w:rPr>
                <w:rStyle w:val="Hyperlink"/>
                <w:noProof/>
              </w:rPr>
              <w:t>2.4 Psychological safety impacting intrapreneurial behaviour</w:t>
            </w:r>
            <w:r>
              <w:rPr>
                <w:noProof/>
                <w:webHidden/>
              </w:rPr>
              <w:tab/>
            </w:r>
            <w:r>
              <w:rPr>
                <w:noProof/>
                <w:webHidden/>
              </w:rPr>
              <w:fldChar w:fldCharType="begin"/>
            </w:r>
            <w:r>
              <w:rPr>
                <w:noProof/>
                <w:webHidden/>
              </w:rPr>
              <w:instrText xml:space="preserve"> PAGEREF _Toc122030730 \h </w:instrText>
            </w:r>
            <w:r>
              <w:rPr>
                <w:noProof/>
                <w:webHidden/>
              </w:rPr>
            </w:r>
            <w:r>
              <w:rPr>
                <w:noProof/>
                <w:webHidden/>
              </w:rPr>
              <w:fldChar w:fldCharType="separate"/>
            </w:r>
            <w:r>
              <w:rPr>
                <w:noProof/>
                <w:webHidden/>
              </w:rPr>
              <w:t>13</w:t>
            </w:r>
            <w:r>
              <w:rPr>
                <w:noProof/>
                <w:webHidden/>
              </w:rPr>
              <w:fldChar w:fldCharType="end"/>
            </w:r>
          </w:hyperlink>
        </w:p>
        <w:p w14:paraId="2E4BF894" w14:textId="77777777" w:rsidR="00B211DA" w:rsidRDefault="00B211DA">
          <w:pPr>
            <w:pStyle w:val="TOC2"/>
            <w:tabs>
              <w:tab w:val="right" w:leader="dot" w:pos="9350"/>
            </w:tabs>
            <w:rPr>
              <w:noProof/>
            </w:rPr>
          </w:pPr>
          <w:hyperlink w:anchor="_Toc122030731" w:history="1">
            <w:r w:rsidRPr="0006729E">
              <w:rPr>
                <w:rStyle w:val="Hyperlink"/>
                <w:noProof/>
              </w:rPr>
              <w:t>2.5 Psychological safety influences the effects of autonomy misfit</w:t>
            </w:r>
            <w:r>
              <w:rPr>
                <w:noProof/>
                <w:webHidden/>
              </w:rPr>
              <w:tab/>
            </w:r>
            <w:r>
              <w:rPr>
                <w:noProof/>
                <w:webHidden/>
              </w:rPr>
              <w:fldChar w:fldCharType="begin"/>
            </w:r>
            <w:r>
              <w:rPr>
                <w:noProof/>
                <w:webHidden/>
              </w:rPr>
              <w:instrText xml:space="preserve"> PAGEREF _Toc122030731 \h </w:instrText>
            </w:r>
            <w:r>
              <w:rPr>
                <w:noProof/>
                <w:webHidden/>
              </w:rPr>
            </w:r>
            <w:r>
              <w:rPr>
                <w:noProof/>
                <w:webHidden/>
              </w:rPr>
              <w:fldChar w:fldCharType="separate"/>
            </w:r>
            <w:r>
              <w:rPr>
                <w:noProof/>
                <w:webHidden/>
              </w:rPr>
              <w:t>14</w:t>
            </w:r>
            <w:r>
              <w:rPr>
                <w:noProof/>
                <w:webHidden/>
              </w:rPr>
              <w:fldChar w:fldCharType="end"/>
            </w:r>
          </w:hyperlink>
        </w:p>
        <w:p w14:paraId="338C0E26" w14:textId="77777777" w:rsidR="00B211DA" w:rsidRDefault="00B211DA">
          <w:pPr>
            <w:pStyle w:val="TOC3"/>
            <w:tabs>
              <w:tab w:val="right" w:leader="dot" w:pos="9350"/>
            </w:tabs>
            <w:rPr>
              <w:noProof/>
            </w:rPr>
          </w:pPr>
          <w:hyperlink w:anchor="_Toc122030732" w:history="1">
            <w:r w:rsidRPr="0006729E">
              <w:rPr>
                <w:rStyle w:val="Hyperlink"/>
                <w:noProof/>
              </w:rPr>
              <w:t>2.5.1 Psychological safety in the affective-consistency view</w:t>
            </w:r>
            <w:r>
              <w:rPr>
                <w:noProof/>
                <w:webHidden/>
              </w:rPr>
              <w:tab/>
            </w:r>
            <w:r>
              <w:rPr>
                <w:noProof/>
                <w:webHidden/>
              </w:rPr>
              <w:fldChar w:fldCharType="begin"/>
            </w:r>
            <w:r>
              <w:rPr>
                <w:noProof/>
                <w:webHidden/>
              </w:rPr>
              <w:instrText xml:space="preserve"> PAGEREF _Toc122030732 \h </w:instrText>
            </w:r>
            <w:r>
              <w:rPr>
                <w:noProof/>
                <w:webHidden/>
              </w:rPr>
            </w:r>
            <w:r>
              <w:rPr>
                <w:noProof/>
                <w:webHidden/>
              </w:rPr>
              <w:fldChar w:fldCharType="separate"/>
            </w:r>
            <w:r>
              <w:rPr>
                <w:noProof/>
                <w:webHidden/>
              </w:rPr>
              <w:t>14</w:t>
            </w:r>
            <w:r>
              <w:rPr>
                <w:noProof/>
                <w:webHidden/>
              </w:rPr>
              <w:fldChar w:fldCharType="end"/>
            </w:r>
          </w:hyperlink>
        </w:p>
        <w:p w14:paraId="1F078D1E" w14:textId="77777777" w:rsidR="00B211DA" w:rsidRDefault="00B211DA">
          <w:pPr>
            <w:pStyle w:val="TOC3"/>
            <w:tabs>
              <w:tab w:val="right" w:leader="dot" w:pos="9350"/>
            </w:tabs>
            <w:rPr>
              <w:noProof/>
            </w:rPr>
          </w:pPr>
          <w:hyperlink w:anchor="_Toc122030733" w:history="1">
            <w:r w:rsidRPr="0006729E">
              <w:rPr>
                <w:rStyle w:val="Hyperlink"/>
                <w:noProof/>
              </w:rPr>
              <w:t>2.5.2 Psychological safety in the self-regulatory view</w:t>
            </w:r>
            <w:r>
              <w:rPr>
                <w:noProof/>
                <w:webHidden/>
              </w:rPr>
              <w:tab/>
            </w:r>
            <w:r>
              <w:rPr>
                <w:noProof/>
                <w:webHidden/>
              </w:rPr>
              <w:fldChar w:fldCharType="begin"/>
            </w:r>
            <w:r>
              <w:rPr>
                <w:noProof/>
                <w:webHidden/>
              </w:rPr>
              <w:instrText xml:space="preserve"> PAGEREF _Toc122030733 \h </w:instrText>
            </w:r>
            <w:r>
              <w:rPr>
                <w:noProof/>
                <w:webHidden/>
              </w:rPr>
            </w:r>
            <w:r>
              <w:rPr>
                <w:noProof/>
                <w:webHidden/>
              </w:rPr>
              <w:fldChar w:fldCharType="separate"/>
            </w:r>
            <w:r>
              <w:rPr>
                <w:noProof/>
                <w:webHidden/>
              </w:rPr>
              <w:t>15</w:t>
            </w:r>
            <w:r>
              <w:rPr>
                <w:noProof/>
                <w:webHidden/>
              </w:rPr>
              <w:fldChar w:fldCharType="end"/>
            </w:r>
          </w:hyperlink>
        </w:p>
        <w:p w14:paraId="7FBD6C0C" w14:textId="77777777" w:rsidR="00B211DA" w:rsidRDefault="00B211DA">
          <w:pPr>
            <w:pStyle w:val="TOC1"/>
            <w:tabs>
              <w:tab w:val="right" w:leader="dot" w:pos="9350"/>
            </w:tabs>
            <w:rPr>
              <w:noProof/>
            </w:rPr>
          </w:pPr>
          <w:hyperlink w:anchor="_Toc122030734" w:history="1">
            <w:r w:rsidRPr="0006729E">
              <w:rPr>
                <w:rStyle w:val="Hyperlink"/>
                <w:noProof/>
              </w:rPr>
              <w:t>3. Methodology</w:t>
            </w:r>
            <w:r>
              <w:rPr>
                <w:noProof/>
                <w:webHidden/>
              </w:rPr>
              <w:tab/>
            </w:r>
            <w:r>
              <w:rPr>
                <w:noProof/>
                <w:webHidden/>
              </w:rPr>
              <w:fldChar w:fldCharType="begin"/>
            </w:r>
            <w:r>
              <w:rPr>
                <w:noProof/>
                <w:webHidden/>
              </w:rPr>
              <w:instrText xml:space="preserve"> PAGEREF _Toc122030734 \h </w:instrText>
            </w:r>
            <w:r>
              <w:rPr>
                <w:noProof/>
                <w:webHidden/>
              </w:rPr>
            </w:r>
            <w:r>
              <w:rPr>
                <w:noProof/>
                <w:webHidden/>
              </w:rPr>
              <w:fldChar w:fldCharType="separate"/>
            </w:r>
            <w:r>
              <w:rPr>
                <w:noProof/>
                <w:webHidden/>
              </w:rPr>
              <w:t>16</w:t>
            </w:r>
            <w:r>
              <w:rPr>
                <w:noProof/>
                <w:webHidden/>
              </w:rPr>
              <w:fldChar w:fldCharType="end"/>
            </w:r>
          </w:hyperlink>
        </w:p>
        <w:p w14:paraId="20E6F263" w14:textId="77777777" w:rsidR="00B211DA" w:rsidRDefault="00B211DA">
          <w:pPr>
            <w:pStyle w:val="TOC2"/>
            <w:tabs>
              <w:tab w:val="right" w:leader="dot" w:pos="9350"/>
            </w:tabs>
            <w:rPr>
              <w:noProof/>
            </w:rPr>
          </w:pPr>
          <w:hyperlink w:anchor="_Toc122030735" w:history="1">
            <w:r w:rsidRPr="0006729E">
              <w:rPr>
                <w:rStyle w:val="Hyperlink"/>
                <w:noProof/>
              </w:rPr>
              <w:t>3.1 Research design</w:t>
            </w:r>
            <w:r>
              <w:rPr>
                <w:noProof/>
                <w:webHidden/>
              </w:rPr>
              <w:tab/>
            </w:r>
            <w:r>
              <w:rPr>
                <w:noProof/>
                <w:webHidden/>
              </w:rPr>
              <w:fldChar w:fldCharType="begin"/>
            </w:r>
            <w:r>
              <w:rPr>
                <w:noProof/>
                <w:webHidden/>
              </w:rPr>
              <w:instrText xml:space="preserve"> PAGEREF _Toc122030735 \h </w:instrText>
            </w:r>
            <w:r>
              <w:rPr>
                <w:noProof/>
                <w:webHidden/>
              </w:rPr>
            </w:r>
            <w:r>
              <w:rPr>
                <w:noProof/>
                <w:webHidden/>
              </w:rPr>
              <w:fldChar w:fldCharType="separate"/>
            </w:r>
            <w:r>
              <w:rPr>
                <w:noProof/>
                <w:webHidden/>
              </w:rPr>
              <w:t>16</w:t>
            </w:r>
            <w:r>
              <w:rPr>
                <w:noProof/>
                <w:webHidden/>
              </w:rPr>
              <w:fldChar w:fldCharType="end"/>
            </w:r>
          </w:hyperlink>
        </w:p>
        <w:p w14:paraId="56ED7457" w14:textId="77777777" w:rsidR="00B211DA" w:rsidRDefault="00B211DA">
          <w:pPr>
            <w:pStyle w:val="TOC2"/>
            <w:tabs>
              <w:tab w:val="right" w:leader="dot" w:pos="9350"/>
            </w:tabs>
            <w:rPr>
              <w:noProof/>
            </w:rPr>
          </w:pPr>
          <w:hyperlink w:anchor="_Toc122030736" w:history="1">
            <w:r w:rsidRPr="0006729E">
              <w:rPr>
                <w:rStyle w:val="Hyperlink"/>
                <w:noProof/>
              </w:rPr>
              <w:t>3.2 Data collection</w:t>
            </w:r>
            <w:r>
              <w:rPr>
                <w:noProof/>
                <w:webHidden/>
              </w:rPr>
              <w:tab/>
            </w:r>
            <w:r>
              <w:rPr>
                <w:noProof/>
                <w:webHidden/>
              </w:rPr>
              <w:fldChar w:fldCharType="begin"/>
            </w:r>
            <w:r>
              <w:rPr>
                <w:noProof/>
                <w:webHidden/>
              </w:rPr>
              <w:instrText xml:space="preserve"> PAGEREF _Toc122030736 \h </w:instrText>
            </w:r>
            <w:r>
              <w:rPr>
                <w:noProof/>
                <w:webHidden/>
              </w:rPr>
            </w:r>
            <w:r>
              <w:rPr>
                <w:noProof/>
                <w:webHidden/>
              </w:rPr>
              <w:fldChar w:fldCharType="separate"/>
            </w:r>
            <w:r>
              <w:rPr>
                <w:noProof/>
                <w:webHidden/>
              </w:rPr>
              <w:t>17</w:t>
            </w:r>
            <w:r>
              <w:rPr>
                <w:noProof/>
                <w:webHidden/>
              </w:rPr>
              <w:fldChar w:fldCharType="end"/>
            </w:r>
          </w:hyperlink>
        </w:p>
        <w:p w14:paraId="6E95062B" w14:textId="77777777" w:rsidR="00B211DA" w:rsidRDefault="00B211DA">
          <w:pPr>
            <w:pStyle w:val="TOC3"/>
            <w:tabs>
              <w:tab w:val="right" w:leader="dot" w:pos="9350"/>
            </w:tabs>
            <w:rPr>
              <w:noProof/>
            </w:rPr>
          </w:pPr>
          <w:hyperlink w:anchor="_Toc122030737" w:history="1">
            <w:r w:rsidRPr="0006729E">
              <w:rPr>
                <w:rStyle w:val="Hyperlink"/>
                <w:noProof/>
              </w:rPr>
              <w:t>3.2.1 Sample recruitment &amp; size</w:t>
            </w:r>
            <w:r>
              <w:rPr>
                <w:noProof/>
                <w:webHidden/>
              </w:rPr>
              <w:tab/>
            </w:r>
            <w:r>
              <w:rPr>
                <w:noProof/>
                <w:webHidden/>
              </w:rPr>
              <w:fldChar w:fldCharType="begin"/>
            </w:r>
            <w:r>
              <w:rPr>
                <w:noProof/>
                <w:webHidden/>
              </w:rPr>
              <w:instrText xml:space="preserve"> PAGEREF _Toc122030737 \h </w:instrText>
            </w:r>
            <w:r>
              <w:rPr>
                <w:noProof/>
                <w:webHidden/>
              </w:rPr>
            </w:r>
            <w:r>
              <w:rPr>
                <w:noProof/>
                <w:webHidden/>
              </w:rPr>
              <w:fldChar w:fldCharType="separate"/>
            </w:r>
            <w:r>
              <w:rPr>
                <w:noProof/>
                <w:webHidden/>
              </w:rPr>
              <w:t>17</w:t>
            </w:r>
            <w:r>
              <w:rPr>
                <w:noProof/>
                <w:webHidden/>
              </w:rPr>
              <w:fldChar w:fldCharType="end"/>
            </w:r>
          </w:hyperlink>
        </w:p>
        <w:p w14:paraId="661A9448" w14:textId="77777777" w:rsidR="00B211DA" w:rsidRDefault="00B211DA">
          <w:pPr>
            <w:pStyle w:val="TOC3"/>
            <w:tabs>
              <w:tab w:val="right" w:leader="dot" w:pos="9350"/>
            </w:tabs>
            <w:rPr>
              <w:noProof/>
            </w:rPr>
          </w:pPr>
          <w:hyperlink w:anchor="_Toc122030738" w:history="1">
            <w:r w:rsidRPr="0006729E">
              <w:rPr>
                <w:rStyle w:val="Hyperlink"/>
                <w:noProof/>
              </w:rPr>
              <w:t>3.2.2 Collection procedure</w:t>
            </w:r>
            <w:r>
              <w:rPr>
                <w:noProof/>
                <w:webHidden/>
              </w:rPr>
              <w:tab/>
            </w:r>
            <w:r>
              <w:rPr>
                <w:noProof/>
                <w:webHidden/>
              </w:rPr>
              <w:fldChar w:fldCharType="begin"/>
            </w:r>
            <w:r>
              <w:rPr>
                <w:noProof/>
                <w:webHidden/>
              </w:rPr>
              <w:instrText xml:space="preserve"> PAGEREF _Toc122030738 \h </w:instrText>
            </w:r>
            <w:r>
              <w:rPr>
                <w:noProof/>
                <w:webHidden/>
              </w:rPr>
            </w:r>
            <w:r>
              <w:rPr>
                <w:noProof/>
                <w:webHidden/>
              </w:rPr>
              <w:fldChar w:fldCharType="separate"/>
            </w:r>
            <w:r>
              <w:rPr>
                <w:noProof/>
                <w:webHidden/>
              </w:rPr>
              <w:t>18</w:t>
            </w:r>
            <w:r>
              <w:rPr>
                <w:noProof/>
                <w:webHidden/>
              </w:rPr>
              <w:fldChar w:fldCharType="end"/>
            </w:r>
          </w:hyperlink>
        </w:p>
        <w:p w14:paraId="24B78751" w14:textId="77777777" w:rsidR="00B211DA" w:rsidRDefault="00B211DA">
          <w:pPr>
            <w:pStyle w:val="TOC2"/>
            <w:tabs>
              <w:tab w:val="right" w:leader="dot" w:pos="9350"/>
            </w:tabs>
            <w:rPr>
              <w:noProof/>
            </w:rPr>
          </w:pPr>
          <w:hyperlink w:anchor="_Toc122030739" w:history="1">
            <w:r w:rsidRPr="0006729E">
              <w:rPr>
                <w:rStyle w:val="Hyperlink"/>
                <w:noProof/>
              </w:rPr>
              <w:t>3.3 Measures</w:t>
            </w:r>
            <w:r>
              <w:rPr>
                <w:noProof/>
                <w:webHidden/>
              </w:rPr>
              <w:tab/>
            </w:r>
            <w:r>
              <w:rPr>
                <w:noProof/>
                <w:webHidden/>
              </w:rPr>
              <w:fldChar w:fldCharType="begin"/>
            </w:r>
            <w:r>
              <w:rPr>
                <w:noProof/>
                <w:webHidden/>
              </w:rPr>
              <w:instrText xml:space="preserve"> PAGEREF _Toc122030739 \h </w:instrText>
            </w:r>
            <w:r>
              <w:rPr>
                <w:noProof/>
                <w:webHidden/>
              </w:rPr>
            </w:r>
            <w:r>
              <w:rPr>
                <w:noProof/>
                <w:webHidden/>
              </w:rPr>
              <w:fldChar w:fldCharType="separate"/>
            </w:r>
            <w:r>
              <w:rPr>
                <w:noProof/>
                <w:webHidden/>
              </w:rPr>
              <w:t>18</w:t>
            </w:r>
            <w:r>
              <w:rPr>
                <w:noProof/>
                <w:webHidden/>
              </w:rPr>
              <w:fldChar w:fldCharType="end"/>
            </w:r>
          </w:hyperlink>
        </w:p>
        <w:p w14:paraId="2FCEFD40" w14:textId="77777777" w:rsidR="00B211DA" w:rsidRDefault="00B211DA">
          <w:pPr>
            <w:pStyle w:val="TOC3"/>
            <w:tabs>
              <w:tab w:val="right" w:leader="dot" w:pos="9350"/>
            </w:tabs>
            <w:rPr>
              <w:noProof/>
            </w:rPr>
          </w:pPr>
          <w:hyperlink w:anchor="_Toc122030740" w:history="1">
            <w:r w:rsidRPr="0006729E">
              <w:rPr>
                <w:rStyle w:val="Hyperlink"/>
                <w:noProof/>
              </w:rPr>
              <w:t>3.3.1 Intrapreneurial behaviour</w:t>
            </w:r>
            <w:r>
              <w:rPr>
                <w:noProof/>
                <w:webHidden/>
              </w:rPr>
              <w:tab/>
            </w:r>
            <w:r>
              <w:rPr>
                <w:noProof/>
                <w:webHidden/>
              </w:rPr>
              <w:fldChar w:fldCharType="begin"/>
            </w:r>
            <w:r>
              <w:rPr>
                <w:noProof/>
                <w:webHidden/>
              </w:rPr>
              <w:instrText xml:space="preserve"> PAGEREF _Toc122030740 \h </w:instrText>
            </w:r>
            <w:r>
              <w:rPr>
                <w:noProof/>
                <w:webHidden/>
              </w:rPr>
            </w:r>
            <w:r>
              <w:rPr>
                <w:noProof/>
                <w:webHidden/>
              </w:rPr>
              <w:fldChar w:fldCharType="separate"/>
            </w:r>
            <w:r>
              <w:rPr>
                <w:noProof/>
                <w:webHidden/>
              </w:rPr>
              <w:t>19</w:t>
            </w:r>
            <w:r>
              <w:rPr>
                <w:noProof/>
                <w:webHidden/>
              </w:rPr>
              <w:fldChar w:fldCharType="end"/>
            </w:r>
          </w:hyperlink>
        </w:p>
        <w:p w14:paraId="32D65D63" w14:textId="77777777" w:rsidR="00B211DA" w:rsidRDefault="00B211DA">
          <w:pPr>
            <w:pStyle w:val="TOC3"/>
            <w:tabs>
              <w:tab w:val="right" w:leader="dot" w:pos="9350"/>
            </w:tabs>
            <w:rPr>
              <w:noProof/>
            </w:rPr>
          </w:pPr>
          <w:hyperlink w:anchor="_Toc122030741" w:history="1">
            <w:r w:rsidRPr="0006729E">
              <w:rPr>
                <w:rStyle w:val="Hyperlink"/>
                <w:noProof/>
              </w:rPr>
              <w:t>3.3.2 Autonomy (mis)fit</w:t>
            </w:r>
            <w:r>
              <w:rPr>
                <w:noProof/>
                <w:webHidden/>
              </w:rPr>
              <w:tab/>
            </w:r>
            <w:r>
              <w:rPr>
                <w:noProof/>
                <w:webHidden/>
              </w:rPr>
              <w:fldChar w:fldCharType="begin"/>
            </w:r>
            <w:r>
              <w:rPr>
                <w:noProof/>
                <w:webHidden/>
              </w:rPr>
              <w:instrText xml:space="preserve"> PAGEREF _Toc122030741 \h </w:instrText>
            </w:r>
            <w:r>
              <w:rPr>
                <w:noProof/>
                <w:webHidden/>
              </w:rPr>
            </w:r>
            <w:r>
              <w:rPr>
                <w:noProof/>
                <w:webHidden/>
              </w:rPr>
              <w:fldChar w:fldCharType="separate"/>
            </w:r>
            <w:r>
              <w:rPr>
                <w:noProof/>
                <w:webHidden/>
              </w:rPr>
              <w:t>19</w:t>
            </w:r>
            <w:r>
              <w:rPr>
                <w:noProof/>
                <w:webHidden/>
              </w:rPr>
              <w:fldChar w:fldCharType="end"/>
            </w:r>
          </w:hyperlink>
        </w:p>
        <w:p w14:paraId="64C97056" w14:textId="77777777" w:rsidR="00B211DA" w:rsidRDefault="00B211DA">
          <w:pPr>
            <w:pStyle w:val="TOC3"/>
            <w:tabs>
              <w:tab w:val="right" w:leader="dot" w:pos="9350"/>
            </w:tabs>
            <w:rPr>
              <w:noProof/>
            </w:rPr>
          </w:pPr>
          <w:hyperlink w:anchor="_Toc122030742" w:history="1">
            <w:r w:rsidRPr="0006729E">
              <w:rPr>
                <w:rStyle w:val="Hyperlink"/>
                <w:noProof/>
              </w:rPr>
              <w:t>3.3.3 Psychological safety</w:t>
            </w:r>
            <w:r>
              <w:rPr>
                <w:noProof/>
                <w:webHidden/>
              </w:rPr>
              <w:tab/>
            </w:r>
            <w:r>
              <w:rPr>
                <w:noProof/>
                <w:webHidden/>
              </w:rPr>
              <w:fldChar w:fldCharType="begin"/>
            </w:r>
            <w:r>
              <w:rPr>
                <w:noProof/>
                <w:webHidden/>
              </w:rPr>
              <w:instrText xml:space="preserve"> PAGEREF _Toc122030742 \h </w:instrText>
            </w:r>
            <w:r>
              <w:rPr>
                <w:noProof/>
                <w:webHidden/>
              </w:rPr>
            </w:r>
            <w:r>
              <w:rPr>
                <w:noProof/>
                <w:webHidden/>
              </w:rPr>
              <w:fldChar w:fldCharType="separate"/>
            </w:r>
            <w:r>
              <w:rPr>
                <w:noProof/>
                <w:webHidden/>
              </w:rPr>
              <w:t>19</w:t>
            </w:r>
            <w:r>
              <w:rPr>
                <w:noProof/>
                <w:webHidden/>
              </w:rPr>
              <w:fldChar w:fldCharType="end"/>
            </w:r>
          </w:hyperlink>
        </w:p>
        <w:p w14:paraId="1EE77720" w14:textId="77777777" w:rsidR="00B211DA" w:rsidRDefault="00B211DA">
          <w:pPr>
            <w:pStyle w:val="TOC3"/>
            <w:tabs>
              <w:tab w:val="right" w:leader="dot" w:pos="9350"/>
            </w:tabs>
            <w:rPr>
              <w:noProof/>
            </w:rPr>
          </w:pPr>
          <w:hyperlink w:anchor="_Toc122030743" w:history="1">
            <w:r w:rsidRPr="0006729E">
              <w:rPr>
                <w:rStyle w:val="Hyperlink"/>
                <w:noProof/>
              </w:rPr>
              <w:t>3.3.4 Control variables</w:t>
            </w:r>
            <w:r>
              <w:rPr>
                <w:noProof/>
                <w:webHidden/>
              </w:rPr>
              <w:tab/>
            </w:r>
            <w:r>
              <w:rPr>
                <w:noProof/>
                <w:webHidden/>
              </w:rPr>
              <w:fldChar w:fldCharType="begin"/>
            </w:r>
            <w:r>
              <w:rPr>
                <w:noProof/>
                <w:webHidden/>
              </w:rPr>
              <w:instrText xml:space="preserve"> PAGEREF _Toc122030743 \h </w:instrText>
            </w:r>
            <w:r>
              <w:rPr>
                <w:noProof/>
                <w:webHidden/>
              </w:rPr>
            </w:r>
            <w:r>
              <w:rPr>
                <w:noProof/>
                <w:webHidden/>
              </w:rPr>
              <w:fldChar w:fldCharType="separate"/>
            </w:r>
            <w:r>
              <w:rPr>
                <w:noProof/>
                <w:webHidden/>
              </w:rPr>
              <w:t>20</w:t>
            </w:r>
            <w:r>
              <w:rPr>
                <w:noProof/>
                <w:webHidden/>
              </w:rPr>
              <w:fldChar w:fldCharType="end"/>
            </w:r>
          </w:hyperlink>
        </w:p>
        <w:p w14:paraId="30D1BEF9" w14:textId="77777777" w:rsidR="00B211DA" w:rsidRDefault="00B211DA">
          <w:pPr>
            <w:pStyle w:val="TOC2"/>
            <w:tabs>
              <w:tab w:val="right" w:leader="dot" w:pos="9350"/>
            </w:tabs>
            <w:rPr>
              <w:noProof/>
            </w:rPr>
          </w:pPr>
          <w:hyperlink w:anchor="_Toc122030744" w:history="1">
            <w:r w:rsidRPr="0006729E">
              <w:rPr>
                <w:rStyle w:val="Hyperlink"/>
                <w:noProof/>
              </w:rPr>
              <w:t>3.4 Data analysis</w:t>
            </w:r>
            <w:r>
              <w:rPr>
                <w:noProof/>
                <w:webHidden/>
              </w:rPr>
              <w:tab/>
            </w:r>
            <w:r>
              <w:rPr>
                <w:noProof/>
                <w:webHidden/>
              </w:rPr>
              <w:fldChar w:fldCharType="begin"/>
            </w:r>
            <w:r>
              <w:rPr>
                <w:noProof/>
                <w:webHidden/>
              </w:rPr>
              <w:instrText xml:space="preserve"> PAGEREF _Toc122030744 \h </w:instrText>
            </w:r>
            <w:r>
              <w:rPr>
                <w:noProof/>
                <w:webHidden/>
              </w:rPr>
            </w:r>
            <w:r>
              <w:rPr>
                <w:noProof/>
                <w:webHidden/>
              </w:rPr>
              <w:fldChar w:fldCharType="separate"/>
            </w:r>
            <w:r>
              <w:rPr>
                <w:noProof/>
                <w:webHidden/>
              </w:rPr>
              <w:t>20</w:t>
            </w:r>
            <w:r>
              <w:rPr>
                <w:noProof/>
                <w:webHidden/>
              </w:rPr>
              <w:fldChar w:fldCharType="end"/>
            </w:r>
          </w:hyperlink>
        </w:p>
        <w:p w14:paraId="799820B5" w14:textId="77777777" w:rsidR="00B211DA" w:rsidRDefault="00B211DA">
          <w:pPr>
            <w:pStyle w:val="TOC3"/>
            <w:tabs>
              <w:tab w:val="right" w:leader="dot" w:pos="9350"/>
            </w:tabs>
            <w:rPr>
              <w:noProof/>
            </w:rPr>
          </w:pPr>
          <w:hyperlink w:anchor="_Toc122030745" w:history="1">
            <w:r w:rsidRPr="0006729E">
              <w:rPr>
                <w:rStyle w:val="Hyperlink"/>
                <w:noProof/>
              </w:rPr>
              <w:t>3.4.1 Dataset preparation</w:t>
            </w:r>
            <w:r>
              <w:rPr>
                <w:noProof/>
                <w:webHidden/>
              </w:rPr>
              <w:tab/>
            </w:r>
            <w:r>
              <w:rPr>
                <w:noProof/>
                <w:webHidden/>
              </w:rPr>
              <w:fldChar w:fldCharType="begin"/>
            </w:r>
            <w:r>
              <w:rPr>
                <w:noProof/>
                <w:webHidden/>
              </w:rPr>
              <w:instrText xml:space="preserve"> PAGEREF _Toc122030745 \h </w:instrText>
            </w:r>
            <w:r>
              <w:rPr>
                <w:noProof/>
                <w:webHidden/>
              </w:rPr>
            </w:r>
            <w:r>
              <w:rPr>
                <w:noProof/>
                <w:webHidden/>
              </w:rPr>
              <w:fldChar w:fldCharType="separate"/>
            </w:r>
            <w:r>
              <w:rPr>
                <w:noProof/>
                <w:webHidden/>
              </w:rPr>
              <w:t>21</w:t>
            </w:r>
            <w:r>
              <w:rPr>
                <w:noProof/>
                <w:webHidden/>
              </w:rPr>
              <w:fldChar w:fldCharType="end"/>
            </w:r>
          </w:hyperlink>
        </w:p>
        <w:p w14:paraId="5C2BC02E" w14:textId="77777777" w:rsidR="00B211DA" w:rsidRDefault="00B211DA">
          <w:pPr>
            <w:pStyle w:val="TOC3"/>
            <w:tabs>
              <w:tab w:val="right" w:leader="dot" w:pos="9350"/>
            </w:tabs>
            <w:rPr>
              <w:noProof/>
            </w:rPr>
          </w:pPr>
          <w:hyperlink w:anchor="_Toc122030746" w:history="1">
            <w:r w:rsidRPr="0006729E">
              <w:rPr>
                <w:rStyle w:val="Hyperlink"/>
                <w:noProof/>
              </w:rPr>
              <w:t>3.4.2 Characteristics of the survey participants</w:t>
            </w:r>
            <w:r>
              <w:rPr>
                <w:noProof/>
                <w:webHidden/>
              </w:rPr>
              <w:tab/>
            </w:r>
            <w:r>
              <w:rPr>
                <w:noProof/>
                <w:webHidden/>
              </w:rPr>
              <w:fldChar w:fldCharType="begin"/>
            </w:r>
            <w:r>
              <w:rPr>
                <w:noProof/>
                <w:webHidden/>
              </w:rPr>
              <w:instrText xml:space="preserve"> PAGEREF _Toc122030746 \h </w:instrText>
            </w:r>
            <w:r>
              <w:rPr>
                <w:noProof/>
                <w:webHidden/>
              </w:rPr>
            </w:r>
            <w:r>
              <w:rPr>
                <w:noProof/>
                <w:webHidden/>
              </w:rPr>
              <w:fldChar w:fldCharType="separate"/>
            </w:r>
            <w:r>
              <w:rPr>
                <w:noProof/>
                <w:webHidden/>
              </w:rPr>
              <w:t>21</w:t>
            </w:r>
            <w:r>
              <w:rPr>
                <w:noProof/>
                <w:webHidden/>
              </w:rPr>
              <w:fldChar w:fldCharType="end"/>
            </w:r>
          </w:hyperlink>
        </w:p>
        <w:p w14:paraId="15788B71" w14:textId="77777777" w:rsidR="00B211DA" w:rsidRDefault="00B211DA">
          <w:pPr>
            <w:pStyle w:val="TOC2"/>
            <w:tabs>
              <w:tab w:val="right" w:leader="dot" w:pos="9350"/>
            </w:tabs>
            <w:rPr>
              <w:noProof/>
            </w:rPr>
          </w:pPr>
          <w:hyperlink w:anchor="_Toc122030747" w:history="1">
            <w:r w:rsidRPr="0006729E">
              <w:rPr>
                <w:rStyle w:val="Hyperlink"/>
                <w:noProof/>
              </w:rPr>
              <w:t>3.5 Methodological issues</w:t>
            </w:r>
            <w:r>
              <w:rPr>
                <w:noProof/>
                <w:webHidden/>
              </w:rPr>
              <w:tab/>
            </w:r>
            <w:r>
              <w:rPr>
                <w:noProof/>
                <w:webHidden/>
              </w:rPr>
              <w:fldChar w:fldCharType="begin"/>
            </w:r>
            <w:r>
              <w:rPr>
                <w:noProof/>
                <w:webHidden/>
              </w:rPr>
              <w:instrText xml:space="preserve"> PAGEREF _Toc122030747 \h </w:instrText>
            </w:r>
            <w:r>
              <w:rPr>
                <w:noProof/>
                <w:webHidden/>
              </w:rPr>
            </w:r>
            <w:r>
              <w:rPr>
                <w:noProof/>
                <w:webHidden/>
              </w:rPr>
              <w:fldChar w:fldCharType="separate"/>
            </w:r>
            <w:r>
              <w:rPr>
                <w:noProof/>
                <w:webHidden/>
              </w:rPr>
              <w:t>22</w:t>
            </w:r>
            <w:r>
              <w:rPr>
                <w:noProof/>
                <w:webHidden/>
              </w:rPr>
              <w:fldChar w:fldCharType="end"/>
            </w:r>
          </w:hyperlink>
        </w:p>
        <w:p w14:paraId="4C8A22A6" w14:textId="77777777" w:rsidR="00B211DA" w:rsidRDefault="00B211DA">
          <w:pPr>
            <w:pStyle w:val="TOC1"/>
            <w:tabs>
              <w:tab w:val="right" w:leader="dot" w:pos="9350"/>
            </w:tabs>
            <w:rPr>
              <w:noProof/>
            </w:rPr>
          </w:pPr>
          <w:hyperlink w:anchor="_Toc122030748" w:history="1">
            <w:r w:rsidRPr="0006729E">
              <w:rPr>
                <w:rStyle w:val="Hyperlink"/>
                <w:noProof/>
              </w:rPr>
              <w:t>4. Results</w:t>
            </w:r>
            <w:r>
              <w:rPr>
                <w:noProof/>
                <w:webHidden/>
              </w:rPr>
              <w:tab/>
            </w:r>
            <w:r>
              <w:rPr>
                <w:noProof/>
                <w:webHidden/>
              </w:rPr>
              <w:fldChar w:fldCharType="begin"/>
            </w:r>
            <w:r>
              <w:rPr>
                <w:noProof/>
                <w:webHidden/>
              </w:rPr>
              <w:instrText xml:space="preserve"> PAGEREF _Toc122030748 \h </w:instrText>
            </w:r>
            <w:r>
              <w:rPr>
                <w:noProof/>
                <w:webHidden/>
              </w:rPr>
            </w:r>
            <w:r>
              <w:rPr>
                <w:noProof/>
                <w:webHidden/>
              </w:rPr>
              <w:fldChar w:fldCharType="separate"/>
            </w:r>
            <w:r>
              <w:rPr>
                <w:noProof/>
                <w:webHidden/>
              </w:rPr>
              <w:t>22</w:t>
            </w:r>
            <w:r>
              <w:rPr>
                <w:noProof/>
                <w:webHidden/>
              </w:rPr>
              <w:fldChar w:fldCharType="end"/>
            </w:r>
          </w:hyperlink>
        </w:p>
        <w:p w14:paraId="6A6027C6" w14:textId="77777777" w:rsidR="00B211DA" w:rsidRDefault="00B211DA">
          <w:pPr>
            <w:pStyle w:val="TOC2"/>
            <w:tabs>
              <w:tab w:val="right" w:leader="dot" w:pos="9350"/>
            </w:tabs>
            <w:rPr>
              <w:noProof/>
            </w:rPr>
          </w:pPr>
          <w:hyperlink w:anchor="_Toc122030749" w:history="1">
            <w:r w:rsidRPr="0006729E">
              <w:rPr>
                <w:rStyle w:val="Hyperlink"/>
                <w:noProof/>
              </w:rPr>
              <w:t>4.1 Descriptive analysis</w:t>
            </w:r>
            <w:r>
              <w:rPr>
                <w:noProof/>
                <w:webHidden/>
              </w:rPr>
              <w:tab/>
            </w:r>
            <w:r>
              <w:rPr>
                <w:noProof/>
                <w:webHidden/>
              </w:rPr>
              <w:fldChar w:fldCharType="begin"/>
            </w:r>
            <w:r>
              <w:rPr>
                <w:noProof/>
                <w:webHidden/>
              </w:rPr>
              <w:instrText xml:space="preserve"> PAGEREF _Toc122030749 \h </w:instrText>
            </w:r>
            <w:r>
              <w:rPr>
                <w:noProof/>
                <w:webHidden/>
              </w:rPr>
            </w:r>
            <w:r>
              <w:rPr>
                <w:noProof/>
                <w:webHidden/>
              </w:rPr>
              <w:fldChar w:fldCharType="separate"/>
            </w:r>
            <w:r>
              <w:rPr>
                <w:noProof/>
                <w:webHidden/>
              </w:rPr>
              <w:t>22</w:t>
            </w:r>
            <w:r>
              <w:rPr>
                <w:noProof/>
                <w:webHidden/>
              </w:rPr>
              <w:fldChar w:fldCharType="end"/>
            </w:r>
          </w:hyperlink>
        </w:p>
        <w:p w14:paraId="05E2BF3C" w14:textId="77777777" w:rsidR="00B211DA" w:rsidRDefault="00B211DA">
          <w:pPr>
            <w:pStyle w:val="TOC2"/>
            <w:tabs>
              <w:tab w:val="right" w:leader="dot" w:pos="9350"/>
            </w:tabs>
            <w:rPr>
              <w:noProof/>
            </w:rPr>
          </w:pPr>
          <w:hyperlink w:anchor="_Toc122030750" w:history="1">
            <w:r w:rsidRPr="0006729E">
              <w:rPr>
                <w:rStyle w:val="Hyperlink"/>
                <w:noProof/>
              </w:rPr>
              <w:t>4.2 Polynomial regression analysis &amp; response-surface modelling</w:t>
            </w:r>
            <w:r>
              <w:rPr>
                <w:noProof/>
                <w:webHidden/>
              </w:rPr>
              <w:tab/>
            </w:r>
            <w:r>
              <w:rPr>
                <w:noProof/>
                <w:webHidden/>
              </w:rPr>
              <w:fldChar w:fldCharType="begin"/>
            </w:r>
            <w:r>
              <w:rPr>
                <w:noProof/>
                <w:webHidden/>
              </w:rPr>
              <w:instrText xml:space="preserve"> PAGEREF _Toc122030750 \h </w:instrText>
            </w:r>
            <w:r>
              <w:rPr>
                <w:noProof/>
                <w:webHidden/>
              </w:rPr>
            </w:r>
            <w:r>
              <w:rPr>
                <w:noProof/>
                <w:webHidden/>
              </w:rPr>
              <w:fldChar w:fldCharType="separate"/>
            </w:r>
            <w:r>
              <w:rPr>
                <w:noProof/>
                <w:webHidden/>
              </w:rPr>
              <w:t>23</w:t>
            </w:r>
            <w:r>
              <w:rPr>
                <w:noProof/>
                <w:webHidden/>
              </w:rPr>
              <w:fldChar w:fldCharType="end"/>
            </w:r>
          </w:hyperlink>
        </w:p>
        <w:p w14:paraId="66CF0E47" w14:textId="77777777" w:rsidR="00B211DA" w:rsidRDefault="00B211DA">
          <w:pPr>
            <w:pStyle w:val="TOC2"/>
            <w:tabs>
              <w:tab w:val="right" w:leader="dot" w:pos="9350"/>
            </w:tabs>
            <w:rPr>
              <w:noProof/>
            </w:rPr>
          </w:pPr>
          <w:hyperlink w:anchor="_Toc122030751" w:history="1">
            <w:r w:rsidRPr="0006729E">
              <w:rPr>
                <w:rStyle w:val="Hyperlink"/>
                <w:noProof/>
              </w:rPr>
              <w:t>4.3 Hypothesis testing</w:t>
            </w:r>
            <w:r>
              <w:rPr>
                <w:noProof/>
                <w:webHidden/>
              </w:rPr>
              <w:tab/>
            </w:r>
            <w:r>
              <w:rPr>
                <w:noProof/>
                <w:webHidden/>
              </w:rPr>
              <w:fldChar w:fldCharType="begin"/>
            </w:r>
            <w:r>
              <w:rPr>
                <w:noProof/>
                <w:webHidden/>
              </w:rPr>
              <w:instrText xml:space="preserve"> PAGEREF _Toc122030751 \h </w:instrText>
            </w:r>
            <w:r>
              <w:rPr>
                <w:noProof/>
                <w:webHidden/>
              </w:rPr>
            </w:r>
            <w:r>
              <w:rPr>
                <w:noProof/>
                <w:webHidden/>
              </w:rPr>
              <w:fldChar w:fldCharType="separate"/>
            </w:r>
            <w:r>
              <w:rPr>
                <w:noProof/>
                <w:webHidden/>
              </w:rPr>
              <w:t>26</w:t>
            </w:r>
            <w:r>
              <w:rPr>
                <w:noProof/>
                <w:webHidden/>
              </w:rPr>
              <w:fldChar w:fldCharType="end"/>
            </w:r>
          </w:hyperlink>
        </w:p>
        <w:p w14:paraId="30639D73" w14:textId="77777777" w:rsidR="00B211DA" w:rsidRDefault="00B211DA">
          <w:pPr>
            <w:pStyle w:val="TOC2"/>
            <w:tabs>
              <w:tab w:val="right" w:leader="dot" w:pos="9350"/>
            </w:tabs>
            <w:rPr>
              <w:noProof/>
            </w:rPr>
          </w:pPr>
          <w:hyperlink w:anchor="_Toc122030752" w:history="1">
            <w:r w:rsidRPr="0006729E">
              <w:rPr>
                <w:rStyle w:val="Hyperlink"/>
                <w:noProof/>
              </w:rPr>
              <w:t>4.4 Supplementary analysis</w:t>
            </w:r>
            <w:r>
              <w:rPr>
                <w:noProof/>
                <w:webHidden/>
              </w:rPr>
              <w:tab/>
            </w:r>
            <w:r>
              <w:rPr>
                <w:noProof/>
                <w:webHidden/>
              </w:rPr>
              <w:fldChar w:fldCharType="begin"/>
            </w:r>
            <w:r>
              <w:rPr>
                <w:noProof/>
                <w:webHidden/>
              </w:rPr>
              <w:instrText xml:space="preserve"> PAGEREF _Toc122030752 \h </w:instrText>
            </w:r>
            <w:r>
              <w:rPr>
                <w:noProof/>
                <w:webHidden/>
              </w:rPr>
            </w:r>
            <w:r>
              <w:rPr>
                <w:noProof/>
                <w:webHidden/>
              </w:rPr>
              <w:fldChar w:fldCharType="separate"/>
            </w:r>
            <w:r>
              <w:rPr>
                <w:noProof/>
                <w:webHidden/>
              </w:rPr>
              <w:t>27</w:t>
            </w:r>
            <w:r>
              <w:rPr>
                <w:noProof/>
                <w:webHidden/>
              </w:rPr>
              <w:fldChar w:fldCharType="end"/>
            </w:r>
          </w:hyperlink>
        </w:p>
        <w:p w14:paraId="789C0E94" w14:textId="77777777" w:rsidR="00B211DA" w:rsidRDefault="00B211DA">
          <w:pPr>
            <w:pStyle w:val="TOC1"/>
            <w:tabs>
              <w:tab w:val="right" w:leader="dot" w:pos="9350"/>
            </w:tabs>
            <w:rPr>
              <w:noProof/>
            </w:rPr>
          </w:pPr>
          <w:hyperlink w:anchor="_Toc122030753" w:history="1">
            <w:r w:rsidRPr="0006729E">
              <w:rPr>
                <w:rStyle w:val="Hyperlink"/>
                <w:noProof/>
              </w:rPr>
              <w:t>5 Conclusion, discussion, and recommendations</w:t>
            </w:r>
            <w:r>
              <w:rPr>
                <w:noProof/>
                <w:webHidden/>
              </w:rPr>
              <w:tab/>
            </w:r>
            <w:r>
              <w:rPr>
                <w:noProof/>
                <w:webHidden/>
              </w:rPr>
              <w:fldChar w:fldCharType="begin"/>
            </w:r>
            <w:r>
              <w:rPr>
                <w:noProof/>
                <w:webHidden/>
              </w:rPr>
              <w:instrText xml:space="preserve"> PAGEREF _Toc122030753 \h </w:instrText>
            </w:r>
            <w:r>
              <w:rPr>
                <w:noProof/>
                <w:webHidden/>
              </w:rPr>
            </w:r>
            <w:r>
              <w:rPr>
                <w:noProof/>
                <w:webHidden/>
              </w:rPr>
              <w:fldChar w:fldCharType="separate"/>
            </w:r>
            <w:r>
              <w:rPr>
                <w:noProof/>
                <w:webHidden/>
              </w:rPr>
              <w:t>28</w:t>
            </w:r>
            <w:r>
              <w:rPr>
                <w:noProof/>
                <w:webHidden/>
              </w:rPr>
              <w:fldChar w:fldCharType="end"/>
            </w:r>
          </w:hyperlink>
        </w:p>
        <w:p w14:paraId="15E840C0" w14:textId="77777777" w:rsidR="00B211DA" w:rsidRDefault="00B211DA">
          <w:pPr>
            <w:pStyle w:val="TOC2"/>
            <w:tabs>
              <w:tab w:val="right" w:leader="dot" w:pos="9350"/>
            </w:tabs>
            <w:rPr>
              <w:noProof/>
            </w:rPr>
          </w:pPr>
          <w:hyperlink w:anchor="_Toc122030754" w:history="1">
            <w:r w:rsidRPr="0006729E">
              <w:rPr>
                <w:rStyle w:val="Hyperlink"/>
                <w:noProof/>
              </w:rPr>
              <w:t>5.1 Conclusion</w:t>
            </w:r>
            <w:r>
              <w:rPr>
                <w:noProof/>
                <w:webHidden/>
              </w:rPr>
              <w:tab/>
            </w:r>
            <w:r>
              <w:rPr>
                <w:noProof/>
                <w:webHidden/>
              </w:rPr>
              <w:fldChar w:fldCharType="begin"/>
            </w:r>
            <w:r>
              <w:rPr>
                <w:noProof/>
                <w:webHidden/>
              </w:rPr>
              <w:instrText xml:space="preserve"> PAGEREF _Toc122030754 \h </w:instrText>
            </w:r>
            <w:r>
              <w:rPr>
                <w:noProof/>
                <w:webHidden/>
              </w:rPr>
            </w:r>
            <w:r>
              <w:rPr>
                <w:noProof/>
                <w:webHidden/>
              </w:rPr>
              <w:fldChar w:fldCharType="separate"/>
            </w:r>
            <w:r>
              <w:rPr>
                <w:noProof/>
                <w:webHidden/>
              </w:rPr>
              <w:t>28</w:t>
            </w:r>
            <w:r>
              <w:rPr>
                <w:noProof/>
                <w:webHidden/>
              </w:rPr>
              <w:fldChar w:fldCharType="end"/>
            </w:r>
          </w:hyperlink>
        </w:p>
        <w:p w14:paraId="0A08B855" w14:textId="77777777" w:rsidR="00B211DA" w:rsidRDefault="00B211DA">
          <w:pPr>
            <w:pStyle w:val="TOC2"/>
            <w:tabs>
              <w:tab w:val="right" w:leader="dot" w:pos="9350"/>
            </w:tabs>
            <w:rPr>
              <w:noProof/>
            </w:rPr>
          </w:pPr>
          <w:hyperlink w:anchor="_Toc122030755" w:history="1">
            <w:r w:rsidRPr="0006729E">
              <w:rPr>
                <w:rStyle w:val="Hyperlink"/>
                <w:noProof/>
              </w:rPr>
              <w:t>5.2 Discussion</w:t>
            </w:r>
            <w:r>
              <w:rPr>
                <w:noProof/>
                <w:webHidden/>
              </w:rPr>
              <w:tab/>
            </w:r>
            <w:r>
              <w:rPr>
                <w:noProof/>
                <w:webHidden/>
              </w:rPr>
              <w:fldChar w:fldCharType="begin"/>
            </w:r>
            <w:r>
              <w:rPr>
                <w:noProof/>
                <w:webHidden/>
              </w:rPr>
              <w:instrText xml:space="preserve"> PAGEREF _Toc122030755 \h </w:instrText>
            </w:r>
            <w:r>
              <w:rPr>
                <w:noProof/>
                <w:webHidden/>
              </w:rPr>
            </w:r>
            <w:r>
              <w:rPr>
                <w:noProof/>
                <w:webHidden/>
              </w:rPr>
              <w:fldChar w:fldCharType="separate"/>
            </w:r>
            <w:r>
              <w:rPr>
                <w:noProof/>
                <w:webHidden/>
              </w:rPr>
              <w:t>29</w:t>
            </w:r>
            <w:r>
              <w:rPr>
                <w:noProof/>
                <w:webHidden/>
              </w:rPr>
              <w:fldChar w:fldCharType="end"/>
            </w:r>
          </w:hyperlink>
        </w:p>
        <w:p w14:paraId="0B94394C" w14:textId="77777777" w:rsidR="00B211DA" w:rsidRDefault="00B211DA">
          <w:pPr>
            <w:pStyle w:val="TOC3"/>
            <w:tabs>
              <w:tab w:val="right" w:leader="dot" w:pos="9350"/>
            </w:tabs>
            <w:rPr>
              <w:noProof/>
            </w:rPr>
          </w:pPr>
          <w:hyperlink w:anchor="_Toc122030756" w:history="1">
            <w:r w:rsidRPr="0006729E">
              <w:rPr>
                <w:rStyle w:val="Hyperlink"/>
                <w:noProof/>
              </w:rPr>
              <w:t>5.2.1 The role of autonomy on intrapreneurial behaviour</w:t>
            </w:r>
            <w:r>
              <w:rPr>
                <w:noProof/>
                <w:webHidden/>
              </w:rPr>
              <w:tab/>
            </w:r>
            <w:r>
              <w:rPr>
                <w:noProof/>
                <w:webHidden/>
              </w:rPr>
              <w:fldChar w:fldCharType="begin"/>
            </w:r>
            <w:r>
              <w:rPr>
                <w:noProof/>
                <w:webHidden/>
              </w:rPr>
              <w:instrText xml:space="preserve"> PAGEREF _Toc122030756 \h </w:instrText>
            </w:r>
            <w:r>
              <w:rPr>
                <w:noProof/>
                <w:webHidden/>
              </w:rPr>
            </w:r>
            <w:r>
              <w:rPr>
                <w:noProof/>
                <w:webHidden/>
              </w:rPr>
              <w:fldChar w:fldCharType="separate"/>
            </w:r>
            <w:r>
              <w:rPr>
                <w:noProof/>
                <w:webHidden/>
              </w:rPr>
              <w:t>29</w:t>
            </w:r>
            <w:r>
              <w:rPr>
                <w:noProof/>
                <w:webHidden/>
              </w:rPr>
              <w:fldChar w:fldCharType="end"/>
            </w:r>
          </w:hyperlink>
        </w:p>
        <w:p w14:paraId="5066D6B9" w14:textId="77777777" w:rsidR="00B211DA" w:rsidRDefault="00B211DA">
          <w:pPr>
            <w:pStyle w:val="TOC3"/>
            <w:tabs>
              <w:tab w:val="right" w:leader="dot" w:pos="9350"/>
            </w:tabs>
            <w:rPr>
              <w:noProof/>
            </w:rPr>
          </w:pPr>
          <w:hyperlink w:anchor="_Toc122030757" w:history="1">
            <w:r w:rsidRPr="0006729E">
              <w:rPr>
                <w:rStyle w:val="Hyperlink"/>
                <w:noProof/>
              </w:rPr>
              <w:t>5.2.2 Psychological safety as moderator</w:t>
            </w:r>
            <w:r>
              <w:rPr>
                <w:noProof/>
                <w:webHidden/>
              </w:rPr>
              <w:tab/>
            </w:r>
            <w:r>
              <w:rPr>
                <w:noProof/>
                <w:webHidden/>
              </w:rPr>
              <w:fldChar w:fldCharType="begin"/>
            </w:r>
            <w:r>
              <w:rPr>
                <w:noProof/>
                <w:webHidden/>
              </w:rPr>
              <w:instrText xml:space="preserve"> PAGEREF _Toc122030757 \h </w:instrText>
            </w:r>
            <w:r>
              <w:rPr>
                <w:noProof/>
                <w:webHidden/>
              </w:rPr>
            </w:r>
            <w:r>
              <w:rPr>
                <w:noProof/>
                <w:webHidden/>
              </w:rPr>
              <w:fldChar w:fldCharType="separate"/>
            </w:r>
            <w:r>
              <w:rPr>
                <w:noProof/>
                <w:webHidden/>
              </w:rPr>
              <w:t>30</w:t>
            </w:r>
            <w:r>
              <w:rPr>
                <w:noProof/>
                <w:webHidden/>
              </w:rPr>
              <w:fldChar w:fldCharType="end"/>
            </w:r>
          </w:hyperlink>
        </w:p>
        <w:p w14:paraId="1448674E" w14:textId="77777777" w:rsidR="00B211DA" w:rsidRDefault="00B211DA">
          <w:pPr>
            <w:pStyle w:val="TOC3"/>
            <w:tabs>
              <w:tab w:val="right" w:leader="dot" w:pos="9350"/>
            </w:tabs>
            <w:rPr>
              <w:noProof/>
            </w:rPr>
          </w:pPr>
          <w:hyperlink w:anchor="_Toc122030758" w:history="1">
            <w:r w:rsidRPr="0006729E">
              <w:rPr>
                <w:rStyle w:val="Hyperlink"/>
                <w:noProof/>
              </w:rPr>
              <w:t>5.2.3 Affective-consistent or self-regulation; who is the winner?</w:t>
            </w:r>
            <w:r>
              <w:rPr>
                <w:noProof/>
                <w:webHidden/>
              </w:rPr>
              <w:tab/>
            </w:r>
            <w:r>
              <w:rPr>
                <w:noProof/>
                <w:webHidden/>
              </w:rPr>
              <w:fldChar w:fldCharType="begin"/>
            </w:r>
            <w:r>
              <w:rPr>
                <w:noProof/>
                <w:webHidden/>
              </w:rPr>
              <w:instrText xml:space="preserve"> PAGEREF _Toc122030758 \h </w:instrText>
            </w:r>
            <w:r>
              <w:rPr>
                <w:noProof/>
                <w:webHidden/>
              </w:rPr>
            </w:r>
            <w:r>
              <w:rPr>
                <w:noProof/>
                <w:webHidden/>
              </w:rPr>
              <w:fldChar w:fldCharType="separate"/>
            </w:r>
            <w:r>
              <w:rPr>
                <w:noProof/>
                <w:webHidden/>
              </w:rPr>
              <w:t>31</w:t>
            </w:r>
            <w:r>
              <w:rPr>
                <w:noProof/>
                <w:webHidden/>
              </w:rPr>
              <w:fldChar w:fldCharType="end"/>
            </w:r>
          </w:hyperlink>
        </w:p>
        <w:p w14:paraId="38AFC49F" w14:textId="77777777" w:rsidR="00B211DA" w:rsidRDefault="00B211DA">
          <w:pPr>
            <w:pStyle w:val="TOC2"/>
            <w:tabs>
              <w:tab w:val="right" w:leader="dot" w:pos="9350"/>
            </w:tabs>
            <w:rPr>
              <w:noProof/>
            </w:rPr>
          </w:pPr>
          <w:hyperlink w:anchor="_Toc122030759" w:history="1">
            <w:r w:rsidRPr="0006729E">
              <w:rPr>
                <w:rStyle w:val="Hyperlink"/>
                <w:noProof/>
              </w:rPr>
              <w:t>5.3 Recommendations for practice</w:t>
            </w:r>
            <w:r>
              <w:rPr>
                <w:noProof/>
                <w:webHidden/>
              </w:rPr>
              <w:tab/>
            </w:r>
            <w:r>
              <w:rPr>
                <w:noProof/>
                <w:webHidden/>
              </w:rPr>
              <w:fldChar w:fldCharType="begin"/>
            </w:r>
            <w:r>
              <w:rPr>
                <w:noProof/>
                <w:webHidden/>
              </w:rPr>
              <w:instrText xml:space="preserve"> PAGEREF _Toc122030759 \h </w:instrText>
            </w:r>
            <w:r>
              <w:rPr>
                <w:noProof/>
                <w:webHidden/>
              </w:rPr>
            </w:r>
            <w:r>
              <w:rPr>
                <w:noProof/>
                <w:webHidden/>
              </w:rPr>
              <w:fldChar w:fldCharType="separate"/>
            </w:r>
            <w:r>
              <w:rPr>
                <w:noProof/>
                <w:webHidden/>
              </w:rPr>
              <w:t>32</w:t>
            </w:r>
            <w:r>
              <w:rPr>
                <w:noProof/>
                <w:webHidden/>
              </w:rPr>
              <w:fldChar w:fldCharType="end"/>
            </w:r>
          </w:hyperlink>
        </w:p>
        <w:p w14:paraId="4A16E4D3" w14:textId="77777777" w:rsidR="00B211DA" w:rsidRDefault="00B211DA">
          <w:pPr>
            <w:pStyle w:val="TOC2"/>
            <w:tabs>
              <w:tab w:val="right" w:leader="dot" w:pos="9350"/>
            </w:tabs>
            <w:rPr>
              <w:noProof/>
            </w:rPr>
          </w:pPr>
          <w:hyperlink w:anchor="_Toc122030760" w:history="1">
            <w:r w:rsidRPr="0006729E">
              <w:rPr>
                <w:rStyle w:val="Hyperlink"/>
                <w:noProof/>
              </w:rPr>
              <w:t>5.4 Recommendations for research</w:t>
            </w:r>
            <w:r>
              <w:rPr>
                <w:noProof/>
                <w:webHidden/>
              </w:rPr>
              <w:tab/>
            </w:r>
            <w:r>
              <w:rPr>
                <w:noProof/>
                <w:webHidden/>
              </w:rPr>
              <w:fldChar w:fldCharType="begin"/>
            </w:r>
            <w:r>
              <w:rPr>
                <w:noProof/>
                <w:webHidden/>
              </w:rPr>
              <w:instrText xml:space="preserve"> PAGEREF _Toc122030760 \h </w:instrText>
            </w:r>
            <w:r>
              <w:rPr>
                <w:noProof/>
                <w:webHidden/>
              </w:rPr>
            </w:r>
            <w:r>
              <w:rPr>
                <w:noProof/>
                <w:webHidden/>
              </w:rPr>
              <w:fldChar w:fldCharType="separate"/>
            </w:r>
            <w:r>
              <w:rPr>
                <w:noProof/>
                <w:webHidden/>
              </w:rPr>
              <w:t>32</w:t>
            </w:r>
            <w:r>
              <w:rPr>
                <w:noProof/>
                <w:webHidden/>
              </w:rPr>
              <w:fldChar w:fldCharType="end"/>
            </w:r>
          </w:hyperlink>
        </w:p>
        <w:p w14:paraId="6B553D0E" w14:textId="77777777" w:rsidR="00B211DA" w:rsidRDefault="00B211DA">
          <w:pPr>
            <w:pStyle w:val="TOC1"/>
            <w:tabs>
              <w:tab w:val="right" w:leader="dot" w:pos="9350"/>
            </w:tabs>
            <w:rPr>
              <w:noProof/>
            </w:rPr>
          </w:pPr>
          <w:hyperlink w:anchor="_Toc122030761" w:history="1">
            <w:r w:rsidRPr="0006729E">
              <w:rPr>
                <w:rStyle w:val="Hyperlink"/>
                <w:noProof/>
              </w:rPr>
              <w:t>Bibliography</w:t>
            </w:r>
            <w:r>
              <w:rPr>
                <w:noProof/>
                <w:webHidden/>
              </w:rPr>
              <w:tab/>
            </w:r>
            <w:r>
              <w:rPr>
                <w:noProof/>
                <w:webHidden/>
              </w:rPr>
              <w:fldChar w:fldCharType="begin"/>
            </w:r>
            <w:r>
              <w:rPr>
                <w:noProof/>
                <w:webHidden/>
              </w:rPr>
              <w:instrText xml:space="preserve"> PAGEREF _Toc122030761 \h </w:instrText>
            </w:r>
            <w:r>
              <w:rPr>
                <w:noProof/>
                <w:webHidden/>
              </w:rPr>
            </w:r>
            <w:r>
              <w:rPr>
                <w:noProof/>
                <w:webHidden/>
              </w:rPr>
              <w:fldChar w:fldCharType="separate"/>
            </w:r>
            <w:r>
              <w:rPr>
                <w:noProof/>
                <w:webHidden/>
              </w:rPr>
              <w:t>33</w:t>
            </w:r>
            <w:r>
              <w:rPr>
                <w:noProof/>
                <w:webHidden/>
              </w:rPr>
              <w:fldChar w:fldCharType="end"/>
            </w:r>
          </w:hyperlink>
        </w:p>
        <w:p w14:paraId="40142A16" w14:textId="77777777" w:rsidR="00B211DA" w:rsidRDefault="00B211DA">
          <w:pPr>
            <w:pStyle w:val="TOC1"/>
            <w:tabs>
              <w:tab w:val="right" w:leader="dot" w:pos="9350"/>
            </w:tabs>
            <w:rPr>
              <w:noProof/>
            </w:rPr>
          </w:pPr>
          <w:hyperlink w:anchor="_Toc122030762" w:history="1">
            <w:r w:rsidRPr="0006729E">
              <w:rPr>
                <w:rStyle w:val="Hyperlink"/>
                <w:noProof/>
              </w:rPr>
              <w:t>Appendix A: Measures</w:t>
            </w:r>
            <w:r>
              <w:rPr>
                <w:noProof/>
                <w:webHidden/>
              </w:rPr>
              <w:tab/>
            </w:r>
            <w:r>
              <w:rPr>
                <w:noProof/>
                <w:webHidden/>
              </w:rPr>
              <w:fldChar w:fldCharType="begin"/>
            </w:r>
            <w:r>
              <w:rPr>
                <w:noProof/>
                <w:webHidden/>
              </w:rPr>
              <w:instrText xml:space="preserve"> PAGEREF _Toc122030762 \h </w:instrText>
            </w:r>
            <w:r>
              <w:rPr>
                <w:noProof/>
                <w:webHidden/>
              </w:rPr>
            </w:r>
            <w:r>
              <w:rPr>
                <w:noProof/>
                <w:webHidden/>
              </w:rPr>
              <w:fldChar w:fldCharType="separate"/>
            </w:r>
            <w:r>
              <w:rPr>
                <w:noProof/>
                <w:webHidden/>
              </w:rPr>
              <w:t>38</w:t>
            </w:r>
            <w:r>
              <w:rPr>
                <w:noProof/>
                <w:webHidden/>
              </w:rPr>
              <w:fldChar w:fldCharType="end"/>
            </w:r>
          </w:hyperlink>
        </w:p>
        <w:p w14:paraId="609F6C53" w14:textId="77777777" w:rsidR="00B211DA" w:rsidRDefault="00B211DA">
          <w:pPr>
            <w:pStyle w:val="TOC2"/>
            <w:tabs>
              <w:tab w:val="right" w:leader="dot" w:pos="9350"/>
            </w:tabs>
            <w:rPr>
              <w:noProof/>
            </w:rPr>
          </w:pPr>
          <w:hyperlink w:anchor="_Toc122030763" w:history="1">
            <w:r w:rsidRPr="0006729E">
              <w:rPr>
                <w:rStyle w:val="Hyperlink"/>
                <w:noProof/>
              </w:rPr>
              <w:t>Intrapreneurial behaviour (De Jong et al, 2011)</w:t>
            </w:r>
            <w:r>
              <w:rPr>
                <w:noProof/>
                <w:webHidden/>
              </w:rPr>
              <w:tab/>
            </w:r>
            <w:r>
              <w:rPr>
                <w:noProof/>
                <w:webHidden/>
              </w:rPr>
              <w:fldChar w:fldCharType="begin"/>
            </w:r>
            <w:r>
              <w:rPr>
                <w:noProof/>
                <w:webHidden/>
              </w:rPr>
              <w:instrText xml:space="preserve"> PAGEREF _Toc122030763 \h </w:instrText>
            </w:r>
            <w:r>
              <w:rPr>
                <w:noProof/>
                <w:webHidden/>
              </w:rPr>
            </w:r>
            <w:r>
              <w:rPr>
                <w:noProof/>
                <w:webHidden/>
              </w:rPr>
              <w:fldChar w:fldCharType="separate"/>
            </w:r>
            <w:r>
              <w:rPr>
                <w:noProof/>
                <w:webHidden/>
              </w:rPr>
              <w:t>38</w:t>
            </w:r>
            <w:r>
              <w:rPr>
                <w:noProof/>
                <w:webHidden/>
              </w:rPr>
              <w:fldChar w:fldCharType="end"/>
            </w:r>
          </w:hyperlink>
        </w:p>
        <w:p w14:paraId="5F0BA04A" w14:textId="77777777" w:rsidR="00B211DA" w:rsidRDefault="00B211DA">
          <w:pPr>
            <w:pStyle w:val="TOC2"/>
            <w:tabs>
              <w:tab w:val="right" w:leader="dot" w:pos="9350"/>
            </w:tabs>
            <w:rPr>
              <w:noProof/>
            </w:rPr>
          </w:pPr>
          <w:hyperlink w:anchor="_Toc122030764" w:history="1">
            <w:r w:rsidRPr="0006729E">
              <w:rPr>
                <w:rStyle w:val="Hyperlink"/>
                <w:noProof/>
              </w:rPr>
              <w:t>Daily intrapreneurial behaviour</w:t>
            </w:r>
            <w:r>
              <w:rPr>
                <w:noProof/>
                <w:webHidden/>
              </w:rPr>
              <w:tab/>
            </w:r>
            <w:r>
              <w:rPr>
                <w:noProof/>
                <w:webHidden/>
              </w:rPr>
              <w:fldChar w:fldCharType="begin"/>
            </w:r>
            <w:r>
              <w:rPr>
                <w:noProof/>
                <w:webHidden/>
              </w:rPr>
              <w:instrText xml:space="preserve"> PAGEREF _Toc122030764 \h </w:instrText>
            </w:r>
            <w:r>
              <w:rPr>
                <w:noProof/>
                <w:webHidden/>
              </w:rPr>
            </w:r>
            <w:r>
              <w:rPr>
                <w:noProof/>
                <w:webHidden/>
              </w:rPr>
              <w:fldChar w:fldCharType="separate"/>
            </w:r>
            <w:r>
              <w:rPr>
                <w:noProof/>
                <w:webHidden/>
              </w:rPr>
              <w:t>38</w:t>
            </w:r>
            <w:r>
              <w:rPr>
                <w:noProof/>
                <w:webHidden/>
              </w:rPr>
              <w:fldChar w:fldCharType="end"/>
            </w:r>
          </w:hyperlink>
        </w:p>
        <w:p w14:paraId="5C11258D" w14:textId="77777777" w:rsidR="00B211DA" w:rsidRDefault="00B211DA">
          <w:pPr>
            <w:pStyle w:val="TOC2"/>
            <w:tabs>
              <w:tab w:val="right" w:leader="dot" w:pos="9350"/>
            </w:tabs>
            <w:rPr>
              <w:noProof/>
            </w:rPr>
          </w:pPr>
          <w:hyperlink w:anchor="_Toc122030765" w:history="1">
            <w:r w:rsidRPr="0006729E">
              <w:rPr>
                <w:rStyle w:val="Hyperlink"/>
                <w:noProof/>
              </w:rPr>
              <w:t>Autonomy (misfit) (Spreitzer, 1995)</w:t>
            </w:r>
            <w:r>
              <w:rPr>
                <w:noProof/>
                <w:webHidden/>
              </w:rPr>
              <w:tab/>
            </w:r>
            <w:r>
              <w:rPr>
                <w:noProof/>
                <w:webHidden/>
              </w:rPr>
              <w:fldChar w:fldCharType="begin"/>
            </w:r>
            <w:r>
              <w:rPr>
                <w:noProof/>
                <w:webHidden/>
              </w:rPr>
              <w:instrText xml:space="preserve"> PAGEREF _Toc122030765 \h </w:instrText>
            </w:r>
            <w:r>
              <w:rPr>
                <w:noProof/>
                <w:webHidden/>
              </w:rPr>
            </w:r>
            <w:r>
              <w:rPr>
                <w:noProof/>
                <w:webHidden/>
              </w:rPr>
              <w:fldChar w:fldCharType="separate"/>
            </w:r>
            <w:r>
              <w:rPr>
                <w:noProof/>
                <w:webHidden/>
              </w:rPr>
              <w:t>39</w:t>
            </w:r>
            <w:r>
              <w:rPr>
                <w:noProof/>
                <w:webHidden/>
              </w:rPr>
              <w:fldChar w:fldCharType="end"/>
            </w:r>
          </w:hyperlink>
        </w:p>
        <w:p w14:paraId="18DA76EE" w14:textId="77777777" w:rsidR="00B211DA" w:rsidRDefault="00B211DA">
          <w:pPr>
            <w:pStyle w:val="TOC2"/>
            <w:tabs>
              <w:tab w:val="right" w:leader="dot" w:pos="9350"/>
            </w:tabs>
            <w:rPr>
              <w:noProof/>
            </w:rPr>
          </w:pPr>
          <w:hyperlink w:anchor="_Toc122030766" w:history="1">
            <w:r w:rsidRPr="0006729E">
              <w:rPr>
                <w:rStyle w:val="Hyperlink"/>
                <w:noProof/>
              </w:rPr>
              <w:t>Psychological safety (Edmondson, 1999)</w:t>
            </w:r>
            <w:r>
              <w:rPr>
                <w:noProof/>
                <w:webHidden/>
              </w:rPr>
              <w:tab/>
            </w:r>
            <w:r>
              <w:rPr>
                <w:noProof/>
                <w:webHidden/>
              </w:rPr>
              <w:fldChar w:fldCharType="begin"/>
            </w:r>
            <w:r>
              <w:rPr>
                <w:noProof/>
                <w:webHidden/>
              </w:rPr>
              <w:instrText xml:space="preserve"> PAGEREF _Toc122030766 \h </w:instrText>
            </w:r>
            <w:r>
              <w:rPr>
                <w:noProof/>
                <w:webHidden/>
              </w:rPr>
            </w:r>
            <w:r>
              <w:rPr>
                <w:noProof/>
                <w:webHidden/>
              </w:rPr>
              <w:fldChar w:fldCharType="separate"/>
            </w:r>
            <w:r>
              <w:rPr>
                <w:noProof/>
                <w:webHidden/>
              </w:rPr>
              <w:t>39</w:t>
            </w:r>
            <w:r>
              <w:rPr>
                <w:noProof/>
                <w:webHidden/>
              </w:rPr>
              <w:fldChar w:fldCharType="end"/>
            </w:r>
          </w:hyperlink>
        </w:p>
        <w:p w14:paraId="101140BC" w14:textId="77777777" w:rsidR="0060466F" w:rsidRDefault="00000000">
          <w:r>
            <w:fldChar w:fldCharType="end"/>
          </w:r>
        </w:p>
      </w:sdtContent>
    </w:sdt>
    <w:p w14:paraId="00ED2F96" w14:textId="77777777" w:rsidR="0060466F" w:rsidRDefault="00000000">
      <w:pPr>
        <w:pStyle w:val="Heading1"/>
      </w:pPr>
      <w:bookmarkStart w:id="0" w:name="summary"/>
      <w:bookmarkStart w:id="1" w:name="_Toc122030716"/>
      <w:r>
        <w:t>Summary</w:t>
      </w:r>
      <w:bookmarkEnd w:id="1"/>
    </w:p>
    <w:p w14:paraId="26474551" w14:textId="77777777" w:rsidR="0060466F" w:rsidRDefault="00000000">
      <w:pPr>
        <w:pStyle w:val="FirstParagraph"/>
      </w:pPr>
      <w:r>
        <w:t>Organisations need to gain and maintain a competitive advantage over their competition. Innovation is key for organisations to thrive in this world. Managers must ensure sustained innovation (</w:t>
      </w:r>
      <w:proofErr w:type="spellStart"/>
      <w:r>
        <w:fldChar w:fldCharType="begin"/>
      </w:r>
      <w:r>
        <w:instrText>HYPERLINK \l "ref-tushman1986" \h</w:instrText>
      </w:r>
      <w:r>
        <w:fldChar w:fldCharType="separate"/>
      </w:r>
      <w:r>
        <w:rPr>
          <w:rStyle w:val="Hyperlink"/>
        </w:rPr>
        <w:t>Tushman</w:t>
      </w:r>
      <w:proofErr w:type="spellEnd"/>
      <w:r>
        <w:rPr>
          <w:rStyle w:val="Hyperlink"/>
        </w:rPr>
        <w:t xml:space="preserve"> &amp; Nadler, 1986</w:t>
      </w:r>
      <w:r>
        <w:rPr>
          <w:rStyle w:val="Hyperlink"/>
        </w:rPr>
        <w:fldChar w:fldCharType="end"/>
      </w:r>
      <w:r>
        <w:t>). A way to achieve sustained innovation is through intrapreneurship. Intrapreneurship is a bottom-up process of recognising and exploiting opportunities by being innovative, proactive, and taking risks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w:t>
      </w:r>
    </w:p>
    <w:p w14:paraId="173AF445" w14:textId="77777777" w:rsidR="0060466F" w:rsidRDefault="00000000">
      <w:pPr>
        <w:pStyle w:val="BodyText"/>
      </w:pPr>
      <w:r>
        <w:lastRenderedPageBreak/>
        <w:t>Not all employees in an organisation will behave as intrapreneurs. Intrapreneurial behaviour is influenced by many factors, including autonomy (</w:t>
      </w:r>
      <w:hyperlink w:anchor="ref-deJong2015">
        <w:r>
          <w:rPr>
            <w:rStyle w:val="Hyperlink"/>
          </w:rPr>
          <w:t>De Jong et al., 2015</w:t>
        </w:r>
      </w:hyperlink>
      <w:r>
        <w:t>). Prior research has investigated the relationship between intrapreneurial behaviour with autonomy being a design variable. The level of autonomy given by the organisation being the variable under study. However, that is only part of the story. Some people will thrive in an environment of autonomy, whereas others will experience it as demanding. The relationship between individual autonomy need, organisational autonomy supply, and intrapreneurial behaviour is viewed through the perspective of Person-Environment fit in this study.</w:t>
      </w:r>
    </w:p>
    <w:p w14:paraId="4BB9B0C1" w14:textId="77777777" w:rsidR="0060466F" w:rsidRDefault="00000000">
      <w:pPr>
        <w:pStyle w:val="BodyText"/>
      </w:pPr>
      <w:r>
        <w:t>Two prominent views exists in the academic literature. The affective-consistency view argues that a fit should exists between individual needs and organisational supply. Only when both variables are congruent will the individual be motivated. Contradicting this view is the self-regulatory view. The self-regulatory view states that a misfit is required between individual needs and organisational supply if individuals are to be motivated. Given these two contradicting views, this research aims to provide insight into whether fit or misfit is required to promote intrapreneurship by influencing autonomy. Leading to the hypotheses:</w:t>
      </w:r>
    </w:p>
    <w:p w14:paraId="2DBEA85B" w14:textId="77777777" w:rsidR="0060466F" w:rsidRDefault="00000000">
      <w:pPr>
        <w:pStyle w:val="Compact"/>
        <w:numPr>
          <w:ilvl w:val="0"/>
          <w:numId w:val="2"/>
        </w:numPr>
      </w:pPr>
      <w:r>
        <w:t>Hypothesis 1: (a) Intrapreneurial behaviour will be lower when individual autonomy need and organisational autonomy supply are both low and will be higher when both are high; (b) intrapreneurial behaviour will increase as organisational supply of autonomy increases towards individual autonomy need (fit), and will decrease as organisational supply exceeds individual need.</w:t>
      </w:r>
    </w:p>
    <w:p w14:paraId="064D6AC0" w14:textId="77777777" w:rsidR="0060466F" w:rsidRDefault="00000000">
      <w:pPr>
        <w:pStyle w:val="Compact"/>
        <w:numPr>
          <w:ilvl w:val="0"/>
          <w:numId w:val="2"/>
        </w:numPr>
      </w:pPr>
      <w:r>
        <w:t>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p w14:paraId="63050A5C" w14:textId="77777777" w:rsidR="0060466F" w:rsidRDefault="00000000">
      <w:pPr>
        <w:pStyle w:val="FirstParagraph"/>
      </w:pPr>
      <w:r>
        <w:t>Most of today’s work is accomplished by teams (</w:t>
      </w:r>
      <w:hyperlink w:anchor="ref-edmondsonLei2014">
        <w:r>
          <w:rPr>
            <w:rStyle w:val="Hyperlink"/>
          </w:rPr>
          <w:t>Edmondson &amp; Lei, 2014</w:t>
        </w:r>
      </w:hyperlink>
      <w:r>
        <w:t>). The way teams communicate, give feedback, and learn together have all been found to influence their performance. A prominent influence is psychological safety. Psychological safety is the shared belief by team members that one can engage in interpersonal risk-taking within the team (</w:t>
      </w:r>
      <w:hyperlink w:anchor="ref-edmondson1999">
        <w:r>
          <w:rPr>
            <w:rStyle w:val="Hyperlink"/>
          </w:rPr>
          <w:t>Edmondson, 1999</w:t>
        </w:r>
      </w:hyperlink>
      <w:r>
        <w:t>). Teams with high levels of psychological safety do better on feedback seeking, sharing concerns, and learning in general, all of which positively influence intrapreneurial behaviour. Teams with high levels of psychological safety may perform better than teams with low safety, which leads to the following hypotheses:</w:t>
      </w:r>
    </w:p>
    <w:p w14:paraId="536B579E" w14:textId="77777777" w:rsidR="0060466F" w:rsidRDefault="00000000">
      <w:pPr>
        <w:pStyle w:val="Compact"/>
        <w:numPr>
          <w:ilvl w:val="0"/>
          <w:numId w:val="3"/>
        </w:numPr>
      </w:pPr>
      <w:r>
        <w:t>Hypothesis 3: Psychological safety is positively related to intrapreneurial behaviour</w:t>
      </w:r>
    </w:p>
    <w:p w14:paraId="580D2D53" w14:textId="77777777" w:rsidR="0060466F" w:rsidRDefault="00000000">
      <w:pPr>
        <w:pStyle w:val="Compact"/>
        <w:numPr>
          <w:ilvl w:val="0"/>
          <w:numId w:val="3"/>
        </w:numPr>
      </w:pPr>
      <w:r>
        <w:t>Hypothesis 4a: The positive relation of needs-supplies fit on autonomy will be stronger when psychological safety is high compared to when it is low</w:t>
      </w:r>
    </w:p>
    <w:p w14:paraId="0C90BCB2" w14:textId="77777777" w:rsidR="0060466F" w:rsidRDefault="00000000">
      <w:pPr>
        <w:pStyle w:val="Compact"/>
        <w:numPr>
          <w:ilvl w:val="0"/>
          <w:numId w:val="3"/>
        </w:numPr>
      </w:pPr>
      <w:r>
        <w:t>Hypothesis 4b: The positive relation of needs-supplies misfit on autonomy will be stronger when psychological safety is high compared to when it is low</w:t>
      </w:r>
    </w:p>
    <w:p w14:paraId="27A3AF97" w14:textId="77777777" w:rsidR="0060466F" w:rsidRDefault="00000000">
      <w:pPr>
        <w:pStyle w:val="FirstParagraph"/>
      </w:pPr>
      <w:r>
        <w:t xml:space="preserve">A diary study was performed to collect data from software development teams. Using validated constructs, participants entered a baseline survey, 10 daily surveys, and a closing survey. The last survey was also done by the team supervisor. Polynomial regression </w:t>
      </w:r>
      <w:r>
        <w:lastRenderedPageBreak/>
        <w:t>analysis and surface response modelling were used to test the above hypotheses. No evidence was found to support or reject any of the hypotheses.</w:t>
      </w:r>
    </w:p>
    <w:p w14:paraId="4D93ECCD" w14:textId="77777777" w:rsidR="0060466F" w:rsidRDefault="00000000">
      <w:pPr>
        <w:pStyle w:val="BodyText"/>
      </w:pPr>
      <w:r>
        <w:t>Which view has the right perspective on promoting intrapreneurial behaviour via autonomy is still unclear. The analysis of the collected data showed a peculiar relation between the individual need for autonomy and organisational supply. An explanation of this relation can be found by measuring Person-Environment fit. Each approach may measure different concepts. The two views might not therefore be contradicting but may actually be complementing. Further research should combine these approaches in a single study to shed a light on this peculiarity.</w:t>
      </w:r>
    </w:p>
    <w:p w14:paraId="3EF0501C" w14:textId="77777777" w:rsidR="0060466F" w:rsidRDefault="00000000">
      <w:pPr>
        <w:pStyle w:val="BodyText"/>
      </w:pPr>
      <w:r>
        <w:t>No direct relationship between psychological safety and intrapreneurial behaviour was found. However, in environments with low psychological safety, an excess of autonomy leads to lower levels of intrapreneurial behaviour. In other words, an individual that feels unsafe and has a lot of autonomy, will not take risks, be proactive, or innovate. Organisations should be aware of psychological safety in their teams and take appropriate actions, for example, by reducing autonomy or provide training to improve psychological safety.</w:t>
      </w:r>
    </w:p>
    <w:p w14:paraId="243E21A2" w14:textId="77777777" w:rsidR="0060466F" w:rsidRDefault="00000000">
      <w:pPr>
        <w:pStyle w:val="Heading1"/>
      </w:pPr>
      <w:bookmarkStart w:id="2" w:name="introduction"/>
      <w:bookmarkStart w:id="3" w:name="_Toc122030717"/>
      <w:bookmarkEnd w:id="0"/>
      <w:r>
        <w:t>1. Introduction</w:t>
      </w:r>
      <w:bookmarkEnd w:id="3"/>
    </w:p>
    <w:p w14:paraId="7E9D070F" w14:textId="77777777" w:rsidR="0060466F" w:rsidRDefault="00000000">
      <w:pPr>
        <w:pStyle w:val="Heading2"/>
      </w:pPr>
      <w:bookmarkStart w:id="4" w:name="background-context"/>
      <w:bookmarkStart w:id="5" w:name="_Toc122030718"/>
      <w:r>
        <w:t>1.1 Background &amp; context</w:t>
      </w:r>
      <w:bookmarkEnd w:id="5"/>
    </w:p>
    <w:p w14:paraId="6924C807" w14:textId="77777777" w:rsidR="0060466F" w:rsidRDefault="00000000">
      <w:pPr>
        <w:pStyle w:val="FirstParagraph"/>
      </w:pPr>
      <w:r>
        <w:t xml:space="preserve">In today’s world, organisations need to stay ahead of their competition. To do so, they need to maintain or gain a competitive advantage over their competition. Already in 1986 </w:t>
      </w:r>
      <w:proofErr w:type="spellStart"/>
      <w:r>
        <w:t>Tushman</w:t>
      </w:r>
      <w:proofErr w:type="spellEnd"/>
      <w:r>
        <w:t xml:space="preserve"> and Nadler stressed that “organisations can gain competitive advantage only by managing effectively for today while simultaneously creating innovation for tomorrow”. Innovativeness is a key differentiator for organisations to thrive in this competitive world. A pressing problem for managers is to ensure sustained innovation (</w:t>
      </w:r>
      <w:proofErr w:type="spellStart"/>
      <w:r>
        <w:fldChar w:fldCharType="begin"/>
      </w:r>
      <w:r>
        <w:instrText>HYPERLINK \l "ref-tushman1986" \h</w:instrText>
      </w:r>
      <w:r>
        <w:fldChar w:fldCharType="separate"/>
      </w:r>
      <w:r>
        <w:rPr>
          <w:rStyle w:val="Hyperlink"/>
        </w:rPr>
        <w:t>Tushman</w:t>
      </w:r>
      <w:proofErr w:type="spellEnd"/>
      <w:r>
        <w:rPr>
          <w:rStyle w:val="Hyperlink"/>
        </w:rPr>
        <w:t xml:space="preserve"> &amp; Nadler, 1986</w:t>
      </w:r>
      <w:r>
        <w:rPr>
          <w:rStyle w:val="Hyperlink"/>
        </w:rPr>
        <w:fldChar w:fldCharType="end"/>
      </w:r>
      <w:r>
        <w:t>). Years later managers still tend to be myopic, untrained, or constrained by a lack of experience (</w:t>
      </w:r>
      <w:hyperlink w:anchor="ref-braganza2009">
        <w:r>
          <w:rPr>
            <w:rStyle w:val="Hyperlink"/>
          </w:rPr>
          <w:t>Braganza et al., 2009</w:t>
        </w:r>
      </w:hyperlink>
      <w:r>
        <w:t>). It is up to managers to ensure organisations innovate and cope with a changing environment.</w:t>
      </w:r>
    </w:p>
    <w:p w14:paraId="431A9EDE" w14:textId="77777777" w:rsidR="0060466F" w:rsidRDefault="00000000">
      <w:pPr>
        <w:pStyle w:val="BodyText"/>
      </w:pPr>
      <w:r>
        <w:t>A way for organisations to achieve sustained innovation is to promote intrapreneurship. Intrapreneurship is a bottom-up process of recognising and exploiting opportunities by being innovative, proactive and taking risks (</w:t>
      </w:r>
      <w:hyperlink w:anchor="ref-deJong2015">
        <w:r>
          <w:rPr>
            <w:rStyle w:val="Hyperlink"/>
          </w:rPr>
          <w:t>De Jong et al., 2015</w:t>
        </w:r>
      </w:hyperlink>
      <w:r>
        <w:t xml:space="preserve">; </w:t>
      </w:r>
      <w:hyperlink w:anchor="ref-elert2020">
        <w:proofErr w:type="spellStart"/>
        <w:r>
          <w:rPr>
            <w:rStyle w:val="Hyperlink"/>
          </w:rPr>
          <w:t>Elert</w:t>
        </w:r>
        <w:proofErr w:type="spellEnd"/>
        <w:r>
          <w:rPr>
            <w:rStyle w:val="Hyperlink"/>
          </w:rPr>
          <w:t xml:space="preserve"> &amp; </w:t>
        </w:r>
        <w:proofErr w:type="spellStart"/>
        <w:r>
          <w:rPr>
            <w:rStyle w:val="Hyperlink"/>
          </w:rPr>
          <w:t>Stenkula</w:t>
        </w:r>
        <w:proofErr w:type="spellEnd"/>
        <w:r>
          <w:rPr>
            <w:rStyle w:val="Hyperlink"/>
          </w:rPr>
          <w:t>, 2020</w:t>
        </w:r>
      </w:hyperlink>
      <w:r>
        <w:t xml:space="preserve">; </w:t>
      </w:r>
      <w:hyperlink w:anchor="ref-gawke2019">
        <w:proofErr w:type="spellStart"/>
        <w:r>
          <w:rPr>
            <w:rStyle w:val="Hyperlink"/>
          </w:rPr>
          <w:t>Gawke</w:t>
        </w:r>
        <w:proofErr w:type="spellEnd"/>
        <w:r>
          <w:rPr>
            <w:rStyle w:val="Hyperlink"/>
          </w:rPr>
          <w:t xml:space="preserve"> et al., 2019</w:t>
        </w:r>
      </w:hyperlink>
      <w:r>
        <w:t xml:space="preserve">; </w:t>
      </w:r>
      <w:hyperlink w:anchor="ref-neessen2019">
        <w:proofErr w:type="spellStart"/>
        <w:r>
          <w:rPr>
            <w:rStyle w:val="Hyperlink"/>
          </w:rPr>
          <w:t>Neessen</w:t>
        </w:r>
        <w:proofErr w:type="spellEnd"/>
        <w:r>
          <w:rPr>
            <w:rStyle w:val="Hyperlink"/>
          </w:rPr>
          <w:t xml:space="preserve"> et al., 2019</w:t>
        </w:r>
      </w:hyperlink>
      <w:r>
        <w:t>). It argues that intrapreneurial employees self-start initiatives. As it are these employees who are aware of external trends and events.</w:t>
      </w:r>
    </w:p>
    <w:p w14:paraId="6F4D7AD2" w14:textId="77777777" w:rsidR="0060466F" w:rsidRDefault="00000000">
      <w:pPr>
        <w:pStyle w:val="BodyText"/>
      </w:pPr>
      <w:r>
        <w:t>Intrapreneurial employees contribute to the competitive advantage of an organisation. Intrapreneurs are becoming important for innovation and economic growth (</w:t>
      </w:r>
      <w:proofErr w:type="spellStart"/>
      <w:r>
        <w:fldChar w:fldCharType="begin"/>
      </w:r>
      <w:r>
        <w:instrText>HYPERLINK \l "ref-elert2020" \h</w:instrText>
      </w:r>
      <w:r>
        <w:fldChar w:fldCharType="separate"/>
      </w:r>
      <w:r>
        <w:rPr>
          <w:rStyle w:val="Hyperlink"/>
        </w:rPr>
        <w:t>Elert</w:t>
      </w:r>
      <w:proofErr w:type="spellEnd"/>
      <w:r>
        <w:rPr>
          <w:rStyle w:val="Hyperlink"/>
        </w:rPr>
        <w:t xml:space="preserve"> &amp; </w:t>
      </w:r>
      <w:proofErr w:type="spellStart"/>
      <w:r>
        <w:rPr>
          <w:rStyle w:val="Hyperlink"/>
        </w:rPr>
        <w:t>Stenkula</w:t>
      </w:r>
      <w:proofErr w:type="spellEnd"/>
      <w:r>
        <w:rPr>
          <w:rStyle w:val="Hyperlink"/>
        </w:rPr>
        <w:t>, 2020</w:t>
      </w:r>
      <w:r>
        <w:rPr>
          <w:rStyle w:val="Hyperlink"/>
        </w:rPr>
        <w:fldChar w:fldCharType="end"/>
      </w:r>
      <w:r>
        <w:t xml:space="preserve">; </w:t>
      </w:r>
      <w:hyperlink w:anchor="ref-gawke2019">
        <w:proofErr w:type="spellStart"/>
        <w:r>
          <w:rPr>
            <w:rStyle w:val="Hyperlink"/>
          </w:rPr>
          <w:t>Gawke</w:t>
        </w:r>
        <w:proofErr w:type="spellEnd"/>
        <w:r>
          <w:rPr>
            <w:rStyle w:val="Hyperlink"/>
          </w:rPr>
          <w:t xml:space="preserve"> et al., 2019</w:t>
        </w:r>
      </w:hyperlink>
      <w:r>
        <w:t xml:space="preserve">). To be intrapreneurs, employees should display different behaviours. According to </w:t>
      </w:r>
      <w:hyperlink w:anchor="ref-bowen2016">
        <w:r>
          <w:rPr>
            <w:rStyle w:val="Hyperlink"/>
          </w:rPr>
          <w:t>Bowen</w:t>
        </w:r>
      </w:hyperlink>
      <w:r>
        <w:t xml:space="preserve"> (</w:t>
      </w:r>
      <w:hyperlink w:anchor="ref-bowen2016">
        <w:r>
          <w:rPr>
            <w:rStyle w:val="Hyperlink"/>
          </w:rPr>
          <w:t>2016</w:t>
        </w:r>
      </w:hyperlink>
      <w:r>
        <w:t xml:space="preserve">) employees should not be passive recipients of changing jobs and products. They need to adapt to roles as innovators and differentiators. Adopting a more intrapreneurial way of working is required for employees. </w:t>
      </w:r>
      <w:r>
        <w:lastRenderedPageBreak/>
        <w:t>It allows them to address or even start changing requirements. Thereby, they can impact the strategic direction of a firm (</w:t>
      </w:r>
      <w:hyperlink w:anchor="ref-peters1982">
        <w:r>
          <w:rPr>
            <w:rStyle w:val="Hyperlink"/>
          </w:rPr>
          <w:t>Peters &amp; Waterman, 1984</w:t>
        </w:r>
      </w:hyperlink>
      <w:r>
        <w:t>).</w:t>
      </w:r>
    </w:p>
    <w:p w14:paraId="0A6DB1C5" w14:textId="77777777" w:rsidR="0060466F" w:rsidRDefault="00000000">
      <w:pPr>
        <w:pStyle w:val="Heading2"/>
      </w:pPr>
      <w:bookmarkStart w:id="6" w:name="problem-statement"/>
      <w:bookmarkStart w:id="7" w:name="_Toc122030719"/>
      <w:bookmarkEnd w:id="4"/>
      <w:r>
        <w:t>1.2 Problem statement</w:t>
      </w:r>
      <w:bookmarkEnd w:id="7"/>
    </w:p>
    <w:p w14:paraId="2D498033" w14:textId="77777777" w:rsidR="0060466F" w:rsidRDefault="00000000">
      <w:pPr>
        <w:pStyle w:val="FirstParagraph"/>
      </w:pPr>
      <w:r>
        <w:t xml:space="preserve">Not all employees in an organisation will behave as intrapreneurs.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xml:space="preserve">) stated, in their systematic literature review, that employee autonomy influences the intrapreneur. Similarly, </w:t>
      </w:r>
      <w:hyperlink w:anchor="ref-deJong2015">
        <w:r>
          <w:rPr>
            <w:rStyle w:val="Hyperlink"/>
          </w:rPr>
          <w:t>De Jong et al.</w:t>
        </w:r>
      </w:hyperlink>
      <w:r>
        <w:t xml:space="preserve"> (</w:t>
      </w:r>
      <w:hyperlink w:anchor="ref-deJong2015">
        <w:r>
          <w:rPr>
            <w:rStyle w:val="Hyperlink"/>
          </w:rPr>
          <w:t>2015</w:t>
        </w:r>
      </w:hyperlink>
      <w:r>
        <w:t>) found that job autonomy relates to innovative and proactive behaviour, which are both sub-dimensions of intrapreneurial behaviour. The underlying premise in the research of de Jong is that job autonomy is provided by the organisation. However, this is only part of the story. Although an environment provides a certain level of characteristics, one may question whether supplying autonomy will induce an employee to behave in a certain manner.</w:t>
      </w:r>
    </w:p>
    <w:p w14:paraId="77C7EFC1" w14:textId="77777777" w:rsidR="0060466F" w:rsidRDefault="00000000">
      <w:pPr>
        <w:pStyle w:val="BodyText"/>
      </w:pPr>
      <w:r>
        <w:t>Autonomy, for example, can be given by an organisation, but some employees will thrive with autonomy and others will be unhappy. It is generally assumed that a fit should exist between the characteristics desired by an employee and the characteristics of an organisation (</w:t>
      </w:r>
      <w:hyperlink w:anchor="ref-lambert2003">
        <w:r>
          <w:rPr>
            <w:rStyle w:val="Hyperlink"/>
          </w:rPr>
          <w:t>Lambert et al., 2003</w:t>
        </w:r>
      </w:hyperlink>
      <w:r>
        <w:t xml:space="preserve">; </w:t>
      </w:r>
      <w:hyperlink w:anchor="ref-vanVianen2018">
        <w:r>
          <w:rPr>
            <w:rStyle w:val="Hyperlink"/>
          </w:rPr>
          <w:t xml:space="preserve">van </w:t>
        </w:r>
        <w:proofErr w:type="spellStart"/>
        <w:r>
          <w:rPr>
            <w:rStyle w:val="Hyperlink"/>
          </w:rPr>
          <w:t>Vianen</w:t>
        </w:r>
        <w:proofErr w:type="spellEnd"/>
        <w:r>
          <w:rPr>
            <w:rStyle w:val="Hyperlink"/>
          </w:rPr>
          <w:t>, 2018</w:t>
        </w:r>
      </w:hyperlink>
      <w:r>
        <w:t>).</w:t>
      </w:r>
    </w:p>
    <w:p w14:paraId="4C45A70A" w14:textId="77777777" w:rsidR="0060466F" w:rsidRDefault="00000000">
      <w:pPr>
        <w:pStyle w:val="BodyText"/>
      </w:pPr>
      <w:r>
        <w:t xml:space="preserve">An increase in autonomy has been shown to be beneficial for subjective well-being and work efficiency. Nevertheless, it has a tipping point. Both </w:t>
      </w:r>
      <w:hyperlink w:anchor="ref-zhou2020">
        <w:r>
          <w:rPr>
            <w:rStyle w:val="Hyperlink"/>
          </w:rPr>
          <w:t>Zhou</w:t>
        </w:r>
      </w:hyperlink>
      <w:r>
        <w:t xml:space="preserve"> (</w:t>
      </w:r>
      <w:hyperlink w:anchor="ref-zhou2020">
        <w:r>
          <w:rPr>
            <w:rStyle w:val="Hyperlink"/>
          </w:rPr>
          <w:t>2020</w:t>
        </w:r>
      </w:hyperlink>
      <w:r>
        <w:t xml:space="preserve">) and </w:t>
      </w:r>
      <w:proofErr w:type="spellStart"/>
      <w:r>
        <w:t>Stiglbauer</w:t>
      </w:r>
      <w:proofErr w:type="spellEnd"/>
      <w:r>
        <w:t xml:space="preserve"> and Kovacs (2018) discovered a “too-much-of-a-good-thing” effect occurred when autonomy exceeded the threshold of an individual, resulting in a sharp decrease in subjective well-being. According to the Job Demands-Resources model, autonomy can be perceived as a resource for an individual or a demand. Many studies have examined the various perspectives of job autonomy (</w:t>
      </w:r>
      <w:hyperlink w:anchor="ref-jong2021">
        <w:r>
          <w:rPr>
            <w:rStyle w:val="Hyperlink"/>
          </w:rPr>
          <w:t>Jong &amp; Ford, 2021</w:t>
        </w:r>
      </w:hyperlink>
      <w:r>
        <w:t xml:space="preserve">; </w:t>
      </w:r>
      <w:hyperlink w:anchor="ref-simmering2003">
        <w:r>
          <w:rPr>
            <w:rStyle w:val="Hyperlink"/>
          </w:rPr>
          <w:t>Simmering et al., 2003</w:t>
        </w:r>
      </w:hyperlink>
      <w:r>
        <w:t xml:space="preserve">; </w:t>
      </w:r>
      <w:hyperlink w:anchor="ref-sorlie2022">
        <w:proofErr w:type="spellStart"/>
        <w:r>
          <w:rPr>
            <w:rStyle w:val="Hyperlink"/>
          </w:rPr>
          <w:t>Sørlie</w:t>
        </w:r>
        <w:proofErr w:type="spellEnd"/>
        <w:r>
          <w:rPr>
            <w:rStyle w:val="Hyperlink"/>
          </w:rPr>
          <w:t xml:space="preserve"> et al., 2022</w:t>
        </w:r>
      </w:hyperlink>
      <w:r>
        <w:t xml:space="preserve">; </w:t>
      </w:r>
      <w:hyperlink w:anchor="ref-yu2016">
        <w:r>
          <w:rPr>
            <w:rStyle w:val="Hyperlink"/>
          </w:rPr>
          <w:t>Yu &amp; Davis, 2016</w:t>
        </w:r>
      </w:hyperlink>
      <w:r>
        <w:t xml:space="preserve">). </w:t>
      </w:r>
      <w:proofErr w:type="spellStart"/>
      <w:r>
        <w:t>Howver</w:t>
      </w:r>
      <w:proofErr w:type="spellEnd"/>
      <w:r>
        <w:t>, no prior research has investigated the topic of autonomy (mis)fit and its influences on intrapreneurial behaviour. This research attempts to fill this gap.</w:t>
      </w:r>
    </w:p>
    <w:p w14:paraId="27260213" w14:textId="77777777" w:rsidR="0060466F" w:rsidRDefault="00000000">
      <w:pPr>
        <w:pStyle w:val="BodyText"/>
      </w:pPr>
      <w:r>
        <w:t>Although people have an innate need to fit into their environment, a perfect fit seldom exists (</w:t>
      </w:r>
      <w:hyperlink w:anchor="ref-vanVianen2018">
        <w:r>
          <w:rPr>
            <w:rStyle w:val="Hyperlink"/>
          </w:rPr>
          <w:t xml:space="preserve">van </w:t>
        </w:r>
        <w:proofErr w:type="spellStart"/>
        <w:r>
          <w:rPr>
            <w:rStyle w:val="Hyperlink"/>
          </w:rPr>
          <w:t>Vianen</w:t>
        </w:r>
        <w:proofErr w:type="spellEnd"/>
        <w:r>
          <w:rPr>
            <w:rStyle w:val="Hyperlink"/>
          </w:rPr>
          <w:t>, 2018</w:t>
        </w:r>
      </w:hyperlink>
      <w:r>
        <w:t>). Consequently, most individuals and organisations will experience misfit. Misfits are not necessarily bad. Experiencing misfit will lead individuals to adapt to their situation (</w:t>
      </w:r>
      <w:hyperlink w:anchor="ref-vanVianen2018">
        <w:r>
          <w:rPr>
            <w:rStyle w:val="Hyperlink"/>
          </w:rPr>
          <w:t xml:space="preserve">van </w:t>
        </w:r>
        <w:proofErr w:type="spellStart"/>
        <w:r>
          <w:rPr>
            <w:rStyle w:val="Hyperlink"/>
          </w:rPr>
          <w:t>Vianen</w:t>
        </w:r>
        <w:proofErr w:type="spellEnd"/>
        <w:r>
          <w:rPr>
            <w:rStyle w:val="Hyperlink"/>
          </w:rPr>
          <w:t>, 2018</w:t>
        </w:r>
      </w:hyperlink>
      <w:r>
        <w:t>). Understanding the effect of adaptation, in the contexts of autonomy misfit, on intrapreneurial behaviour can help organisations to influence intrapreneurship in their organisation.</w:t>
      </w:r>
    </w:p>
    <w:p w14:paraId="782A6BC4" w14:textId="77777777" w:rsidR="0060466F" w:rsidRDefault="00000000">
      <w:pPr>
        <w:pStyle w:val="BodyText"/>
      </w:pPr>
      <w:r>
        <w:t>Intrapreneurial behaviour is often measured on an individual level. However, obtaining intrapreneurial outcomes often requires a team effort. Team members have to work and learn collaboratively to achieve desired outcomes (</w:t>
      </w:r>
      <w:hyperlink w:anchor="ref-edmondsonLei2014">
        <w:r>
          <w:rPr>
            <w:rStyle w:val="Hyperlink"/>
          </w:rPr>
          <w:t>Edmondson &amp; Lei, 2014</w:t>
        </w:r>
      </w:hyperlink>
      <w:r>
        <w:t>). In times of uncertainty and collaboration, psychological safety has shown to enhance the performance of the team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 Psychological safety is a shared belief held by team members that the team is safe for interpersonal risk raking (</w:t>
      </w:r>
      <w:hyperlink w:anchor="ref-edmondson1999">
        <w:r>
          <w:rPr>
            <w:rStyle w:val="Hyperlink"/>
          </w:rPr>
          <w:t>Edmondson, 1999</w:t>
        </w:r>
      </w:hyperlink>
      <w:r>
        <w:t xml:space="preserve">). Teams with high levels of psychological safety take more risks, share more information, seek more feedback, and perform better. Psychological safety has a positive influence on innovation, process improvements, </w:t>
      </w:r>
      <w:r>
        <w:lastRenderedPageBreak/>
        <w:t>knowledge creation, and successful technology implementations (</w:t>
      </w:r>
      <w:hyperlink w:anchor="ref-edmondson1999">
        <w:r>
          <w:rPr>
            <w:rStyle w:val="Hyperlink"/>
          </w:rPr>
          <w:t>Edmondson, 1999</w:t>
        </w:r>
      </w:hyperlink>
      <w:r>
        <w:t xml:space="preserve">;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w:t>
      </w:r>
    </w:p>
    <w:p w14:paraId="0E752861" w14:textId="77777777" w:rsidR="0060466F" w:rsidRDefault="00000000">
      <w:pPr>
        <w:pStyle w:val="BodyText"/>
      </w:pPr>
      <w:r>
        <w:t>Both autonomy fit and misfit have been shown to influence dimensions of intrapreneurial behaviour. Yu and Davis (2016), for example, showed that autonomy misfit leads to higher levels of proactivity. In the case of autonomy fit, psychological safety has been shows to influence creativity, risk taking, and motivation to engage in learning (</w:t>
      </w:r>
      <w:hyperlink w:anchor="ref-choo2007">
        <w:r>
          <w:rPr>
            <w:rStyle w:val="Hyperlink"/>
          </w:rPr>
          <w:t>Choo et al., 2007</w:t>
        </w:r>
      </w:hyperlink>
      <w:r>
        <w:t>). Given these findings, psychological safety might influence the effects of autonomy (mis)fit in relation to intrapreneurial behaviour.</w:t>
      </w:r>
    </w:p>
    <w:p w14:paraId="3F9AD38D" w14:textId="77777777" w:rsidR="0060466F" w:rsidRDefault="00000000">
      <w:pPr>
        <w:pStyle w:val="BodyText"/>
      </w:pPr>
      <w:r>
        <w:t>In summary, autonomy has been studied as a contributing factor to intrapreneurship in various researches. However, previous studies have not considered employees’ personal needs for autonomy. Different forms of experienced misfits can have different effects on intrapreneurial behaviour. Additionally, a psychologically safe team can moderate the effect of misfit on intrapreneurial behaviour. This study examines these various perspectives to produce answers and new questions.</w:t>
      </w:r>
    </w:p>
    <w:p w14:paraId="31B2988C" w14:textId="77777777" w:rsidR="0060466F" w:rsidRDefault="00000000">
      <w:pPr>
        <w:pStyle w:val="Heading2"/>
      </w:pPr>
      <w:bookmarkStart w:id="8" w:name="academic-practical-relevance"/>
      <w:bookmarkStart w:id="9" w:name="_Toc122030720"/>
      <w:bookmarkEnd w:id="6"/>
      <w:r>
        <w:t>1.3 Academic &amp; practical relevance</w:t>
      </w:r>
      <w:bookmarkEnd w:id="9"/>
    </w:p>
    <w:p w14:paraId="2B9301E9" w14:textId="77777777" w:rsidR="0060466F" w:rsidRDefault="00000000">
      <w:pPr>
        <w:pStyle w:val="FirstParagraph"/>
      </w:pPr>
      <w:r>
        <w:t>The extant academic literature scarcely addresses the relationship between and the effects of autonomy (mis)fit, psychological safety, and intrapreneurial behaviour. Although the elements on their own have been the subjects of many studies, the trilogy of these elements have not been examined together. This research therefore contributes in multiple ways.</w:t>
      </w:r>
    </w:p>
    <w:p w14:paraId="41BD1353" w14:textId="77777777" w:rsidR="0060466F" w:rsidRDefault="00000000">
      <w:pPr>
        <w:pStyle w:val="Heading3"/>
      </w:pPr>
      <w:bookmarkStart w:id="10" w:name="academic-relevance"/>
      <w:bookmarkStart w:id="11" w:name="_Toc122030721"/>
      <w:r>
        <w:t>1.3.1 Academic relevance</w:t>
      </w:r>
      <w:bookmarkEnd w:id="11"/>
    </w:p>
    <w:p w14:paraId="0D9B1C2A" w14:textId="77777777" w:rsidR="0060466F" w:rsidRDefault="00000000">
      <w:pPr>
        <w:pStyle w:val="FirstParagraph"/>
      </w:pPr>
      <w:r>
        <w:t>The contribution of this paper to the academia more specifically is twofold. First, a recurring object of study in the field of intrapreneurship is the influence of teams on intrapreneurial behaviour (</w:t>
      </w:r>
      <w:hyperlink w:anchor="ref-deJong2015">
        <w:r>
          <w:rPr>
            <w:rStyle w:val="Hyperlink"/>
          </w:rPr>
          <w:t>De Jong et al., 2015</w:t>
        </w:r>
      </w:hyperlink>
      <w:r>
        <w:t xml:space="preserve">; </w:t>
      </w:r>
      <w:hyperlink w:anchor="ref-neessen2019">
        <w:proofErr w:type="spellStart"/>
        <w:r>
          <w:rPr>
            <w:rStyle w:val="Hyperlink"/>
          </w:rPr>
          <w:t>Neessen</w:t>
        </w:r>
        <w:proofErr w:type="spellEnd"/>
        <w:r>
          <w:rPr>
            <w:rStyle w:val="Hyperlink"/>
          </w:rPr>
          <w:t xml:space="preserve"> et al., 2019</w:t>
        </w:r>
      </w:hyperlink>
      <w:r>
        <w:t xml:space="preserve">). The present research contributes to the field by revealing whether and how teams affect the intrapreneurial behaviour of an individual. Specifically, this research examines whether a psychologically safe team environment acts as a catalyst or as a coping mechanism in the case of autonomy (mis)fit for the individual. Secondly, this research also answers a question raised by </w:t>
      </w:r>
      <w:hyperlink w:anchor="ref-vanVianen2018">
        <w:r>
          <w:rPr>
            <w:rStyle w:val="Hyperlink"/>
          </w:rPr>
          <w:t xml:space="preserve">van </w:t>
        </w:r>
        <w:proofErr w:type="spellStart"/>
        <w:r>
          <w:rPr>
            <w:rStyle w:val="Hyperlink"/>
          </w:rPr>
          <w:t>Vianen</w:t>
        </w:r>
        <w:proofErr w:type="spellEnd"/>
      </w:hyperlink>
      <w:r>
        <w:t xml:space="preserve"> (</w:t>
      </w:r>
      <w:hyperlink w:anchor="ref-vanVianen2018">
        <w:r>
          <w:rPr>
            <w:rStyle w:val="Hyperlink"/>
          </w:rPr>
          <w:t>2018</w:t>
        </w:r>
      </w:hyperlink>
      <w:r>
        <w:t>): “Which environmental and individual factors mitigate experienced misfits?”. This research specifically answers whether psychological safety mitigates the experienced autonomy misfit.</w:t>
      </w:r>
    </w:p>
    <w:p w14:paraId="129435E7" w14:textId="77777777" w:rsidR="0060466F" w:rsidRDefault="00000000">
      <w:pPr>
        <w:pStyle w:val="BodyText"/>
      </w:pPr>
      <w:r>
        <w:t xml:space="preserve">Two types of misfit exist. By using polynomial regression analysis and an accompanying surface response analysis, the type of misfit was determined. Investigating both types of misfit is important. Misfit can be either an excess (having too much of it) or a deficiency (having too little of it). Prior research shows that an excess of misfit can have different outcomes relative to a deficient misfit </w:t>
      </w:r>
      <w:hyperlink w:anchor="ref-vogel2016">
        <w:r>
          <w:rPr>
            <w:rStyle w:val="Hyperlink"/>
          </w:rPr>
          <w:t>Vogel et al.</w:t>
        </w:r>
      </w:hyperlink>
      <w:r>
        <w:t xml:space="preserve"> (</w:t>
      </w:r>
      <w:hyperlink w:anchor="ref-vogel2016">
        <w:r>
          <w:rPr>
            <w:rStyle w:val="Hyperlink"/>
          </w:rPr>
          <w:t>2016</w:t>
        </w:r>
      </w:hyperlink>
      <w:r>
        <w:t>).</w:t>
      </w:r>
    </w:p>
    <w:p w14:paraId="5AE48CB3" w14:textId="77777777" w:rsidR="0060466F" w:rsidRDefault="00000000">
      <w:pPr>
        <w:pStyle w:val="Heading3"/>
      </w:pPr>
      <w:bookmarkStart w:id="12" w:name="practical-relevance"/>
      <w:bookmarkStart w:id="13" w:name="_Toc122030722"/>
      <w:bookmarkEnd w:id="10"/>
      <w:r>
        <w:t>1.3.2 Practical relevance</w:t>
      </w:r>
      <w:bookmarkEnd w:id="13"/>
    </w:p>
    <w:p w14:paraId="0CF68832" w14:textId="77777777" w:rsidR="0060466F" w:rsidRDefault="00000000">
      <w:pPr>
        <w:pStyle w:val="FirstParagraph"/>
      </w:pPr>
      <w:r>
        <w:t>Organisations has been shown to benefit from innovation and other means of gaining competitive advantage (</w:t>
      </w:r>
      <w:proofErr w:type="spellStart"/>
      <w:r>
        <w:fldChar w:fldCharType="begin"/>
      </w:r>
      <w:r>
        <w:instrText>HYPERLINK \l "ref-elert2020" \h</w:instrText>
      </w:r>
      <w:r>
        <w:fldChar w:fldCharType="separate"/>
      </w:r>
      <w:r>
        <w:rPr>
          <w:rStyle w:val="Hyperlink"/>
        </w:rPr>
        <w:t>Elert</w:t>
      </w:r>
      <w:proofErr w:type="spellEnd"/>
      <w:r>
        <w:rPr>
          <w:rStyle w:val="Hyperlink"/>
        </w:rPr>
        <w:t xml:space="preserve"> &amp; </w:t>
      </w:r>
      <w:proofErr w:type="spellStart"/>
      <w:r>
        <w:rPr>
          <w:rStyle w:val="Hyperlink"/>
        </w:rPr>
        <w:t>Stenkula</w:t>
      </w:r>
      <w:proofErr w:type="spellEnd"/>
      <w:r>
        <w:rPr>
          <w:rStyle w:val="Hyperlink"/>
        </w:rPr>
        <w:t>, 2020</w:t>
      </w:r>
      <w:r>
        <w:rPr>
          <w:rStyle w:val="Hyperlink"/>
        </w:rPr>
        <w:fldChar w:fldCharType="end"/>
      </w:r>
      <w:r>
        <w:t xml:space="preserve">; </w:t>
      </w:r>
      <w:hyperlink w:anchor="ref-peters1982">
        <w:r>
          <w:rPr>
            <w:rStyle w:val="Hyperlink"/>
          </w:rPr>
          <w:t>Peters &amp; Waterman, 1984</w:t>
        </w:r>
      </w:hyperlink>
      <w:r>
        <w:t>). Ensuring sustained innovation is a pressing problem for managers (</w:t>
      </w:r>
      <w:proofErr w:type="spellStart"/>
      <w:r>
        <w:fldChar w:fldCharType="begin"/>
      </w:r>
      <w:r>
        <w:instrText>HYPERLINK \l "ref-tushman1986" \h</w:instrText>
      </w:r>
      <w:r>
        <w:fldChar w:fldCharType="separate"/>
      </w:r>
      <w:r>
        <w:rPr>
          <w:rStyle w:val="Hyperlink"/>
        </w:rPr>
        <w:t>Tushman</w:t>
      </w:r>
      <w:proofErr w:type="spellEnd"/>
      <w:r>
        <w:rPr>
          <w:rStyle w:val="Hyperlink"/>
        </w:rPr>
        <w:t xml:space="preserve"> &amp; Nadler, 1986</w:t>
      </w:r>
      <w:r>
        <w:rPr>
          <w:rStyle w:val="Hyperlink"/>
        </w:rPr>
        <w:fldChar w:fldCharType="end"/>
      </w:r>
      <w:r>
        <w:t xml:space="preserve">). </w:t>
      </w:r>
      <w:r>
        <w:lastRenderedPageBreak/>
        <w:t>Attracting, retaining, and growing intrapreneurs in an organisation is a prescient problem for organisations. This research aims to show whether autonomy (mis)fit and/or psychological safety are beneficial for increasing the intrapreneurial behaviour of employees, especially for software development organisations, which represent the context of this research. These insights could lead to the adoption of recruitment strategies where managers select adaptable minds that can cope with misfit between levels of needs and supplies of autonomy (</w:t>
      </w:r>
      <w:hyperlink w:anchor="ref-vanVianen2018">
        <w:r>
          <w:rPr>
            <w:rStyle w:val="Hyperlink"/>
          </w:rPr>
          <w:t xml:space="preserve">van </w:t>
        </w:r>
        <w:proofErr w:type="spellStart"/>
        <w:r>
          <w:rPr>
            <w:rStyle w:val="Hyperlink"/>
          </w:rPr>
          <w:t>Vianen</w:t>
        </w:r>
        <w:proofErr w:type="spellEnd"/>
        <w:r>
          <w:rPr>
            <w:rStyle w:val="Hyperlink"/>
          </w:rPr>
          <w:t>, 2018</w:t>
        </w:r>
      </w:hyperlink>
      <w:r>
        <w:t xml:space="preserve">; </w:t>
      </w:r>
      <w:hyperlink w:anchor="ref-yu2016">
        <w:r>
          <w:rPr>
            <w:rStyle w:val="Hyperlink"/>
          </w:rPr>
          <w:t>Yu &amp; Davis, 2016</w:t>
        </w:r>
      </w:hyperlink>
      <w:r>
        <w:t>).</w:t>
      </w:r>
    </w:p>
    <w:p w14:paraId="68D39F7B" w14:textId="77777777" w:rsidR="0060466F" w:rsidRDefault="00000000">
      <w:pPr>
        <w:pStyle w:val="BodyText"/>
      </w:pPr>
      <w:r>
        <w:t xml:space="preserve">Beyond providing advice and insights regarding how to attract and select employees, this research contributes to the field of job design. </w:t>
      </w:r>
      <w:hyperlink w:anchor="ref-deJong2015">
        <w:r>
          <w:rPr>
            <w:rStyle w:val="Hyperlink"/>
          </w:rPr>
          <w:t>De Jong et al.</w:t>
        </w:r>
      </w:hyperlink>
      <w:r>
        <w:t xml:space="preserve"> (</w:t>
      </w:r>
      <w:hyperlink w:anchor="ref-deJong2015">
        <w:r>
          <w:rPr>
            <w:rStyle w:val="Hyperlink"/>
          </w:rPr>
          <w:t>2015</w:t>
        </w:r>
      </w:hyperlink>
      <w:r>
        <w:t>) already showed that job autonomy influences entrepreneurial behaviour. However, their research took employees as a homogeneous group. This research attempts to complement that insight by acknowledging the personal needs of autonomy compared to the autonomy supplied by organisations. This additional knowledge can help organisations to develop strategies and mechanisms to design their positions in a way that promotes and enhances intrapreneurship among different individuals.</w:t>
      </w:r>
    </w:p>
    <w:p w14:paraId="199A302A" w14:textId="77777777" w:rsidR="0060466F" w:rsidRDefault="00000000">
      <w:pPr>
        <w:pStyle w:val="Heading2"/>
      </w:pPr>
      <w:bookmarkStart w:id="14" w:name="method-of-research"/>
      <w:bookmarkStart w:id="15" w:name="_Toc122030723"/>
      <w:bookmarkEnd w:id="8"/>
      <w:bookmarkEnd w:id="12"/>
      <w:r>
        <w:t>1.4 Method of research</w:t>
      </w:r>
      <w:bookmarkEnd w:id="15"/>
    </w:p>
    <w:p w14:paraId="4B36861C" w14:textId="77777777" w:rsidR="0060466F" w:rsidRDefault="00000000">
      <w:pPr>
        <w:pStyle w:val="FirstParagraph"/>
      </w:pPr>
      <w:r>
        <w:t>The study uses a quantitative design to analyse correlating effects between the variables. A diary study was the primary method used to collect the data. Software development teams filled in a daily questionnaire for 10 consecutive working days. Prior to the daily surveys participants filled in a baseline (T0) survey. Following the daily surveys, a reflective survey (T1) was filled in by participants and their supervisors. The resulting data was analysed using polynomial regression analysis and visualised in the three-dimensional images using surface response modelling.</w:t>
      </w:r>
    </w:p>
    <w:p w14:paraId="05C3CB9F" w14:textId="77777777" w:rsidR="0060466F" w:rsidRDefault="00000000">
      <w:pPr>
        <w:pStyle w:val="Heading1"/>
      </w:pPr>
      <w:bookmarkStart w:id="16" w:name="literature-research"/>
      <w:bookmarkStart w:id="17" w:name="_Toc122030724"/>
      <w:bookmarkEnd w:id="2"/>
      <w:bookmarkEnd w:id="14"/>
      <w:r>
        <w:t>2. Literature research</w:t>
      </w:r>
      <w:bookmarkEnd w:id="17"/>
    </w:p>
    <w:p w14:paraId="4367585F" w14:textId="77777777" w:rsidR="0060466F" w:rsidRDefault="00000000">
      <w:pPr>
        <w:pStyle w:val="FirstParagraph"/>
      </w:pPr>
      <w:r>
        <w:t>The theoretical framework of this study is centred around key concepts discussed in the problem statement. The definitions of these concepts are provided and explained using literature study. Figure 1 shows a visual model of this study.</w:t>
      </w:r>
    </w:p>
    <w:p w14:paraId="6EB60488" w14:textId="77777777" w:rsidR="0060466F" w:rsidRDefault="00000000">
      <w:pPr>
        <w:pStyle w:val="Heading2"/>
      </w:pPr>
      <w:bookmarkStart w:id="18" w:name="X81cc9034a3918c3de36c6aea1dcf1b8ad413518"/>
      <w:bookmarkStart w:id="19" w:name="_Toc122030725"/>
      <w:r>
        <w:t>2.1 What is intrapreneurship &amp; intrapreneurial behaviour?</w:t>
      </w:r>
      <w:bookmarkEnd w:id="19"/>
    </w:p>
    <w:p w14:paraId="57D8D54F" w14:textId="77777777" w:rsidR="0060466F" w:rsidRDefault="00000000">
      <w:pPr>
        <w:pStyle w:val="FirstParagraph"/>
      </w:pPr>
      <w:r>
        <w:t>Intrapreneurship can be defined as “a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 In the academic literature “intrapreneurship” usually refers to individual workers rather than organisations or boardroom-level decision makers (</w:t>
      </w:r>
      <w:hyperlink w:anchor="ref-deJong2011">
        <w:r>
          <w:rPr>
            <w:rStyle w:val="Hyperlink"/>
          </w:rPr>
          <w:t>De Jong et al, 2011</w:t>
        </w:r>
      </w:hyperlink>
      <w:r>
        <w:t>). This thesis adopts the point of view that intrapreneurship is a bottom-up approach (</w:t>
      </w:r>
      <w:hyperlink w:anchor="ref-deJong2011">
        <w:r>
          <w:rPr>
            <w:rStyle w:val="Hyperlink"/>
          </w:rPr>
          <w:t>De Jong et al, 2011</w:t>
        </w:r>
      </w:hyperlink>
      <w:r>
        <w:t xml:space="preserve">; </w:t>
      </w:r>
      <w:hyperlink w:anchor="ref-neessen2019">
        <w:proofErr w:type="spellStart"/>
        <w:r>
          <w:rPr>
            <w:rStyle w:val="Hyperlink"/>
          </w:rPr>
          <w:t>Neessen</w:t>
        </w:r>
        <w:proofErr w:type="spellEnd"/>
        <w:r>
          <w:rPr>
            <w:rStyle w:val="Hyperlink"/>
          </w:rPr>
          <w:t xml:space="preserve"> et al., 2019</w:t>
        </w:r>
      </w:hyperlink>
      <w:r>
        <w:t>). Some literature uses intrapreneurship as a synonym for corporate entrepreneurship (</w:t>
      </w:r>
      <w:hyperlink w:anchor="ref-deJong2011">
        <w:r>
          <w:rPr>
            <w:rStyle w:val="Hyperlink"/>
          </w:rPr>
          <w:t>De Jong et al, 2011</w:t>
        </w:r>
      </w:hyperlink>
      <w:r>
        <w:t xml:space="preserve">). However, both terms are distinct concepts. In line with </w:t>
      </w:r>
      <w:hyperlink w:anchor="ref-deJong2011">
        <w:r>
          <w:rPr>
            <w:rStyle w:val="Hyperlink"/>
          </w:rPr>
          <w:t>De Jong et al</w:t>
        </w:r>
      </w:hyperlink>
      <w:r>
        <w:t xml:space="preserve"> (</w:t>
      </w:r>
      <w:hyperlink w:anchor="ref-deJong2011">
        <w:r>
          <w:rPr>
            <w:rStyle w:val="Hyperlink"/>
          </w:rPr>
          <w:t>2011</w:t>
        </w:r>
      </w:hyperlink>
      <w:r>
        <w:t xml:space="preserve">) this thesis </w:t>
      </w:r>
      <w:r>
        <w:lastRenderedPageBreak/>
        <w:t>regards corporate entrepreneurship as a top-down process that can be used by business owners and general managers to foster new ventures, innovation, and strategic renewal.</w:t>
      </w:r>
    </w:p>
    <w:p w14:paraId="347C13F0" w14:textId="77777777" w:rsidR="0060466F" w:rsidRDefault="00000000">
      <w:pPr>
        <w:pStyle w:val="BodyText"/>
      </w:pPr>
      <w:r>
        <w:t>Characteristically, intrapreneurship should be seen as a process. Intrapreneurship “is about a set of activities of an individual or an organisation to get from point A to point B in time, with an increased competitiveness and performance of the organisation as the end goal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 xml:space="preserve">)”. This definition shows that intrapreneurship is not simply a behaviour of an individual or an organisation, but is rather a complex construct of various activities. The framework makes a clear distinction between organisational and individual constructs. For example, the managerial support or organisational structure influences intrapreneurship. Attitudes and characteristics of individuals likewise influence intrapreneurship by impacting the behaviour of individuals. When individuals behave </w:t>
      </w:r>
      <w:proofErr w:type="spellStart"/>
      <w:r>
        <w:t>intrapreneurially</w:t>
      </w:r>
      <w:proofErr w:type="spellEnd"/>
      <w:r>
        <w:t>, this behaviour will lead to outcomes such as new products or innovations, new business ventures, or self-renewal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w:t>
      </w:r>
    </w:p>
    <w:p w14:paraId="1715A8AB" w14:textId="77777777" w:rsidR="0060466F" w:rsidRDefault="00000000">
      <w:pPr>
        <w:pStyle w:val="BodyText"/>
      </w:pPr>
      <w:r>
        <w:t xml:space="preserve">The framework of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xml:space="preserve">) describes intrapreneurship as the sum of intrapreneurial behaviour and corporate entrepreneurship. The dimensions of intrapreneurial behaviours are defined as proactivity, innovativeness, risk-taking, opportunity recognition and exploitation, and networking. A review of </w:t>
      </w:r>
      <w:hyperlink w:anchor="ref-gawke2019">
        <w:proofErr w:type="spellStart"/>
        <w:r>
          <w:rPr>
            <w:rStyle w:val="Hyperlink"/>
          </w:rPr>
          <w:t>Gawke</w:t>
        </w:r>
        <w:proofErr w:type="spellEnd"/>
        <w:r>
          <w:rPr>
            <w:rStyle w:val="Hyperlink"/>
          </w:rPr>
          <w:t xml:space="preserve"> et al.</w:t>
        </w:r>
      </w:hyperlink>
      <w:r>
        <w:t xml:space="preserve"> (</w:t>
      </w:r>
      <w:hyperlink w:anchor="ref-gawke2019">
        <w:r>
          <w:rPr>
            <w:rStyle w:val="Hyperlink"/>
          </w:rPr>
          <w:t>2019</w:t>
        </w:r>
      </w:hyperlink>
      <w:r>
        <w:t>) found three prominent conceptualisations of employee intrapreneurship in academic literature. Intrapreneurship can be seen as an employee’s participation in an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of employees is conceptualised as the tendency toward innovativeness, risk taking, and personal initiative. This last conceptualisation is commonly used in the literature to measure intrapreneurial behaviour (</w:t>
      </w:r>
      <w:hyperlink w:anchor="ref-deJong2011">
        <w:r>
          <w:rPr>
            <w:rStyle w:val="Hyperlink"/>
          </w:rPr>
          <w:t>De Jong et al, 2011</w:t>
        </w:r>
      </w:hyperlink>
      <w:r>
        <w:t xml:space="preserve">; </w:t>
      </w:r>
      <w:hyperlink w:anchor="ref-gawke2019">
        <w:proofErr w:type="spellStart"/>
        <w:r>
          <w:rPr>
            <w:rStyle w:val="Hyperlink"/>
          </w:rPr>
          <w:t>Gawke</w:t>
        </w:r>
        <w:proofErr w:type="spellEnd"/>
        <w:r>
          <w:rPr>
            <w:rStyle w:val="Hyperlink"/>
          </w:rPr>
          <w:t xml:space="preserve"> et al., 2019</w:t>
        </w:r>
      </w:hyperlink>
      <w:r>
        <w:t xml:space="preserve">; </w:t>
      </w:r>
      <w:hyperlink w:anchor="ref-neessen2019">
        <w:proofErr w:type="spellStart"/>
        <w:r>
          <w:rPr>
            <w:rStyle w:val="Hyperlink"/>
          </w:rPr>
          <w:t>Neessen</w:t>
        </w:r>
        <w:proofErr w:type="spellEnd"/>
        <w:r>
          <w:rPr>
            <w:rStyle w:val="Hyperlink"/>
          </w:rPr>
          <w:t xml:space="preserve"> et al., 2019</w:t>
        </w:r>
      </w:hyperlink>
      <w:r>
        <w:t xml:space="preserve">; </w:t>
      </w:r>
      <w:hyperlink w:anchor="ref-stam2012">
        <w:r>
          <w:rPr>
            <w:rStyle w:val="Hyperlink"/>
          </w:rPr>
          <w:t>Stam et al., 2012</w:t>
        </w:r>
      </w:hyperlink>
      <w:r>
        <w:t xml:space="preserve">). This research is primarily concerned with the behaviour of an individual and not the outcomes of that behaviour. Consequently, the conception of entrepreneurial orientation adopted is the viewpoint of </w:t>
      </w:r>
      <w:hyperlink w:anchor="ref-deJong2011">
        <w:r>
          <w:rPr>
            <w:rStyle w:val="Hyperlink"/>
          </w:rPr>
          <w:t>De Jong et al</w:t>
        </w:r>
      </w:hyperlink>
      <w:r>
        <w:t xml:space="preserve"> (</w:t>
      </w:r>
      <w:hyperlink w:anchor="ref-deJong2011">
        <w:r>
          <w:rPr>
            <w:rStyle w:val="Hyperlink"/>
          </w:rPr>
          <w:t>2011</w:t>
        </w:r>
      </w:hyperlink>
      <w:r>
        <w:t>) on intrapreneurial behaviour. De Jong et al. define intrapreneurial behaviour “as the identification and exploitation of opportunities by individual workers that (also) advance the organisation.”</w:t>
      </w:r>
    </w:p>
    <w:p w14:paraId="34F470BA" w14:textId="77777777" w:rsidR="0060466F" w:rsidRDefault="00000000">
      <w:pPr>
        <w:pStyle w:val="Heading2"/>
      </w:pPr>
      <w:bookmarkStart w:id="20" w:name="the-role-of-autonomy"/>
      <w:bookmarkStart w:id="21" w:name="_Toc122030726"/>
      <w:bookmarkEnd w:id="18"/>
      <w:r>
        <w:t>2.2 The role of autonomy</w:t>
      </w:r>
      <w:bookmarkEnd w:id="21"/>
    </w:p>
    <w:p w14:paraId="209569C9" w14:textId="77777777" w:rsidR="0060466F" w:rsidRDefault="00000000">
      <w:pPr>
        <w:pStyle w:val="FirstParagraph"/>
      </w:pPr>
      <w:r>
        <w:t>Labour market conditions are changing. Rapid technological progress, increased employee tenures, a rise in high-skilled jobs, and requests for more flexibility all indicate an increased need for autonomy (</w:t>
      </w:r>
      <w:proofErr w:type="spellStart"/>
      <w:r>
        <w:fldChar w:fldCharType="begin"/>
      </w:r>
      <w:r>
        <w:instrText>HYPERLINK \l "ref-stiglbauer2018" \h</w:instrText>
      </w:r>
      <w:r>
        <w:fldChar w:fldCharType="separate"/>
      </w:r>
      <w:r>
        <w:rPr>
          <w:rStyle w:val="Hyperlink"/>
        </w:rPr>
        <w:t>Stiglbauer</w:t>
      </w:r>
      <w:proofErr w:type="spellEnd"/>
      <w:r>
        <w:rPr>
          <w:rStyle w:val="Hyperlink"/>
        </w:rPr>
        <w:t xml:space="preserve"> &amp; Kovacs, 2018</w:t>
      </w:r>
      <w:r>
        <w:rPr>
          <w:rStyle w:val="Hyperlink"/>
        </w:rPr>
        <w:fldChar w:fldCharType="end"/>
      </w:r>
      <w:r>
        <w:t>). Companies are advised to grant employees a greater span of control in order to leverage digital technologies and employee’s expertise (</w:t>
      </w:r>
      <w:proofErr w:type="spellStart"/>
      <w:r>
        <w:fldChar w:fldCharType="begin"/>
      </w:r>
      <w:r>
        <w:instrText>HYPERLINK \l "ref-mueckeHowDoesJob2019" \h</w:instrText>
      </w:r>
      <w:r>
        <w:fldChar w:fldCharType="separate"/>
      </w:r>
      <w:r>
        <w:rPr>
          <w:rStyle w:val="Hyperlink"/>
        </w:rPr>
        <w:t>Muecke</w:t>
      </w:r>
      <w:proofErr w:type="spellEnd"/>
      <w:r>
        <w:rPr>
          <w:rStyle w:val="Hyperlink"/>
        </w:rPr>
        <w:t xml:space="preserve"> &amp; </w:t>
      </w:r>
      <w:proofErr w:type="spellStart"/>
      <w:r>
        <w:rPr>
          <w:rStyle w:val="Hyperlink"/>
        </w:rPr>
        <w:t>Iseke</w:t>
      </w:r>
      <w:proofErr w:type="spellEnd"/>
      <w:r>
        <w:rPr>
          <w:rStyle w:val="Hyperlink"/>
        </w:rPr>
        <w:t>, 2019</w:t>
      </w:r>
      <w:r>
        <w:rPr>
          <w:rStyle w:val="Hyperlink"/>
        </w:rPr>
        <w:fldChar w:fldCharType="end"/>
      </w:r>
      <w:r>
        <w:t>). With autonomy becoming a more prominent component of work, the further investigation of its relationship with intrapreneurial behaviour is valuable.</w:t>
      </w:r>
    </w:p>
    <w:p w14:paraId="1F08122C" w14:textId="77777777" w:rsidR="0060466F" w:rsidRDefault="00000000">
      <w:pPr>
        <w:pStyle w:val="BodyText"/>
      </w:pPr>
      <w:r>
        <w:t>Autonomy is an influencing factor for intrapreneurial behaviour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 Giving employees the freedom to design their own work and make decisions results in more intrapreneurial activity and higher levels of self-efficacy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 xml:space="preserve">). </w:t>
      </w:r>
      <w:hyperlink w:anchor="ref-deJong2015">
        <w:r>
          <w:rPr>
            <w:rStyle w:val="Hyperlink"/>
          </w:rPr>
          <w:t>De Jong et al.</w:t>
        </w:r>
      </w:hyperlink>
      <w:r>
        <w:t xml:space="preserve"> (</w:t>
      </w:r>
      <w:hyperlink w:anchor="ref-deJong2015">
        <w:r>
          <w:rPr>
            <w:rStyle w:val="Hyperlink"/>
          </w:rPr>
          <w:t>2015</w:t>
        </w:r>
      </w:hyperlink>
      <w:r>
        <w:t xml:space="preserve">) similarly found that job autonomy leads to higher levels of </w:t>
      </w:r>
      <w:r>
        <w:lastRenderedPageBreak/>
        <w:t>intrapreneurial behaviour, especially with respect to its innovation and proactivity dimensions.</w:t>
      </w:r>
    </w:p>
    <w:p w14:paraId="13ADE6C6" w14:textId="77777777" w:rsidR="0060466F" w:rsidRDefault="00000000">
      <w:pPr>
        <w:pStyle w:val="BodyText"/>
      </w:pPr>
      <w:r>
        <w:t xml:space="preserve">However, </w:t>
      </w:r>
      <w:hyperlink w:anchor="ref-gerards2021">
        <w:proofErr w:type="spellStart"/>
        <w:r>
          <w:rPr>
            <w:rStyle w:val="Hyperlink"/>
          </w:rPr>
          <w:t>Gerards</w:t>
        </w:r>
        <w:proofErr w:type="spellEnd"/>
        <w:r>
          <w:rPr>
            <w:rStyle w:val="Hyperlink"/>
          </w:rPr>
          <w:t xml:space="preserve"> et al.</w:t>
        </w:r>
      </w:hyperlink>
      <w:r>
        <w:t xml:space="preserve"> (</w:t>
      </w:r>
      <w:hyperlink w:anchor="ref-gerards2021">
        <w:r>
          <w:rPr>
            <w:rStyle w:val="Hyperlink"/>
          </w:rPr>
          <w:t>2021</w:t>
        </w:r>
      </w:hyperlink>
      <w:r>
        <w:t>) states that the positive relation between autonomy and intrapreneurial behaviour is ambiguous. One stream states that autonomy has been shown to influence intrapreneurial behaviour through the mediating effect of a transformational leadership style (</w:t>
      </w:r>
      <w:proofErr w:type="spellStart"/>
      <w:r>
        <w:fldChar w:fldCharType="begin"/>
      </w:r>
      <w:r>
        <w:instrText>HYPERLINK \l "ref-gerards2021" \h</w:instrText>
      </w:r>
      <w:r>
        <w:fldChar w:fldCharType="separate"/>
      </w:r>
      <w:r>
        <w:rPr>
          <w:rStyle w:val="Hyperlink"/>
        </w:rPr>
        <w:t>Gerards</w:t>
      </w:r>
      <w:proofErr w:type="spellEnd"/>
      <w:r>
        <w:rPr>
          <w:rStyle w:val="Hyperlink"/>
        </w:rPr>
        <w:t xml:space="preserve"> et al., 2021</w:t>
      </w:r>
      <w:r>
        <w:rPr>
          <w:rStyle w:val="Hyperlink"/>
        </w:rPr>
        <w:fldChar w:fldCharType="end"/>
      </w:r>
      <w:r>
        <w:t>). Another stream states that employees will be reluctant to show initiative when organisations and leaders emphasise efficiency and flawlessness, even when they are given autonomy (</w:t>
      </w:r>
      <w:hyperlink w:anchor="ref-jung2003">
        <w:r>
          <w:rPr>
            <w:rStyle w:val="Hyperlink"/>
          </w:rPr>
          <w:t>Jung et al., 2003</w:t>
        </w:r>
      </w:hyperlink>
      <w:r>
        <w:t xml:space="preserve">; </w:t>
      </w:r>
      <w:hyperlink w:anchor="ref-yukl2001">
        <w:r>
          <w:rPr>
            <w:rStyle w:val="Hyperlink"/>
          </w:rPr>
          <w:t>Yukl, 2001</w:t>
        </w:r>
      </w:hyperlink>
      <w:r>
        <w:t>). Additionally, both autonomy and innovative behaviour have shown meaningful variability on a daily basis (</w:t>
      </w:r>
      <w:proofErr w:type="spellStart"/>
      <w:r>
        <w:fldChar w:fldCharType="begin"/>
      </w:r>
      <w:r>
        <w:instrText>HYPERLINK \l "ref-zacher2014" \h</w:instrText>
      </w:r>
      <w:r>
        <w:fldChar w:fldCharType="separate"/>
      </w:r>
      <w:r>
        <w:rPr>
          <w:rStyle w:val="Hyperlink"/>
        </w:rPr>
        <w:t>Zacher</w:t>
      </w:r>
      <w:proofErr w:type="spellEnd"/>
      <w:r>
        <w:rPr>
          <w:rStyle w:val="Hyperlink"/>
        </w:rPr>
        <w:t xml:space="preserve"> &amp; Wilden, 2014</w:t>
      </w:r>
      <w:r>
        <w:rPr>
          <w:rStyle w:val="Hyperlink"/>
        </w:rPr>
        <w:fldChar w:fldCharType="end"/>
      </w:r>
      <w:r>
        <w:t>). On days of perceived high autonomy employees are more likely to generate novel ideas, proactively tackle work-related problems and be more inclined to innovate (</w:t>
      </w:r>
      <w:proofErr w:type="spellStart"/>
      <w:r>
        <w:fldChar w:fldCharType="begin"/>
      </w:r>
      <w:r>
        <w:instrText>HYPERLINK \l "ref-ohly2009" \h</w:instrText>
      </w:r>
      <w:r>
        <w:fldChar w:fldCharType="separate"/>
      </w:r>
      <w:r>
        <w:rPr>
          <w:rStyle w:val="Hyperlink"/>
        </w:rPr>
        <w:t>Ohly</w:t>
      </w:r>
      <w:proofErr w:type="spellEnd"/>
      <w:r>
        <w:rPr>
          <w:rStyle w:val="Hyperlink"/>
        </w:rPr>
        <w:t xml:space="preserve"> &amp; Fritz, 2010</w:t>
      </w:r>
      <w:r>
        <w:rPr>
          <w:rStyle w:val="Hyperlink"/>
        </w:rPr>
        <w:fldChar w:fldCharType="end"/>
      </w:r>
      <w:r>
        <w:t xml:space="preserve">; </w:t>
      </w:r>
      <w:hyperlink w:anchor="ref-orth2017">
        <w:r>
          <w:rPr>
            <w:rStyle w:val="Hyperlink"/>
          </w:rPr>
          <w:t>Orth &amp; Volmer, 2017</w:t>
        </w:r>
      </w:hyperlink>
      <w:r>
        <w:t>).</w:t>
      </w:r>
    </w:p>
    <w:p w14:paraId="117AE3AB" w14:textId="77777777" w:rsidR="0060466F" w:rsidRDefault="00000000">
      <w:pPr>
        <w:pStyle w:val="BodyText"/>
      </w:pPr>
      <w:r>
        <w:t xml:space="preserve">Much of the existing literature research autonomy from the provisioning aspect of an organisation (e.g., </w:t>
      </w:r>
      <w:hyperlink w:anchor="ref-deJong2015">
        <w:r>
          <w:rPr>
            <w:rStyle w:val="Hyperlink"/>
          </w:rPr>
          <w:t>De Jong et al., 2015</w:t>
        </w:r>
      </w:hyperlink>
      <w:r>
        <w:t xml:space="preserve">). These studies see the relation between autonomy and intrapreneurial behaviour through the lens of job design (see </w:t>
      </w:r>
      <w:hyperlink w:anchor="ref-deJong2015">
        <w:r>
          <w:rPr>
            <w:rStyle w:val="Hyperlink"/>
          </w:rPr>
          <w:t>De Jong et al., 2015</w:t>
        </w:r>
      </w:hyperlink>
      <w:r>
        <w:t xml:space="preserve">; </w:t>
      </w:r>
      <w:hyperlink w:anchor="ref-gawke2019">
        <w:proofErr w:type="spellStart"/>
        <w:r>
          <w:rPr>
            <w:rStyle w:val="Hyperlink"/>
          </w:rPr>
          <w:t>Gawke</w:t>
        </w:r>
        <w:proofErr w:type="spellEnd"/>
        <w:r>
          <w:rPr>
            <w:rStyle w:val="Hyperlink"/>
          </w:rPr>
          <w:t xml:space="preserve"> et al., 2019</w:t>
        </w:r>
      </w:hyperlink>
      <w:r>
        <w:t xml:space="preserve">; </w:t>
      </w:r>
      <w:hyperlink w:anchor="ref-rigtering2013">
        <w:proofErr w:type="spellStart"/>
        <w:r>
          <w:rPr>
            <w:rStyle w:val="Hyperlink"/>
          </w:rPr>
          <w:t>Rigtering</w:t>
        </w:r>
        <w:proofErr w:type="spellEnd"/>
        <w:r>
          <w:rPr>
            <w:rStyle w:val="Hyperlink"/>
          </w:rPr>
          <w:t xml:space="preserve"> &amp; Weitzel, 2013</w:t>
        </w:r>
      </w:hyperlink>
      <w:r>
        <w:t>). Although an organisation may offer autonomy, whether that autonomy will be used will depend on the individual. How individuals respond to high levels of autonomy strongly depends upon the individual and/or contextual characteristics (</w:t>
      </w:r>
      <w:proofErr w:type="spellStart"/>
      <w:r>
        <w:fldChar w:fldCharType="begin"/>
      </w:r>
      <w:r>
        <w:instrText>HYPERLINK \l "ref-stiglbauer2018" \h</w:instrText>
      </w:r>
      <w:r>
        <w:fldChar w:fldCharType="separate"/>
      </w:r>
      <w:r>
        <w:rPr>
          <w:rStyle w:val="Hyperlink"/>
        </w:rPr>
        <w:t>Stiglbauer</w:t>
      </w:r>
      <w:proofErr w:type="spellEnd"/>
      <w:r>
        <w:rPr>
          <w:rStyle w:val="Hyperlink"/>
        </w:rPr>
        <w:t xml:space="preserve"> &amp; Kovacs, 2018</w:t>
      </w:r>
      <w:r>
        <w:rPr>
          <w:rStyle w:val="Hyperlink"/>
        </w:rPr>
        <w:fldChar w:fldCharType="end"/>
      </w:r>
      <w:r>
        <w:t>). Jong and Ford (2021) argue that it is critical to not only examine job autonomy on its own but to also examine the congruence between autonomy and the preference for autonomy. The Person-Environment theory offers a perspective for researching this congruence. Seen in simple terms, the needs and supply of autonomy can either fit or misfit.</w:t>
      </w:r>
    </w:p>
    <w:p w14:paraId="327CD144" w14:textId="77777777" w:rsidR="0060466F" w:rsidRDefault="00000000">
      <w:pPr>
        <w:pStyle w:val="BodyText"/>
      </w:pPr>
      <w:r>
        <w:t>Not all individuals will display the same behaviour, even when they are in the same environment. A popular theory explaining possible reasons for this difference is the Person-Environment fit theory. “Person-Environment fit is generally defined as the compatibility between individuals and their environment (</w:t>
      </w:r>
      <w:hyperlink w:anchor="ref-vanVianen2018">
        <w:r>
          <w:rPr>
            <w:rStyle w:val="Hyperlink"/>
          </w:rPr>
          <w:t xml:space="preserve">van </w:t>
        </w:r>
        <w:proofErr w:type="spellStart"/>
        <w:r>
          <w:rPr>
            <w:rStyle w:val="Hyperlink"/>
          </w:rPr>
          <w:t>Vianen</w:t>
        </w:r>
        <w:proofErr w:type="spellEnd"/>
        <w:r>
          <w:rPr>
            <w:rStyle w:val="Hyperlink"/>
          </w:rPr>
          <w:t>, 2018</w:t>
        </w:r>
      </w:hyperlink>
      <w:r>
        <w:t>)”. The theory suggests that the attitudes, behaviours, and other outcomes, do not result from the person or environment separately, but rather from the relationship between the two (</w:t>
      </w:r>
      <w:hyperlink w:anchor="ref-jong2021">
        <w:r>
          <w:rPr>
            <w:rStyle w:val="Hyperlink"/>
          </w:rPr>
          <w:t>Jong &amp; Ford, 2021</w:t>
        </w:r>
      </w:hyperlink>
      <w:r>
        <w:t>). In other words, if the characteristics of an individual are aligned with those of the environment, this will lead to a certain outcome in behaviour. The Person-Environment fit theory examines how job attitudes are explained by the fit between individuals and their work situation (</w:t>
      </w:r>
      <w:hyperlink w:anchor="ref-jong2021">
        <w:r>
          <w:rPr>
            <w:rStyle w:val="Hyperlink"/>
          </w:rPr>
          <w:t>Jong &amp; Ford, 2021</w:t>
        </w:r>
      </w:hyperlink>
      <w:r>
        <w:t>).</w:t>
      </w:r>
    </w:p>
    <w:p w14:paraId="7974F5BE" w14:textId="77777777" w:rsidR="0060466F" w:rsidRDefault="00000000">
      <w:pPr>
        <w:pStyle w:val="BodyText"/>
      </w:pPr>
      <w:r>
        <w:t>The key assumption of the Person-Environment fit theory is that people have an innate need to fit with their environments (</w:t>
      </w:r>
      <w:hyperlink w:anchor="ref-vanVianen2018">
        <w:r>
          <w:rPr>
            <w:rStyle w:val="Hyperlink"/>
          </w:rPr>
          <w:t xml:space="preserve">van </w:t>
        </w:r>
        <w:proofErr w:type="spellStart"/>
        <w:r>
          <w:rPr>
            <w:rStyle w:val="Hyperlink"/>
          </w:rPr>
          <w:t>Vianen</w:t>
        </w:r>
        <w:proofErr w:type="spellEnd"/>
        <w:r>
          <w:rPr>
            <w:rStyle w:val="Hyperlink"/>
          </w:rPr>
          <w:t>, 2018</w:t>
        </w:r>
      </w:hyperlink>
      <w:r>
        <w:t>). Having a fit allows individuals to better understand the behaviours of others and facilitates interpersonal interactions. They compare themselves with other people in their social environment (</w:t>
      </w:r>
      <w:hyperlink w:anchor="ref-vanVianen2018">
        <w:r>
          <w:rPr>
            <w:rStyle w:val="Hyperlink"/>
          </w:rPr>
          <w:t xml:space="preserve">van </w:t>
        </w:r>
        <w:proofErr w:type="spellStart"/>
        <w:r>
          <w:rPr>
            <w:rStyle w:val="Hyperlink"/>
          </w:rPr>
          <w:t>Vianen</w:t>
        </w:r>
        <w:proofErr w:type="spellEnd"/>
        <w:r>
          <w:rPr>
            <w:rStyle w:val="Hyperlink"/>
          </w:rPr>
          <w:t>, 2018</w:t>
        </w:r>
      </w:hyperlink>
      <w:r>
        <w:t>). Perfect fit, however, is a rare circumstance. People make suboptimal choices, and individuals and their environments change over time (</w:t>
      </w:r>
      <w:hyperlink w:anchor="ref-vanVianen2018">
        <w:r>
          <w:rPr>
            <w:rStyle w:val="Hyperlink"/>
          </w:rPr>
          <w:t xml:space="preserve">van </w:t>
        </w:r>
        <w:proofErr w:type="spellStart"/>
        <w:r>
          <w:rPr>
            <w:rStyle w:val="Hyperlink"/>
          </w:rPr>
          <w:t>Vianen</w:t>
        </w:r>
        <w:proofErr w:type="spellEnd"/>
        <w:r>
          <w:rPr>
            <w:rStyle w:val="Hyperlink"/>
          </w:rPr>
          <w:t>, 2018</w:t>
        </w:r>
      </w:hyperlink>
      <w:r>
        <w:t xml:space="preserve">). A dominant model of Person-Environment fit theory is the attraction-selection-attrition (ASA) model from </w:t>
      </w:r>
      <w:hyperlink w:anchor="ref-schneider1987">
        <w:r>
          <w:rPr>
            <w:rStyle w:val="Hyperlink"/>
          </w:rPr>
          <w:t>Schneider</w:t>
        </w:r>
      </w:hyperlink>
      <w:r>
        <w:t xml:space="preserve"> (</w:t>
      </w:r>
      <w:hyperlink w:anchor="ref-schneider1987">
        <w:r>
          <w:rPr>
            <w:rStyle w:val="Hyperlink"/>
          </w:rPr>
          <w:t>1987</w:t>
        </w:r>
      </w:hyperlink>
      <w:r>
        <w:t xml:space="preserve">; </w:t>
      </w:r>
      <w:hyperlink w:anchor="ref-simmering2003">
        <w:r>
          <w:rPr>
            <w:rStyle w:val="Hyperlink"/>
          </w:rPr>
          <w:t>Simmering et al., 2003</w:t>
        </w:r>
      </w:hyperlink>
      <w:r>
        <w:t xml:space="preserve">). This model posits that employees are attracted to organisations that provide a high level of fit, are selected by organisations that recognise this fit, and leave the organisation when misfit occurs. This deemphasises the </w:t>
      </w:r>
      <w:r>
        <w:lastRenderedPageBreak/>
        <w:t>possibility that individuals might change themselves rather than leaving the organisation (</w:t>
      </w:r>
      <w:hyperlink w:anchor="ref-simmering2003">
        <w:r>
          <w:rPr>
            <w:rStyle w:val="Hyperlink"/>
          </w:rPr>
          <w:t>Simmering et al., 2003</w:t>
        </w:r>
      </w:hyperlink>
      <w:r>
        <w:t>). Although individuals and organisations might strive for fit during attraction and selection, misfits research might provide organisations with more tangible advice and insight that helps them change their selection strategies or helps new hires adapt to their situation.</w:t>
      </w:r>
    </w:p>
    <w:p w14:paraId="17046446" w14:textId="77777777" w:rsidR="0060466F" w:rsidRDefault="00000000">
      <w:pPr>
        <w:pStyle w:val="BodyText"/>
      </w:pPr>
      <w:r>
        <w:t>To answer the main hypothesis of this research, the fit concept of needs-supplies was chosen. Needs-supplies fit describes the alignment of the employee’s needs, desires, or preferences and the supply provided by the job they perform (</w:t>
      </w:r>
      <w:hyperlink w:anchor="ref-kristof2005">
        <w:r>
          <w:rPr>
            <w:rStyle w:val="Hyperlink"/>
          </w:rPr>
          <w:t>Kristof-Brown et al., 2005</w:t>
        </w:r>
      </w:hyperlink>
      <w:r>
        <w:t>) The reason for this is twofold: 1) autonomy is typically researched in the context of person-job fit (</w:t>
      </w:r>
      <w:hyperlink w:anchor="ref-vanVianen2018">
        <w:r>
          <w:rPr>
            <w:rStyle w:val="Hyperlink"/>
          </w:rPr>
          <w:t xml:space="preserve">van </w:t>
        </w:r>
        <w:proofErr w:type="spellStart"/>
        <w:r>
          <w:rPr>
            <w:rStyle w:val="Hyperlink"/>
          </w:rPr>
          <w:t>Vianen</w:t>
        </w:r>
        <w:proofErr w:type="spellEnd"/>
        <w:r>
          <w:rPr>
            <w:rStyle w:val="Hyperlink"/>
          </w:rPr>
          <w:t>, 2018</w:t>
        </w:r>
      </w:hyperlink>
      <w:r>
        <w:t>), and 2) needs-supplies fit has the greatest impact on job attitudes (</w:t>
      </w:r>
      <w:hyperlink w:anchor="ref-kristof2005">
        <w:r>
          <w:rPr>
            <w:rStyle w:val="Hyperlink"/>
          </w:rPr>
          <w:t>Kristof-Brown et al., 2005</w:t>
        </w:r>
      </w:hyperlink>
      <w:r>
        <w:t>). Regarding the effects of (mis)fit two opposing views predominate. The affective-consistency based view states that a needs-supplies fit gives rise to positive attitudes, which in turn acts as motivators (</w:t>
      </w:r>
      <w:hyperlink w:anchor="ref-yu2016">
        <w:r>
          <w:rPr>
            <w:rStyle w:val="Hyperlink"/>
          </w:rPr>
          <w:t>Yu &amp; Davis, 2016</w:t>
        </w:r>
      </w:hyperlink>
      <w:r>
        <w:t>). The self-regulation view gives an opposing perspective. This view follows the core principle of cybernetics, namely that a negative feedback loop is required to get in motion (</w:t>
      </w:r>
      <w:hyperlink w:anchor="ref-edwards1992">
        <w:r>
          <w:rPr>
            <w:rStyle w:val="Hyperlink"/>
          </w:rPr>
          <w:t>Edwards, 1992</w:t>
        </w:r>
      </w:hyperlink>
      <w:r>
        <w:t>). In other words, there must be a misfit in order to engage in certain behaviour. The research of Yu and Davis (2016) shows that a misfit of autonomy yields proactive behaviour at an individual, supporting the self-regulatory view.</w:t>
      </w:r>
    </w:p>
    <w:p w14:paraId="1E879AC9" w14:textId="77777777" w:rsidR="0060466F" w:rsidRDefault="00000000">
      <w:pPr>
        <w:pStyle w:val="Heading3"/>
      </w:pPr>
      <w:bookmarkStart w:id="22" w:name="the-affective-consistency-view"/>
      <w:bookmarkStart w:id="23" w:name="_Toc122030727"/>
      <w:r>
        <w:t>2.2.1 The affective-consistency view</w:t>
      </w:r>
      <w:bookmarkEnd w:id="23"/>
    </w:p>
    <w:p w14:paraId="5349E430" w14:textId="77777777" w:rsidR="0060466F" w:rsidRDefault="00000000">
      <w:pPr>
        <w:pStyle w:val="FirstParagraph"/>
      </w:pPr>
      <w:r>
        <w:t>Prevalent idea of the affective-consistency based view is that a needs-supplies fit is required for one to be motivated (</w:t>
      </w:r>
      <w:hyperlink w:anchor="ref-yu2016">
        <w:r>
          <w:rPr>
            <w:rStyle w:val="Hyperlink"/>
          </w:rPr>
          <w:t>Yu &amp; Davis, 2016</w:t>
        </w:r>
      </w:hyperlink>
      <w:r>
        <w:t>). This view posits that individual experiences of positive work-based emotions, will lead to a Person-Environment fit. The positive experience leads individuals to adjust or perceive that aspect so that a Person-Environment fit exists. Similarly, negative emotions lead a person to believe that a misfit exists (</w:t>
      </w:r>
      <w:hyperlink w:anchor="ref-yu2009">
        <w:r>
          <w:rPr>
            <w:rStyle w:val="Hyperlink"/>
          </w:rPr>
          <w:t>Yu, 2009</w:t>
        </w:r>
      </w:hyperlink>
      <w:r>
        <w:t>). A person perceives the right fit when they have been given the amount of autonomy that accords with their individual needs. The effect of perceiving this fit will positively influence the motivation of the individual. When an individual would like to have more or less autonomy than what their organisation gives them, they perceive a misfit. The misfit would negatively influence the motivation of the individual.</w:t>
      </w:r>
    </w:p>
    <w:p w14:paraId="54C3F71A" w14:textId="77777777" w:rsidR="0060466F" w:rsidRDefault="00000000">
      <w:pPr>
        <w:pStyle w:val="BodyText"/>
      </w:pPr>
      <w:r>
        <w:t>Many studies have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14:paraId="7CEB8F56" w14:textId="77777777" w:rsidR="0060466F" w:rsidRDefault="00000000">
      <w:pPr>
        <w:pStyle w:val="BodyText"/>
      </w:pPr>
      <w:hyperlink w:anchor="ref-deJong2015">
        <w:r>
          <w:rPr>
            <w:rStyle w:val="Hyperlink"/>
          </w:rPr>
          <w:t>De Jong et al.</w:t>
        </w:r>
      </w:hyperlink>
      <w:r>
        <w:t xml:space="preserve"> (</w:t>
      </w:r>
      <w:hyperlink w:anchor="ref-deJong2015">
        <w:r>
          <w:rPr>
            <w:rStyle w:val="Hyperlink"/>
          </w:rPr>
          <w:t>2015</w:t>
        </w:r>
      </w:hyperlink>
      <w:r>
        <w:t xml:space="preserve">) found that job autonomy was directly related to the intrapreneurial dimensions of innovativeness and proactiveness. Job autonomy in this research influenced intrapreneurial behaviour. Job autonomy also affects job performance. </w:t>
      </w:r>
      <w:proofErr w:type="spellStart"/>
      <w:r>
        <w:t>Muecke</w:t>
      </w:r>
      <w:proofErr w:type="spellEnd"/>
      <w:r>
        <w:t xml:space="preserve"> and </w:t>
      </w:r>
      <w:proofErr w:type="spellStart"/>
      <w:r>
        <w:t>Iseke</w:t>
      </w:r>
      <w:proofErr w:type="spellEnd"/>
      <w:r>
        <w:t xml:space="preserve"> (2019) found that job autonomy leads to better performance as it enhances work motivation and reduces mental strain. In conjunction with high-quality leader-member exchange, job autonomy strengthens the effect of this exchange on creative work. In short, job autonomy has been found to have positive outcomes on a variety of perspectives. </w:t>
      </w:r>
      <w:r>
        <w:lastRenderedPageBreak/>
        <w:t>However, underlying all these positive outcomes is a fit between the autonomy needs and supplies. In other words, if an individual’s autonomy need fits the organisational supply, the individual will exhibit higher levels of intrapreneurial behaviour. Following the person-environment perspective, fit will show a linear effect on its outcome. When both person and environment are low, the outcome variable will be low. High levels for person and environment will lead to high levels for the outcome variable. For example, Jong and Ford (2021) found that work outcomes were at their highest levels only when the need and supply of autonomy both were high.</w:t>
      </w:r>
    </w:p>
    <w:p w14:paraId="73E6CFD9" w14:textId="77777777" w:rsidR="0060466F" w:rsidRDefault="00000000">
      <w:pPr>
        <w:pStyle w:val="BodyText"/>
      </w:pPr>
      <w:r>
        <w:t xml:space="preserve">Nevertheless, the nature of this view discards the need for autonomy in contrast to the autonomy supplied by the organisation. </w:t>
      </w:r>
      <w:hyperlink w:anchor="ref-deJong2015">
        <w:r>
          <w:rPr>
            <w:rStyle w:val="Hyperlink"/>
          </w:rPr>
          <w:t>De Jong et al.</w:t>
        </w:r>
      </w:hyperlink>
      <w:r>
        <w:t xml:space="preserve"> (</w:t>
      </w:r>
      <w:hyperlink w:anchor="ref-deJong2015">
        <w:r>
          <w:rPr>
            <w:rStyle w:val="Hyperlink"/>
          </w:rPr>
          <w:t>2015</w:t>
        </w:r>
      </w:hyperlink>
      <w:r>
        <w:t>) for example, already mentioned the limitation that highly intrapreneurial employees may be the ones that obtain high-autonomy functions. This limitation potentially skews it findings.</w:t>
      </w:r>
    </w:p>
    <w:p w14:paraId="78C0B08A" w14:textId="77777777" w:rsidR="0060466F" w:rsidRDefault="00000000">
      <w:pPr>
        <w:pStyle w:val="Heading3"/>
      </w:pPr>
      <w:bookmarkStart w:id="24" w:name="the-self-regulatory-view"/>
      <w:bookmarkStart w:id="25" w:name="_Toc122030728"/>
      <w:bookmarkEnd w:id="22"/>
      <w:r>
        <w:t>2.2.2 The self-regulatory view</w:t>
      </w:r>
      <w:bookmarkEnd w:id="25"/>
    </w:p>
    <w:p w14:paraId="13418FF4" w14:textId="77777777" w:rsidR="0060466F" w:rsidRDefault="00000000">
      <w:pPr>
        <w:pStyle w:val="FirstParagraph"/>
      </w:pPr>
      <w:r>
        <w:t>The core principle of the self-regulating view is its focus on a negative feedback loop. This loop is essential to minimise differences between aspects of the environment and relevant reference criteria of the individual (</w:t>
      </w:r>
      <w:hyperlink w:anchor="ref-edwards1992">
        <w:r>
          <w:rPr>
            <w:rStyle w:val="Hyperlink"/>
          </w:rPr>
          <w:t>Edwards, 1992</w:t>
        </w:r>
      </w:hyperlink>
      <w:r>
        <w:t xml:space="preserve">). The core premise is that a negative effects from an individual’s experience leads to the individual acting to improve their experience. </w:t>
      </w:r>
      <w:hyperlink w:anchor="ref-edwards1992">
        <w:r>
          <w:rPr>
            <w:rStyle w:val="Hyperlink"/>
          </w:rPr>
          <w:t>Edwards</w:t>
        </w:r>
      </w:hyperlink>
      <w:r>
        <w:t xml:space="preserve"> (</w:t>
      </w:r>
      <w:hyperlink w:anchor="ref-edwards1992">
        <w:r>
          <w:rPr>
            <w:rStyle w:val="Hyperlink"/>
          </w:rPr>
          <w:t>1992</w:t>
        </w:r>
      </w:hyperlink>
      <w:r>
        <w:t>) argues that an individual’s experience of stress has a negative effect on their well-being. This negative experience leads to an individual experiencing negative feelings that kickstart behaviour to improve their well-being, similar to how a thermostat triggers the boiler to reach a desired temperature by recognising when the temperature is not at a desired level.</w:t>
      </w:r>
    </w:p>
    <w:p w14:paraId="553C33D2" w14:textId="77777777" w:rsidR="0060466F" w:rsidRDefault="00000000">
      <w:pPr>
        <w:pStyle w:val="BodyText"/>
      </w:pPr>
      <w:r>
        <w:t xml:space="preserve">Following the self-regulatory view, a perceived misfit of autonomy is required for individuals to change. </w:t>
      </w:r>
      <w:hyperlink w:anchor="ref-vanVianen2018">
        <w:r>
          <w:rPr>
            <w:rStyle w:val="Hyperlink"/>
          </w:rPr>
          <w:t xml:space="preserve">van </w:t>
        </w:r>
        <w:proofErr w:type="spellStart"/>
        <w:r>
          <w:rPr>
            <w:rStyle w:val="Hyperlink"/>
          </w:rPr>
          <w:t>Vianen</w:t>
        </w:r>
        <w:proofErr w:type="spellEnd"/>
      </w:hyperlink>
      <w:r>
        <w:t xml:space="preserve"> (</w:t>
      </w:r>
      <w:hyperlink w:anchor="ref-vanVianen2018">
        <w:r>
          <w:rPr>
            <w:rStyle w:val="Hyperlink"/>
          </w:rPr>
          <w:t>2018</w:t>
        </w:r>
      </w:hyperlink>
      <w:r>
        <w:t>) further states that an individual’s experience of misfit will lead to them adapting. Depending on the misfit perception, opportunities to repair the misfit, environmental and individual mitigating factors might motivate individuals to leave the job or adapt to the situation (</w:t>
      </w:r>
      <w:hyperlink w:anchor="ref-vanVianen2018">
        <w:r>
          <w:rPr>
            <w:rStyle w:val="Hyperlink"/>
          </w:rPr>
          <w:t xml:space="preserve">van </w:t>
        </w:r>
        <w:proofErr w:type="spellStart"/>
        <w:r>
          <w:rPr>
            <w:rStyle w:val="Hyperlink"/>
          </w:rPr>
          <w:t>Vianen</w:t>
        </w:r>
        <w:proofErr w:type="spellEnd"/>
        <w:r>
          <w:rPr>
            <w:rStyle w:val="Hyperlink"/>
          </w:rPr>
          <w:t>, 2018</w:t>
        </w:r>
      </w:hyperlink>
      <w:r>
        <w:t xml:space="preserve">). The literature demonstrated powerful examples of beneficial misfits. For example, in a study that examines autonomy fit and personal development, </w:t>
      </w:r>
      <w:hyperlink w:anchor="ref-simmering2003">
        <w:r>
          <w:rPr>
            <w:rStyle w:val="Hyperlink"/>
          </w:rPr>
          <w:t>Simmering et al.</w:t>
        </w:r>
      </w:hyperlink>
      <w:r>
        <w:t xml:space="preserve"> (</w:t>
      </w:r>
      <w:hyperlink w:anchor="ref-simmering2003">
        <w:r>
          <w:rPr>
            <w:rStyle w:val="Hyperlink"/>
          </w:rPr>
          <w:t>2003</w:t>
        </w:r>
      </w:hyperlink>
      <w:r>
        <w:t>) examined autonomy fit and personal development and found that autonomy misfit is essential for creating the impetus for an individual’s personal development. The autonomy misfit of newcomers has been shown to lead to higher levels of proactive behaviour (</w:t>
      </w:r>
      <w:hyperlink w:anchor="ref-yu2016">
        <w:r>
          <w:rPr>
            <w:rStyle w:val="Hyperlink"/>
          </w:rPr>
          <w:t>Yu &amp; Davis, 2016</w:t>
        </w:r>
      </w:hyperlink>
      <w:r>
        <w:t>). These examples lend evidence to the self-regulatory view of needs-supplies misfit. Consequently, if misfit is required to motivate people, a needs-supplies fit will lead people to refrain from showing intrapreneurial behaviour or simply display less intrapreneurial behaviour.</w:t>
      </w:r>
    </w:p>
    <w:p w14:paraId="019CD144" w14:textId="77777777" w:rsidR="0060466F" w:rsidRDefault="00000000">
      <w:pPr>
        <w:pStyle w:val="BodyText"/>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 Which type of misfit is experienced will determine the misfit’s impact. Additionally, </w:t>
      </w:r>
      <w:hyperlink w:anchor="ref-lambert2003">
        <w:r>
          <w:rPr>
            <w:rStyle w:val="Hyperlink"/>
          </w:rPr>
          <w:t>Lambert et al.</w:t>
        </w:r>
      </w:hyperlink>
      <w:r>
        <w:t xml:space="preserve"> (</w:t>
      </w:r>
      <w:hyperlink w:anchor="ref-lambert2003">
        <w:r>
          <w:rPr>
            <w:rStyle w:val="Hyperlink"/>
          </w:rPr>
          <w:t>2003</w:t>
        </w:r>
      </w:hyperlink>
      <w:r>
        <w:t xml:space="preserve">) showed that not all experienced misfits are important for the </w:t>
      </w:r>
      <w:r>
        <w:lastRenderedPageBreak/>
        <w:t>individual. In other words, although a misfit may exist, it does not necessarily affect behaviour, attitudes, or outcomes.</w:t>
      </w:r>
    </w:p>
    <w:p w14:paraId="7814C63C" w14:textId="77777777" w:rsidR="0060466F" w:rsidRDefault="00000000">
      <w:pPr>
        <w:pStyle w:val="BodyText"/>
      </w:pPr>
      <w:r>
        <w:t xml:space="preserve">Various studies argue that a linear relationship exists between the deficiency of autonomy and its impact on behaviour </w:t>
      </w:r>
      <w:proofErr w:type="spellStart"/>
      <w:r>
        <w:t>Stiglbauer</w:t>
      </w:r>
      <w:proofErr w:type="spellEnd"/>
      <w:r>
        <w:t xml:space="preserve"> and Kovacs (2018) showed that deficient misfit had a linear effect on well-being, meaning that any increase in fit leads to an equal improvement in well-being. Additionally, their research showed that a slight misfit deficiency actually fosters employee growth and well-being, confirming the self-regulatory view. In a study of employees’ online sharing of knowledge, the authors also found a linear effect on job autonomy (</w:t>
      </w:r>
      <w:hyperlink w:anchor="ref-pee2017">
        <w:r>
          <w:rPr>
            <w:rStyle w:val="Hyperlink"/>
          </w:rPr>
          <w:t>Pee &amp; Min, 2017</w:t>
        </w:r>
      </w:hyperlink>
      <w:r>
        <w:t>).</w:t>
      </w:r>
    </w:p>
    <w:p w14:paraId="5005F644" w14:textId="77777777" w:rsidR="0060466F" w:rsidRDefault="00000000">
      <w:pPr>
        <w:pStyle w:val="BodyText"/>
      </w:pPr>
      <w:r>
        <w:t>It is believed that an excess of misfit will do less harm than a deficient misfit (</w:t>
      </w:r>
      <w:hyperlink w:anchor="ref-vanVianen2018">
        <w:r>
          <w:rPr>
            <w:rStyle w:val="Hyperlink"/>
          </w:rPr>
          <w:t xml:space="preserve">van </w:t>
        </w:r>
        <w:proofErr w:type="spellStart"/>
        <w:r>
          <w:rPr>
            <w:rStyle w:val="Hyperlink"/>
          </w:rPr>
          <w:t>Vianen</w:t>
        </w:r>
        <w:proofErr w:type="spellEnd"/>
        <w:r>
          <w:rPr>
            <w:rStyle w:val="Hyperlink"/>
          </w:rPr>
          <w:t>, 2018</w:t>
        </w:r>
      </w:hyperlink>
      <w:r>
        <w:t>). The research of Yu and Davis (2016) investigated the level of proactivity of newcomers in an organisation, based on their personal needs for autonomy and what was supplied by the organisation. The authors found that an excess of autonomy misfit led to higher levels of proactivity compared to fit and deficient misfit. This result shows that, in the case of an excess misfit, meaning the organisation provided more autonomy than desired, individuals adapted more easily to the organisation (</w:t>
      </w:r>
      <w:hyperlink w:anchor="ref-yu2016">
        <w:r>
          <w:rPr>
            <w:rStyle w:val="Hyperlink"/>
          </w:rPr>
          <w:t>Yu &amp; Davis, 2016</w:t>
        </w:r>
      </w:hyperlink>
      <w:r>
        <w:t>).</w:t>
      </w:r>
    </w:p>
    <w:p w14:paraId="0FC5677F" w14:textId="77777777" w:rsidR="0060466F" w:rsidRDefault="00000000">
      <w:pPr>
        <w:pStyle w:val="BodyText"/>
      </w:pPr>
      <w:r>
        <w:t xml:space="preserve">A “too-much-of-a-good-thing” effect exist for autonomy. </w:t>
      </w:r>
      <w:hyperlink w:anchor="ref-zhou2020">
        <w:r>
          <w:rPr>
            <w:rStyle w:val="Hyperlink"/>
          </w:rPr>
          <w:t>Zhou</w:t>
        </w:r>
      </w:hyperlink>
      <w:r>
        <w:t xml:space="preserve"> (</w:t>
      </w:r>
      <w:hyperlink w:anchor="ref-zhou2020">
        <w:r>
          <w:rPr>
            <w:rStyle w:val="Hyperlink"/>
          </w:rPr>
          <w:t>2020</w:t>
        </w:r>
      </w:hyperlink>
      <w:r>
        <w:t>) discovered that giving too much autonomy to an individual has a tipping point. When exceeding that tipping point, too much autonomy was detrimental for the individual. Substantial levels of excess autonomy have been shown to decrease an individual’s well-being (</w:t>
      </w:r>
      <w:proofErr w:type="spellStart"/>
      <w:r>
        <w:fldChar w:fldCharType="begin"/>
      </w:r>
      <w:r>
        <w:instrText>HYPERLINK \l "ref-stiglbauer2018" \h</w:instrText>
      </w:r>
      <w:r>
        <w:fldChar w:fldCharType="separate"/>
      </w:r>
      <w:r>
        <w:rPr>
          <w:rStyle w:val="Hyperlink"/>
        </w:rPr>
        <w:t>Stiglbauer</w:t>
      </w:r>
      <w:proofErr w:type="spellEnd"/>
      <w:r>
        <w:rPr>
          <w:rStyle w:val="Hyperlink"/>
        </w:rPr>
        <w:t xml:space="preserve"> &amp; Kovacs, 2018</w:t>
      </w:r>
      <w:r>
        <w:rPr>
          <w:rStyle w:val="Hyperlink"/>
        </w:rPr>
        <w:fldChar w:fldCharType="end"/>
      </w:r>
      <w:r>
        <w:t xml:space="preserve">). </w:t>
      </w:r>
      <w:hyperlink w:anchor="ref-zhou2020">
        <w:r>
          <w:rPr>
            <w:rStyle w:val="Hyperlink"/>
          </w:rPr>
          <w:t>Zhou</w:t>
        </w:r>
      </w:hyperlink>
      <w:r>
        <w:t xml:space="preserve"> (</w:t>
      </w:r>
      <w:hyperlink w:anchor="ref-zhou2020">
        <w:r>
          <w:rPr>
            <w:rStyle w:val="Hyperlink"/>
          </w:rPr>
          <w:t>2020</w:t>
        </w:r>
      </w:hyperlink>
      <w:r>
        <w:t>) argues that an increase in autonomy leads to a depletion of job resources and consequently the subjective well-being of an individual will declines. An excess of autonomy therefore is unproblematic, but not indefinitely. At some point the individual will perceive the autonomy as a burden, and from that moment, autonomy negatively impacts intrapreneurial behaviour. The effect of excess autonomy on intrapreneurial behaviour is deemed to be curvilinear instead of linear.</w:t>
      </w:r>
    </w:p>
    <w:p w14:paraId="23202FFB" w14:textId="77777777" w:rsidR="0060466F" w:rsidRDefault="00000000">
      <w:pPr>
        <w:pStyle w:val="BodyText"/>
      </w:pPr>
      <w:r>
        <w:t>In summary, the affective-consistency based view is centres around autonomy fit. Individual need and organisational supply must be aligned, so that positive emotions will positively influence intrapreneurial behaviour. Which leads to the first hypothesis:</w:t>
      </w:r>
    </w:p>
    <w:p w14:paraId="24DD768B" w14:textId="77777777" w:rsidR="0060466F" w:rsidRDefault="00000000">
      <w:pPr>
        <w:pStyle w:val="BlockText"/>
      </w:pPr>
      <w:r>
        <w:t>Hypothesis 1: (a) Intrapreneurial behaviour will be lower when individual autonomy need and organisational autonomy supply are both low and will be higher when both are high; (b) intrapreneurial behaviour will increase as the organisational supply of autonomy increases towards individual autonomy need (fit), and will decrease as organisational supply exceeds individual need.</w:t>
      </w:r>
    </w:p>
    <w:p w14:paraId="5F197B7A" w14:textId="77777777" w:rsidR="0060466F" w:rsidRDefault="00000000">
      <w:pPr>
        <w:pStyle w:val="FirstParagraph"/>
      </w:pPr>
      <w:r>
        <w:t xml:space="preserve">The self-regulatory view assumes individual autonomy needs and organisational autonomy supply must be incongruent. Without this misfit, people will not adapt and behave </w:t>
      </w:r>
      <w:proofErr w:type="spellStart"/>
      <w:r>
        <w:t>intrapreneurially</w:t>
      </w:r>
      <w:proofErr w:type="spellEnd"/>
      <w:r>
        <w:t>. This view leads to the second hypothesis:</w:t>
      </w:r>
    </w:p>
    <w:p w14:paraId="6FA2CE02" w14:textId="77777777" w:rsidR="0060466F" w:rsidRDefault="00000000">
      <w:pPr>
        <w:pStyle w:val="BlockText"/>
      </w:pPr>
      <w:r>
        <w:t>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p w14:paraId="53C628FF" w14:textId="77777777" w:rsidR="0060466F" w:rsidRDefault="00000000">
      <w:pPr>
        <w:pStyle w:val="Heading2"/>
      </w:pPr>
      <w:bookmarkStart w:id="26" w:name="psychological-safety"/>
      <w:bookmarkStart w:id="27" w:name="_Toc122030729"/>
      <w:bookmarkEnd w:id="20"/>
      <w:bookmarkEnd w:id="24"/>
      <w:r>
        <w:lastRenderedPageBreak/>
        <w:t>2.3 Psychological safety</w:t>
      </w:r>
      <w:bookmarkEnd w:id="27"/>
    </w:p>
    <w:p w14:paraId="741FABA8" w14:textId="77777777" w:rsidR="0060466F" w:rsidRDefault="00000000">
      <w:pPr>
        <w:pStyle w:val="FirstParagraph"/>
      </w:pPr>
      <w:r>
        <w:t>Today’s businesses accomplishes much of their work through teamwork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 Rather than being individuals at work, multi-disciplined teams are working collectively to accomplish their goals. Product design, patient care, strategy development, and rescue operations are a few examples that call for collaborative work (</w:t>
      </w:r>
      <w:hyperlink w:anchor="ref-edmondsonLei2014">
        <w:r>
          <w:rPr>
            <w:rStyle w:val="Hyperlink"/>
          </w:rPr>
          <w:t>Edmondson &amp; Lei, 2014</w:t>
        </w:r>
      </w:hyperlink>
      <w:r>
        <w:t>). The field of organisational research has identified psychological safety as an important factor in how people collaborate to achieve a shared outcome (</w:t>
      </w:r>
      <w:hyperlink w:anchor="ref-edmondsonLei2014">
        <w:r>
          <w:rPr>
            <w:rStyle w:val="Hyperlink"/>
          </w:rPr>
          <w:t>Edmondson &amp; Lei, 2014</w:t>
        </w:r>
      </w:hyperlink>
      <w:r>
        <w:t>).</w:t>
      </w:r>
    </w:p>
    <w:p w14:paraId="7E0930E2" w14:textId="77777777" w:rsidR="0060466F" w:rsidRDefault="00000000">
      <w:pPr>
        <w:pStyle w:val="BodyText"/>
      </w:pPr>
      <w:r>
        <w:t>Psychological safety refers to the shared belief among team members that the team is safe for interpersonal risk-taking (</w:t>
      </w:r>
      <w:hyperlink w:anchor="ref-edmondson1999">
        <w:r>
          <w:rPr>
            <w:rStyle w:val="Hyperlink"/>
          </w:rPr>
          <w:t>Edmondson, 1999</w:t>
        </w:r>
      </w:hyperlink>
      <w:r>
        <w:t xml:space="preserve">;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 Individuals that feel psychologically safe in a team will be less concerned with the way others might react when introducing a new idea or when voicing a concern. High levels of psychological safety have been linked to higher levels of creative thinking and risk-taking, innovation in R&amp;D teams, process improvements in manufacturing, knowledge creation, and the successful implementation of technology (</w:t>
      </w:r>
      <w:hyperlink w:anchor="ref-newman2017">
        <w:r>
          <w:rPr>
            <w:rStyle w:val="Hyperlink"/>
          </w:rPr>
          <w:t>Newman et al., 2017</w:t>
        </w:r>
      </w:hyperlink>
      <w:r>
        <w:t xml:space="preserve">). </w:t>
      </w:r>
      <w:hyperlink w:anchor="ref-frazier2017">
        <w:r>
          <w:rPr>
            <w:rStyle w:val="Hyperlink"/>
          </w:rPr>
          <w:t>Frazier et al.</w:t>
        </w:r>
      </w:hyperlink>
      <w:r>
        <w:t xml:space="preserve"> (</w:t>
      </w:r>
      <w:hyperlink w:anchor="ref-frazier2017">
        <w:r>
          <w:rPr>
            <w:rStyle w:val="Hyperlink"/>
          </w:rPr>
          <w:t>2017</w:t>
        </w:r>
      </w:hyperlink>
      <w:r>
        <w:t>) recognises that psychological safety is a key factor in facilitating the processes of learning, collaborating, and employee engagement.</w:t>
      </w:r>
    </w:p>
    <w:p w14:paraId="41A53AD3" w14:textId="77777777" w:rsidR="0060466F" w:rsidRDefault="00000000">
      <w:pPr>
        <w:pStyle w:val="BodyText"/>
      </w:pPr>
      <w:r>
        <w:t>The performance enabling role of psychological safety has consistently been found in numerous studies (</w:t>
      </w:r>
      <w:hyperlink w:anchor="ref-edmondsonLei2014">
        <w:r>
          <w:rPr>
            <w:rStyle w:val="Hyperlink"/>
          </w:rPr>
          <w:t>Edmondson &amp; Lei, 2014</w:t>
        </w:r>
      </w:hyperlink>
      <w:r>
        <w:t>). Especially when organisational learning is important, psychological safety is as well (</w:t>
      </w:r>
      <w:hyperlink w:anchor="ref-edmondsonLei2014">
        <w:r>
          <w:rPr>
            <w:rStyle w:val="Hyperlink"/>
          </w:rPr>
          <w:t>Edmondson &amp; Lei, 2014</w:t>
        </w:r>
      </w:hyperlink>
      <w:r>
        <w:t>).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14:paraId="7ACE79B4" w14:textId="77777777" w:rsidR="0060466F" w:rsidRDefault="00000000">
      <w:pPr>
        <w:pStyle w:val="BodyText"/>
      </w:pPr>
      <w:r>
        <w:t>Psychological safety is both an individual-level and team level construct (</w:t>
      </w:r>
      <w:hyperlink w:anchor="ref-edmondsonLei2014">
        <w:r>
          <w:rPr>
            <w:rStyle w:val="Hyperlink"/>
          </w:rPr>
          <w:t>Edmondson &amp; Lei, 2014</w:t>
        </w:r>
      </w:hyperlink>
      <w:r>
        <w:t xml:space="preserve">; </w:t>
      </w:r>
      <w:hyperlink w:anchor="ref-frazier2017">
        <w:r>
          <w:rPr>
            <w:rStyle w:val="Hyperlink"/>
          </w:rPr>
          <w:t>Frazier et al., 2017</w:t>
        </w:r>
      </w:hyperlink>
      <w:r>
        <w:t>). However, Edmondson and Lei (2014) argue that the group is the appropriate level for measuring psychological safety. In their systematic review they state: “Starting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p>
    <w:p w14:paraId="5E1FF26A" w14:textId="77777777" w:rsidR="0060466F" w:rsidRDefault="00000000">
      <w:pPr>
        <w:pStyle w:val="Heading2"/>
      </w:pPr>
      <w:bookmarkStart w:id="28" w:name="X742fa614107de21e253e13a69455020f9fd2c11"/>
      <w:bookmarkStart w:id="29" w:name="_Toc122030730"/>
      <w:bookmarkEnd w:id="26"/>
      <w:r>
        <w:t>2.4 Psychological safety impacting intrapreneurial behaviour</w:t>
      </w:r>
      <w:bookmarkEnd w:id="29"/>
    </w:p>
    <w:p w14:paraId="0AA3A873" w14:textId="77777777" w:rsidR="0060466F" w:rsidRDefault="00000000">
      <w:pPr>
        <w:pStyle w:val="FirstParagraph"/>
      </w:pPr>
      <w:r>
        <w:t>Individual elements of the intrapreneurial behaviour construct have been linked to psychological safety. Risk-taking, for example, is enhanced by psychological safety (</w:t>
      </w:r>
      <w:hyperlink w:anchor="ref-edmondson1999">
        <w:r>
          <w:rPr>
            <w:rStyle w:val="Hyperlink"/>
          </w:rPr>
          <w:t>Edmondson, 1999</w:t>
        </w:r>
      </w:hyperlink>
      <w:r>
        <w:t xml:space="preserve">; </w:t>
      </w:r>
      <w:hyperlink w:anchor="ref-newman2017">
        <w:r>
          <w:rPr>
            <w:rStyle w:val="Hyperlink"/>
          </w:rPr>
          <w:t>Newman et al., 2017</w:t>
        </w:r>
      </w:hyperlink>
      <w:r>
        <w:t>). Likewise, creative thinking, innovation, and process improvements are outcomes of teams with a high level of psychological safety (</w:t>
      </w:r>
      <w:hyperlink w:anchor="ref-newman2017">
        <w:r>
          <w:rPr>
            <w:rStyle w:val="Hyperlink"/>
          </w:rPr>
          <w:t>Newman et al., 2017</w:t>
        </w:r>
      </w:hyperlink>
      <w:r>
        <w:t>). Team members in a psychologically safe climate were found to share more information, share suggestions for organisational improvements, and take initiative in developing new products and services (</w:t>
      </w:r>
      <w:hyperlink w:anchor="ref-edmondsonLei2014">
        <w:r>
          <w:rPr>
            <w:rStyle w:val="Hyperlink"/>
          </w:rPr>
          <w:t>Edmondson &amp; Lei, 2014</w:t>
        </w:r>
      </w:hyperlink>
      <w:r>
        <w:t>).</w:t>
      </w:r>
    </w:p>
    <w:p w14:paraId="4381F262" w14:textId="77777777" w:rsidR="0060466F" w:rsidRDefault="00000000">
      <w:pPr>
        <w:pStyle w:val="BodyText"/>
      </w:pPr>
      <w:hyperlink w:anchor="ref-deStobbeleir2020">
        <w:r>
          <w:rPr>
            <w:rStyle w:val="Hyperlink"/>
          </w:rPr>
          <w:t xml:space="preserve">De </w:t>
        </w:r>
        <w:proofErr w:type="spellStart"/>
        <w:r>
          <w:rPr>
            <w:rStyle w:val="Hyperlink"/>
          </w:rPr>
          <w:t>Stobbeleir</w:t>
        </w:r>
        <w:proofErr w:type="spellEnd"/>
        <w:r>
          <w:rPr>
            <w:rStyle w:val="Hyperlink"/>
          </w:rPr>
          <w:t xml:space="preserve"> et al.</w:t>
        </w:r>
      </w:hyperlink>
      <w:r>
        <w:t xml:space="preserve"> (</w:t>
      </w:r>
      <w:hyperlink w:anchor="ref-deStobbeleir2020">
        <w:r>
          <w:rPr>
            <w:rStyle w:val="Hyperlink"/>
          </w:rPr>
          <w:t>2020</w:t>
        </w:r>
      </w:hyperlink>
      <w:r>
        <w:t>) discovered that in psychologically safe teams, members engage in feedback seeking. This type of feedback seeking can be labelled as “relational proactivity”, and it aligns well with the networking dimension of intrapreneurial behaviour. Feedback seeking positively contributes to experimentation and learning. Psychological safety is strongly related to team learning and performance in environments that benefit from learning (</w:t>
      </w:r>
      <w:proofErr w:type="spellStart"/>
      <w:r>
        <w:fldChar w:fldCharType="begin"/>
      </w:r>
      <w:r>
        <w:instrText>HYPERLINK \l "ref-sanner2015" \h</w:instrText>
      </w:r>
      <w:r>
        <w:fldChar w:fldCharType="separate"/>
      </w:r>
      <w:r>
        <w:rPr>
          <w:rStyle w:val="Hyperlink"/>
        </w:rPr>
        <w:t>Sanner</w:t>
      </w:r>
      <w:proofErr w:type="spellEnd"/>
      <w:r>
        <w:rPr>
          <w:rStyle w:val="Hyperlink"/>
        </w:rPr>
        <w:t xml:space="preserve"> &amp; </w:t>
      </w:r>
      <w:proofErr w:type="spellStart"/>
      <w:r>
        <w:rPr>
          <w:rStyle w:val="Hyperlink"/>
        </w:rPr>
        <w:t>Bunderson</w:t>
      </w:r>
      <w:proofErr w:type="spellEnd"/>
      <w:r>
        <w:rPr>
          <w:rStyle w:val="Hyperlink"/>
        </w:rPr>
        <w:t>, 2015</w:t>
      </w:r>
      <w:r>
        <w:rPr>
          <w:rStyle w:val="Hyperlink"/>
        </w:rPr>
        <w:fldChar w:fldCharType="end"/>
      </w:r>
      <w:r>
        <w:t>). An appropriate culture that allows for experimentations, feedback, and learning by trial and error is one of the two aspects needed to realise intrapreneurial potential (</w:t>
      </w:r>
      <w:proofErr w:type="spellStart"/>
      <w:r>
        <w:fldChar w:fldCharType="begin"/>
      </w:r>
      <w:r>
        <w:instrText>HYPERLINK \l "ref-gawke2019" \h</w:instrText>
      </w:r>
      <w:r>
        <w:fldChar w:fldCharType="separate"/>
      </w:r>
      <w:r>
        <w:rPr>
          <w:rStyle w:val="Hyperlink"/>
        </w:rPr>
        <w:t>Gawke</w:t>
      </w:r>
      <w:proofErr w:type="spellEnd"/>
      <w:r>
        <w:rPr>
          <w:rStyle w:val="Hyperlink"/>
        </w:rPr>
        <w:t xml:space="preserve"> et al., 2019</w:t>
      </w:r>
      <w:r>
        <w:rPr>
          <w:rStyle w:val="Hyperlink"/>
        </w:rPr>
        <w:fldChar w:fldCharType="end"/>
      </w:r>
      <w:r>
        <w:t>). The other aspect is proactivity.</w:t>
      </w:r>
    </w:p>
    <w:p w14:paraId="6B3C72B0" w14:textId="77777777" w:rsidR="0060466F" w:rsidRDefault="00000000">
      <w:pPr>
        <w:pStyle w:val="BodyText"/>
      </w:pPr>
      <w:r>
        <w:t xml:space="preserve">Psychological safety has been found to effect components of intrapreneurial behaviour and intrapreneurial outcomes as described in the framework of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Given the impact of psychological safety on components of intrapreneurial behaviour, the authors hypothesise that a relation exists between psychological safety and the complete construct of intrapreneurial behaviour exists. As far as the author knows, there has not been any distinctive research linking psychological safety to the complete construct of intrapreneurial behaviour.</w:t>
      </w:r>
    </w:p>
    <w:p w14:paraId="0908C905" w14:textId="77777777" w:rsidR="0060466F" w:rsidRDefault="00000000">
      <w:pPr>
        <w:pStyle w:val="BlockText"/>
      </w:pPr>
      <w:r>
        <w:t>Hypothesis 3: Psychological safety is positively related to intrapreneurial behaviour</w:t>
      </w:r>
    </w:p>
    <w:p w14:paraId="31147AB1" w14:textId="77777777" w:rsidR="0060466F" w:rsidRDefault="00000000">
      <w:pPr>
        <w:pStyle w:val="Heading2"/>
      </w:pPr>
      <w:bookmarkStart w:id="30" w:name="X5f201d0ba9667626aa56f24d5cc391d0f2d70e5"/>
      <w:bookmarkStart w:id="31" w:name="_Toc122030731"/>
      <w:bookmarkEnd w:id="28"/>
      <w:r>
        <w:t>2.5 Psychological safety influences the effects of autonomy misfit</w:t>
      </w:r>
      <w:bookmarkEnd w:id="31"/>
    </w:p>
    <w:p w14:paraId="79B3A2C7" w14:textId="77777777" w:rsidR="0060466F" w:rsidRDefault="00000000">
      <w:pPr>
        <w:pStyle w:val="FirstParagraph"/>
      </w:pPr>
      <w:r>
        <w:t>Achieving intrapreneurial outcomes, such as new products or self-renewal, does not arise from individual effort, but rather they are achieved through team effort. Today’s work is mostly accomplished in collaboration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 xml:space="preserve">). Therefore, the effects of an autonomy misfit on a team member can be influenced by others on the team. As individuals work in teams, the reactions of team members toward one another potentially impacts member attitudes about their work. Consequently, an individual’s team can influence their intrapreneurial behaviour.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called for further research regarding whether the psychological safety of a team influences the intrapreneurial behaviour of team members.</w:t>
      </w:r>
    </w:p>
    <w:p w14:paraId="7B789B42" w14:textId="77777777" w:rsidR="0060466F" w:rsidRDefault="00000000">
      <w:pPr>
        <w:pStyle w:val="BodyText"/>
      </w:pPr>
      <w:r>
        <w:t xml:space="preserve">Moderating effects of psychological safety has been proven extensively in the literature. In their systematic literature review, </w:t>
      </w:r>
      <w:hyperlink w:anchor="ref-newman2017">
        <w:r>
          <w:rPr>
            <w:rStyle w:val="Hyperlink"/>
          </w:rPr>
          <w:t>Newman et al.</w:t>
        </w:r>
      </w:hyperlink>
      <w:r>
        <w:t xml:space="preserve"> (</w:t>
      </w:r>
      <w:hyperlink w:anchor="ref-newman2017">
        <w:r>
          <w:rPr>
            <w:rStyle w:val="Hyperlink"/>
          </w:rPr>
          <w:t>2017</w:t>
        </w:r>
      </w:hyperlink>
      <w:r>
        <w:t>) summarised how psychological safety weakens the negative relationship between role conceptualisation and achievement orientation, how expertise diversity influences team performance, and the relationship between process innovativeness and profitability. The moderating effect of psychological safety has been found on individual, team, and organisational levels. This prior research suggests that psychological safety has a potential moderating effect on the relationship between autonomy (mis)fit and intrapreneurial behaviour.</w:t>
      </w:r>
    </w:p>
    <w:p w14:paraId="5CE933A1" w14:textId="77777777" w:rsidR="0060466F" w:rsidRDefault="00000000">
      <w:pPr>
        <w:pStyle w:val="Heading3"/>
      </w:pPr>
      <w:bookmarkStart w:id="32" w:name="X7b4717818307e99fb9697854e4344b18d220dfd"/>
      <w:bookmarkStart w:id="33" w:name="_Toc122030732"/>
      <w:r>
        <w:t>2.5.1 Psychological safety in the affective-consistency view</w:t>
      </w:r>
      <w:bookmarkEnd w:id="33"/>
    </w:p>
    <w:p w14:paraId="796E7CAE" w14:textId="77777777" w:rsidR="0060466F" w:rsidRDefault="00000000">
      <w:pPr>
        <w:pStyle w:val="FirstParagraph"/>
      </w:pPr>
      <w:r>
        <w:t>Following the job design perspective that autonomy fit leads to more intrapreneurial behaviour (</w:t>
      </w:r>
      <w:hyperlink w:anchor="ref-deJong2015">
        <w:r>
          <w:rPr>
            <w:rStyle w:val="Hyperlink"/>
          </w:rPr>
          <w:t>De Jong et al., 2015</w:t>
        </w:r>
      </w:hyperlink>
      <w:r>
        <w:t>) and better performance (</w:t>
      </w:r>
      <w:proofErr w:type="spellStart"/>
      <w:r>
        <w:fldChar w:fldCharType="begin"/>
      </w:r>
      <w:r>
        <w:instrText>HYPERLINK \l "ref-mueckeHowDoesJob2019" \h</w:instrText>
      </w:r>
      <w:r>
        <w:fldChar w:fldCharType="separate"/>
      </w:r>
      <w:r>
        <w:rPr>
          <w:rStyle w:val="Hyperlink"/>
        </w:rPr>
        <w:t>Muecke</w:t>
      </w:r>
      <w:proofErr w:type="spellEnd"/>
      <w:r>
        <w:rPr>
          <w:rStyle w:val="Hyperlink"/>
        </w:rPr>
        <w:t xml:space="preserve"> &amp; </w:t>
      </w:r>
      <w:proofErr w:type="spellStart"/>
      <w:r>
        <w:rPr>
          <w:rStyle w:val="Hyperlink"/>
        </w:rPr>
        <w:t>Iseke</w:t>
      </w:r>
      <w:proofErr w:type="spellEnd"/>
      <w:r>
        <w:rPr>
          <w:rStyle w:val="Hyperlink"/>
        </w:rPr>
        <w:t>, 2019</w:t>
      </w:r>
      <w:r>
        <w:rPr>
          <w:rStyle w:val="Hyperlink"/>
        </w:rPr>
        <w:fldChar w:fldCharType="end"/>
      </w:r>
      <w:r>
        <w:t xml:space="preserve">), one can hypothesise that psychological safety will have a positive influence on the intrapreneurial behaviour of team members with autonomy fit. Psychological safety has proven to have a </w:t>
      </w:r>
      <w:r>
        <w:lastRenderedPageBreak/>
        <w:t>positive effect on the learning behaviour of teams (</w:t>
      </w:r>
      <w:hyperlink w:anchor="ref-edmondson1999">
        <w:r>
          <w:rPr>
            <w:rStyle w:val="Hyperlink"/>
          </w:rPr>
          <w:t>Edmondson, 1999</w:t>
        </w:r>
      </w:hyperlink>
      <w:r>
        <w:t xml:space="preserve">;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edmondson1999">
        <w:r>
          <w:rPr>
            <w:rStyle w:val="Hyperlink"/>
          </w:rPr>
          <w:t>Edmondson</w:t>
        </w:r>
      </w:hyperlink>
      <w:r>
        <w:t xml:space="preserve"> (</w:t>
      </w:r>
      <w:hyperlink w:anchor="ref-edmondson1999">
        <w:r>
          <w:rPr>
            <w:rStyle w:val="Hyperlink"/>
          </w:rPr>
          <w:t>1999</w:t>
        </w:r>
      </w:hyperlink>
      <w:r>
        <w:t>) describes learning behaviour as “learning at the group level of analysis as an ongoing process of reflection and action, characterised by asking questions, seeking feedback, experimenting, reflecting on results, and discussing errors or unexpected outcomes of actions”. These behaviours are positively related with team performance (</w:t>
      </w:r>
      <w:hyperlink w:anchor="ref-edmondson1999">
        <w:r>
          <w:rPr>
            <w:rStyle w:val="Hyperlink"/>
          </w:rPr>
          <w:t>Edmondson, 1999</w:t>
        </w:r>
      </w:hyperlink>
      <w:r>
        <w:t xml:space="preserve">;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choo2007">
        <w:r>
          <w:rPr>
            <w:rStyle w:val="Hyperlink"/>
          </w:rPr>
          <w:t>Choo et al.</w:t>
        </w:r>
      </w:hyperlink>
      <w:r>
        <w:t xml:space="preserve"> (</w:t>
      </w:r>
      <w:hyperlink w:anchor="ref-choo2007">
        <w:r>
          <w:rPr>
            <w:rStyle w:val="Hyperlink"/>
          </w:rPr>
          <w:t>2007</w:t>
        </w:r>
      </w:hyperlink>
      <w:r>
        <w:t xml:space="preserve">) found that psychological safety influenced creativity, divergent thinking, risk-taking, and motivated engagement in learning, all of which increase team performance. Additionally, </w:t>
      </w:r>
      <w:hyperlink w:anchor="ref-frazier2017">
        <w:r>
          <w:rPr>
            <w:rStyle w:val="Hyperlink"/>
          </w:rPr>
          <w:t>Frazier et al.</w:t>
        </w:r>
      </w:hyperlink>
      <w:r>
        <w:t xml:space="preserve"> (</w:t>
      </w:r>
      <w:hyperlink w:anchor="ref-frazier2017">
        <w:r>
          <w:rPr>
            <w:rStyle w:val="Hyperlink"/>
          </w:rPr>
          <w:t>2017</w:t>
        </w:r>
      </w:hyperlink>
      <w:r>
        <w:t>), found that work design characteristics (including autonomy) positively influence psychological safety.</w:t>
      </w:r>
    </w:p>
    <w:p w14:paraId="1EB20D35" w14:textId="77777777" w:rsidR="0060466F" w:rsidRDefault="00000000">
      <w:pPr>
        <w:pStyle w:val="BodyText"/>
      </w:pPr>
      <w:r>
        <w:t>The premise of the affective-consistency based view is that positive work experience leads to perceived fit by the individual (</w:t>
      </w:r>
      <w:hyperlink w:anchor="ref-yu2009">
        <w:r>
          <w:rPr>
            <w:rStyle w:val="Hyperlink"/>
          </w:rPr>
          <w:t>Yu, 2009</w:t>
        </w:r>
      </w:hyperlink>
      <w:r>
        <w:t>). Consequently, it is likely that a psychologically safe team would have positive work experiences, resulting in a team that perceives a needs-supplies fit for autonomy. Thus, one can hypothesise that according to the affective-consistency based view, intrapreneurial behaviour is stronger in environments with high psychological safety.</w:t>
      </w:r>
    </w:p>
    <w:p w14:paraId="2FB1769B" w14:textId="77777777" w:rsidR="0060466F" w:rsidRDefault="00000000">
      <w:pPr>
        <w:pStyle w:val="BlockText"/>
      </w:pPr>
      <w:r>
        <w:t>Hypothesis 4a: The positive relation of needs-supplies fit on autonomy will be stronger when psychological safety is high compared to when it is low</w:t>
      </w:r>
    </w:p>
    <w:p w14:paraId="461FF5AB" w14:textId="77777777" w:rsidR="0060466F" w:rsidRDefault="00000000">
      <w:pPr>
        <w:pStyle w:val="Heading3"/>
      </w:pPr>
      <w:bookmarkStart w:id="34" w:name="Xff0eadb25eb31bbe1a54d2ef3718bef7b9f720b"/>
      <w:bookmarkStart w:id="35" w:name="_Toc122030733"/>
      <w:bookmarkEnd w:id="32"/>
      <w:r>
        <w:t>2.5.2 Psychological safety in the self-regulatory view</w:t>
      </w:r>
      <w:bookmarkEnd w:id="35"/>
    </w:p>
    <w:p w14:paraId="53208766" w14:textId="77777777" w:rsidR="0060466F" w:rsidRDefault="00000000">
      <w:pPr>
        <w:pStyle w:val="FirstParagraph"/>
      </w:pPr>
      <w:r>
        <w:t>A negative experience is required with the self-regulatory view if individuals are to act. Proponents of this view argue that needs-supplies misfit is required to ignite the negative feedback loop. Consequently, fit will not trigger any feedback loop, and people will not act differently.</w:t>
      </w:r>
    </w:p>
    <w:p w14:paraId="21F72B93" w14:textId="77777777" w:rsidR="0060466F" w:rsidRDefault="00000000">
      <w:pPr>
        <w:pStyle w:val="BodyText"/>
      </w:pPr>
      <w:r>
        <w:t>An excess of misfit has been shown to lead individuals to adapt to a given situation. Yu and Davis (2016) discovered that an excess of misfit leads to higher levels of proactive behaviour by an individual. Ashford and Black (1996) identified seven key types of change-oriented proactive behaviours: feedback seeking, information seeking, job change negotiation, positive framing, general socialising, building relationships with the boss, and networking. Information seeking and feedback seeking have especially been found to be influenced by psychological safety (</w:t>
      </w:r>
      <w:hyperlink w:anchor="ref-deStobbeleir2020">
        <w:r>
          <w:rPr>
            <w:rStyle w:val="Hyperlink"/>
          </w:rPr>
          <w:t xml:space="preserve">De </w:t>
        </w:r>
        <w:proofErr w:type="spellStart"/>
        <w:r>
          <w:rPr>
            <w:rStyle w:val="Hyperlink"/>
          </w:rPr>
          <w:t>Stobbeleir</w:t>
        </w:r>
        <w:proofErr w:type="spellEnd"/>
        <w:r>
          <w:rPr>
            <w:rStyle w:val="Hyperlink"/>
          </w:rPr>
          <w:t xml:space="preserve"> et al., 2020</w:t>
        </w:r>
      </w:hyperlink>
      <w:r>
        <w:t xml:space="preserve">; </w:t>
      </w:r>
      <w:hyperlink w:anchor="ref-vanVianen2018">
        <w:r>
          <w:rPr>
            <w:rStyle w:val="Hyperlink"/>
          </w:rPr>
          <w:t xml:space="preserve">van </w:t>
        </w:r>
        <w:proofErr w:type="spellStart"/>
        <w:r>
          <w:rPr>
            <w:rStyle w:val="Hyperlink"/>
          </w:rPr>
          <w:t>Vianen</w:t>
        </w:r>
        <w:proofErr w:type="spellEnd"/>
        <w:r>
          <w:rPr>
            <w:rStyle w:val="Hyperlink"/>
          </w:rPr>
          <w:t>, 2018</w:t>
        </w:r>
      </w:hyperlink>
      <w:r>
        <w:t>). Feedback seeking may help individuals to cope with the misfit of autonomy (</w:t>
      </w:r>
      <w:hyperlink w:anchor="ref-vanVianen2018">
        <w:r>
          <w:rPr>
            <w:rStyle w:val="Hyperlink"/>
          </w:rPr>
          <w:t xml:space="preserve">van </w:t>
        </w:r>
        <w:proofErr w:type="spellStart"/>
        <w:r>
          <w:rPr>
            <w:rStyle w:val="Hyperlink"/>
          </w:rPr>
          <w:t>Vianen</w:t>
        </w:r>
        <w:proofErr w:type="spellEnd"/>
        <w:r>
          <w:rPr>
            <w:rStyle w:val="Hyperlink"/>
          </w:rPr>
          <w:t>, 2018</w:t>
        </w:r>
      </w:hyperlink>
      <w:r>
        <w:t>). Teams with high levels of psychological safety ensure that information will be sought within the team, whereas in teams with low levels of psychological safety information will be sought outside the team (</w:t>
      </w:r>
      <w:hyperlink w:anchor="ref-deStobbeleir2020">
        <w:r>
          <w:rPr>
            <w:rStyle w:val="Hyperlink"/>
          </w:rPr>
          <w:t xml:space="preserve">De </w:t>
        </w:r>
        <w:proofErr w:type="spellStart"/>
        <w:r>
          <w:rPr>
            <w:rStyle w:val="Hyperlink"/>
          </w:rPr>
          <w:t>Stobbeleir</w:t>
        </w:r>
        <w:proofErr w:type="spellEnd"/>
        <w:r>
          <w:rPr>
            <w:rStyle w:val="Hyperlink"/>
          </w:rPr>
          <w:t xml:space="preserve"> et al., 2020</w:t>
        </w:r>
      </w:hyperlink>
      <w:r>
        <w:t xml:space="preserve">; </w:t>
      </w:r>
      <w:hyperlink w:anchor="ref-safdar2017">
        <w:r>
          <w:rPr>
            <w:rStyle w:val="Hyperlink"/>
          </w:rPr>
          <w:t>Safdar et al., 2017</w:t>
        </w:r>
      </w:hyperlink>
      <w:r>
        <w:t>).</w:t>
      </w:r>
    </w:p>
    <w:p w14:paraId="224F5FE0" w14:textId="77777777" w:rsidR="0060466F" w:rsidRDefault="00000000">
      <w:pPr>
        <w:pStyle w:val="BodyText"/>
      </w:pPr>
      <w:r>
        <w:t>According to the self-regulatory view, an excess of autonomy will give individuals the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w:t>
      </w:r>
    </w:p>
    <w:p w14:paraId="5A1DD410" w14:textId="77777777" w:rsidR="0060466F" w:rsidRDefault="00000000">
      <w:pPr>
        <w:pStyle w:val="BodyText"/>
      </w:pPr>
      <w:r>
        <w:t xml:space="preserve">Additionally, Yu and Davis (2016) showed that a deficiency of misfit also yields to proactive behaviour, although less than what happens with excess misfit. The authors do not provide </w:t>
      </w:r>
      <w:r>
        <w:lastRenderedPageBreak/>
        <w:t xml:space="preserve">a clarification for this difference. A possible explanation can be found in the findings of </w:t>
      </w:r>
      <w:hyperlink w:anchor="ref-lambert2003">
        <w:r>
          <w:rPr>
            <w:rStyle w:val="Hyperlink"/>
          </w:rPr>
          <w:t>Lambert et al.</w:t>
        </w:r>
      </w:hyperlink>
      <w:r>
        <w:t xml:space="preserve"> (</w:t>
      </w:r>
      <w:hyperlink w:anchor="ref-lambert2003">
        <w:r>
          <w:rPr>
            <w:rStyle w:val="Hyperlink"/>
          </w:rPr>
          <w:t>2003</w:t>
        </w:r>
      </w:hyperlink>
      <w:r>
        <w:t>). They found that deficient misfit leads to greater job dissatisfaction for specific inducements. Work dissatisfaction has been found to lead to creativity (</w:t>
      </w:r>
      <w:hyperlink w:anchor="ref-zhou2001">
        <w:r>
          <w:rPr>
            <w:rStyle w:val="Hyperlink"/>
          </w:rPr>
          <w:t>Zhou &amp; George, 2001</w:t>
        </w:r>
      </w:hyperlink>
      <w:r>
        <w:t xml:space="preserve">), Likewise, </w:t>
      </w:r>
      <w:hyperlink w:anchor="ref-vanVianen2018">
        <w:r>
          <w:rPr>
            <w:rStyle w:val="Hyperlink"/>
          </w:rPr>
          <w:t xml:space="preserve">van </w:t>
        </w:r>
        <w:proofErr w:type="spellStart"/>
        <w:r>
          <w:rPr>
            <w:rStyle w:val="Hyperlink"/>
          </w:rPr>
          <w:t>Vianen</w:t>
        </w:r>
        <w:proofErr w:type="spellEnd"/>
      </w:hyperlink>
      <w:r>
        <w:t xml:space="preserve"> (</w:t>
      </w:r>
      <w:hyperlink w:anchor="ref-vanVianen2018">
        <w:r>
          <w:rPr>
            <w:rStyle w:val="Hyperlink"/>
          </w:rPr>
          <w:t>2018</w:t>
        </w:r>
      </w:hyperlink>
      <w:r>
        <w:t>) noted that “Seeking feedback may help individuals to better cope with misfit by putting effort into learning or adjusting to the job demands.”</w:t>
      </w:r>
    </w:p>
    <w:p w14:paraId="455D52C9" w14:textId="77777777" w:rsidR="0060466F" w:rsidRDefault="00000000">
      <w:pPr>
        <w:pStyle w:val="BlockText"/>
      </w:pPr>
      <w:r>
        <w:t>Hypothesis 4b: The positive relation of needs-supplies misfit on autonomy will be stronger when psychological safety is high compared to when it is low</w:t>
      </w:r>
    </w:p>
    <w:p w14:paraId="283DD538" w14:textId="77777777" w:rsidR="0060466F" w:rsidRDefault="00000000">
      <w:pPr>
        <w:pStyle w:val="CaptionedFigure"/>
      </w:pPr>
      <w:bookmarkStart w:id="36" w:name="fig:research-framework"/>
      <w:r>
        <w:rPr>
          <w:noProof/>
        </w:rPr>
        <w:drawing>
          <wp:inline distT="0" distB="0" distL="0" distR="0" wp14:anchorId="745ED774" wp14:editId="757C6C08">
            <wp:extent cx="5334000" cy="3469898"/>
            <wp:effectExtent l="0" t="0" r="0" b="0"/>
            <wp:docPr id="1" name="Picture" descr="Figure 1: Research framework"/>
            <wp:cNvGraphicFramePr/>
            <a:graphic xmlns:a="http://schemas.openxmlformats.org/drawingml/2006/main">
              <a:graphicData uri="http://schemas.openxmlformats.org/drawingml/2006/picture">
                <pic:pic xmlns:pic="http://schemas.openxmlformats.org/drawingml/2006/picture">
                  <pic:nvPicPr>
                    <pic:cNvPr id="0" name="Picture" descr="./thesis/figures/conceptual-model.jpg"/>
                    <pic:cNvPicPr>
                      <a:picLocks noChangeAspect="1" noChangeArrowheads="1"/>
                    </pic:cNvPicPr>
                  </pic:nvPicPr>
                  <pic:blipFill>
                    <a:blip r:embed="rId7"/>
                    <a:stretch>
                      <a:fillRect/>
                    </a:stretch>
                  </pic:blipFill>
                  <pic:spPr bwMode="auto">
                    <a:xfrm>
                      <a:off x="0" y="0"/>
                      <a:ext cx="5334000" cy="3469898"/>
                    </a:xfrm>
                    <a:prstGeom prst="rect">
                      <a:avLst/>
                    </a:prstGeom>
                    <a:noFill/>
                    <a:ln w="9525">
                      <a:noFill/>
                      <a:headEnd/>
                      <a:tailEnd/>
                    </a:ln>
                  </pic:spPr>
                </pic:pic>
              </a:graphicData>
            </a:graphic>
          </wp:inline>
        </w:drawing>
      </w:r>
      <w:bookmarkEnd w:id="36"/>
    </w:p>
    <w:p w14:paraId="672983E8" w14:textId="77777777" w:rsidR="0060466F" w:rsidRDefault="00000000">
      <w:pPr>
        <w:pStyle w:val="ImageCaption"/>
      </w:pPr>
      <w:r>
        <w:t>Figure 1: Research framework</w:t>
      </w:r>
    </w:p>
    <w:p w14:paraId="3EB64ED2" w14:textId="77777777" w:rsidR="0060466F" w:rsidRDefault="00000000">
      <w:pPr>
        <w:pStyle w:val="Heading1"/>
      </w:pPr>
      <w:bookmarkStart w:id="37" w:name="methodology"/>
      <w:bookmarkStart w:id="38" w:name="_Toc122030734"/>
      <w:bookmarkEnd w:id="16"/>
      <w:bookmarkEnd w:id="30"/>
      <w:bookmarkEnd w:id="34"/>
      <w:r>
        <w:t>3. Methodology</w:t>
      </w:r>
      <w:bookmarkEnd w:id="38"/>
    </w:p>
    <w:p w14:paraId="72FAAB92" w14:textId="77777777" w:rsidR="0060466F" w:rsidRDefault="00000000">
      <w:pPr>
        <w:pStyle w:val="Heading2"/>
      </w:pPr>
      <w:bookmarkStart w:id="39" w:name="research-design"/>
      <w:bookmarkStart w:id="40" w:name="_Toc122030735"/>
      <w:r>
        <w:t>3.1 Research design</w:t>
      </w:r>
      <w:bookmarkEnd w:id="40"/>
    </w:p>
    <w:p w14:paraId="159505B7" w14:textId="77777777" w:rsidR="0060466F" w:rsidRDefault="00000000">
      <w:pPr>
        <w:pStyle w:val="FirstParagraph"/>
      </w:pPr>
      <w:r>
        <w:t>Data was collected via diary studies. Diary studies are used for two primary reasons. First, diary studies are helpful for collecting data on working-environment characteristics that are subject to fluctuations (</w:t>
      </w:r>
      <w:hyperlink w:anchor="ref-bakker2014">
        <w:r>
          <w:rPr>
            <w:rStyle w:val="Hyperlink"/>
          </w:rPr>
          <w:t>Bakker, 2014</w:t>
        </w:r>
      </w:hyperlink>
      <w:r>
        <w:t xml:space="preserve">). Second, using diary studies helps prevent common </w:t>
      </w:r>
      <w:proofErr w:type="spellStart"/>
      <w:r>
        <w:t>rater</w:t>
      </w:r>
      <w:proofErr w:type="spellEnd"/>
      <w:r>
        <w:t xml:space="preserve"> bias, a pronounced effect in PE-fit studies (</w:t>
      </w:r>
      <w:hyperlink w:anchor="ref-kristof2005">
        <w:r>
          <w:rPr>
            <w:rStyle w:val="Hyperlink"/>
          </w:rPr>
          <w:t>Kristof-Brown et al., 2005</w:t>
        </w:r>
      </w:hyperlink>
      <w:r>
        <w:t xml:space="preserve">). Common </w:t>
      </w:r>
      <w:proofErr w:type="spellStart"/>
      <w:r>
        <w:t>rater</w:t>
      </w:r>
      <w:proofErr w:type="spellEnd"/>
      <w:r>
        <w:t xml:space="preserve"> biases are conscious or unconscious tendencies that influence supplied ratings. By using a diary study and thus by collecting responses on multiple days, this bias can be prevented. The developed hypotheses concern the relationships of fluctuating states and are typical research questions answered by a diary study (</w:t>
      </w:r>
      <w:proofErr w:type="spellStart"/>
      <w:r>
        <w:fldChar w:fldCharType="begin"/>
      </w:r>
      <w:r>
        <w:instrText>HYPERLINK \l "ref-ohly2010" \h</w:instrText>
      </w:r>
      <w:r>
        <w:fldChar w:fldCharType="separate"/>
      </w:r>
      <w:r>
        <w:rPr>
          <w:rStyle w:val="Hyperlink"/>
        </w:rPr>
        <w:t>Ohly</w:t>
      </w:r>
      <w:proofErr w:type="spellEnd"/>
      <w:r>
        <w:rPr>
          <w:rStyle w:val="Hyperlink"/>
        </w:rPr>
        <w:t xml:space="preserve"> et al., 2010</w:t>
      </w:r>
      <w:r>
        <w:rPr>
          <w:rStyle w:val="Hyperlink"/>
        </w:rPr>
        <w:fldChar w:fldCharType="end"/>
      </w:r>
      <w:r>
        <w:t>).</w:t>
      </w:r>
    </w:p>
    <w:p w14:paraId="1108F2C2" w14:textId="77777777" w:rsidR="0060466F" w:rsidRDefault="00000000">
      <w:pPr>
        <w:pStyle w:val="BodyText"/>
      </w:pPr>
      <w:r>
        <w:lastRenderedPageBreak/>
        <w:t>As psychological safety is primarily a team construct (</w:t>
      </w:r>
      <w:hyperlink w:anchor="ref-edmondson1999">
        <w:r>
          <w:rPr>
            <w:rStyle w:val="Hyperlink"/>
          </w:rPr>
          <w:t>Edmondson, 1999</w:t>
        </w:r>
      </w:hyperlink>
      <w:r>
        <w:t>) and achieving intrapreneurial outcomes is a team effort, the research design is also focused on teams. Teams were asked to collect data during a sprint. Sprints are a fixed period in which a team tries to fulfil their commitments to work items, promised at the start of the sprint. The concept of a sprint is part of Scrum, an agile methodology of work. Typically, sprints lasted for two weeks. When a sprint started for a team, the data collection period started as well.</w:t>
      </w:r>
    </w:p>
    <w:p w14:paraId="1F55B593" w14:textId="77777777" w:rsidR="0060466F" w:rsidRDefault="00000000">
      <w:pPr>
        <w:pStyle w:val="BodyText"/>
      </w:pPr>
      <w:r>
        <w:t>As soon as a sprint started, team members were asked to answer a daily questionnaire. Using daily diaries might increase retrospective bias compared to using experience-sampling methods (</w:t>
      </w:r>
      <w:proofErr w:type="spellStart"/>
      <w:r>
        <w:fldChar w:fldCharType="begin"/>
      </w:r>
      <w:r>
        <w:instrText>HYPERLINK \l "ref-ohly2010" \h</w:instrText>
      </w:r>
      <w:r>
        <w:fldChar w:fldCharType="separate"/>
      </w:r>
      <w:r>
        <w:rPr>
          <w:rStyle w:val="Hyperlink"/>
        </w:rPr>
        <w:t>Ohly</w:t>
      </w:r>
      <w:proofErr w:type="spellEnd"/>
      <w:r>
        <w:rPr>
          <w:rStyle w:val="Hyperlink"/>
        </w:rPr>
        <w:t xml:space="preserve"> et al., 2010</w:t>
      </w:r>
      <w:r>
        <w:rPr>
          <w:rStyle w:val="Hyperlink"/>
        </w:rPr>
        <w:fldChar w:fldCharType="end"/>
      </w:r>
      <w:r>
        <w:t>). For this research, using experience sampling was not necessary, as the main concern was not the affective or cognitive observations for a specific event. Rather, this research aimed to obtain an overall perceived assessment of each day. Using daily diaries therefore enabled the participants to fill in the survey at their own convenience, which added to the response rate. To further reduce non-responses and dropouts – which can occur due to diary studies being burdensome (</w:t>
      </w:r>
      <w:proofErr w:type="spellStart"/>
      <w:r>
        <w:fldChar w:fldCharType="begin"/>
      </w:r>
      <w:r>
        <w:instrText>HYPERLINK \l "ref-ohly2010" \h</w:instrText>
      </w:r>
      <w:r>
        <w:fldChar w:fldCharType="separate"/>
      </w:r>
      <w:r>
        <w:rPr>
          <w:rStyle w:val="Hyperlink"/>
        </w:rPr>
        <w:t>Ohly</w:t>
      </w:r>
      <w:proofErr w:type="spellEnd"/>
      <w:r>
        <w:rPr>
          <w:rStyle w:val="Hyperlink"/>
        </w:rPr>
        <w:t xml:space="preserve"> et al., 2010</w:t>
      </w:r>
      <w:r>
        <w:rPr>
          <w:rStyle w:val="Hyperlink"/>
        </w:rPr>
        <w:fldChar w:fldCharType="end"/>
      </w:r>
      <w:r>
        <w:t xml:space="preserve">)– the number of daily questionnaires was capped to 10, as done in previous research (see </w:t>
      </w:r>
      <w:hyperlink w:anchor="ref-vleugels2018">
        <w:proofErr w:type="spellStart"/>
        <w:r>
          <w:rPr>
            <w:rStyle w:val="Hyperlink"/>
          </w:rPr>
          <w:t>Vleugels</w:t>
        </w:r>
        <w:proofErr w:type="spellEnd"/>
        <w:r>
          <w:rPr>
            <w:rStyle w:val="Hyperlink"/>
          </w:rPr>
          <w:t xml:space="preserve"> et al., 2018</w:t>
        </w:r>
      </w:hyperlink>
      <w:r>
        <w:t xml:space="preserve">). The daily assessments were capped to a maximum of 5-7 minutes, as suggested by </w:t>
      </w:r>
      <w:hyperlink w:anchor="ref-ohly2010">
        <w:proofErr w:type="spellStart"/>
        <w:r>
          <w:rPr>
            <w:rStyle w:val="Hyperlink"/>
          </w:rPr>
          <w:t>Ohly</w:t>
        </w:r>
        <w:proofErr w:type="spellEnd"/>
        <w:r>
          <w:rPr>
            <w:rStyle w:val="Hyperlink"/>
          </w:rPr>
          <w:t xml:space="preserve"> et al.</w:t>
        </w:r>
      </w:hyperlink>
      <w:r>
        <w:t xml:space="preserve"> (</w:t>
      </w:r>
      <w:hyperlink w:anchor="ref-ohly2010">
        <w:r>
          <w:rPr>
            <w:rStyle w:val="Hyperlink"/>
          </w:rPr>
          <w:t>2010</w:t>
        </w:r>
      </w:hyperlink>
      <w:r>
        <w:t>), to maintain the willingness of participants.</w:t>
      </w:r>
    </w:p>
    <w:p w14:paraId="36238B9D" w14:textId="77777777" w:rsidR="0060466F" w:rsidRDefault="00000000">
      <w:pPr>
        <w:pStyle w:val="BodyText"/>
      </w:pPr>
      <w:r>
        <w:t xml:space="preserve">At the end of the sprint, a closing survey was sent to the members of the team and the team’s supervisor. The closing survey for the team was an extended version of the daily surveys. The survey for the team supervisor focused on assessing the perceived intrapreneurial behaviour of the team. The supervisor’s answers ensured triangulation of the perceived data of the time, as such increasing the validity of the findings and preventing common </w:t>
      </w:r>
      <w:proofErr w:type="spellStart"/>
      <w:r>
        <w:t>rater</w:t>
      </w:r>
      <w:proofErr w:type="spellEnd"/>
      <w:r>
        <w:t xml:space="preserve"> bias (</w:t>
      </w:r>
      <w:hyperlink w:anchor="ref-kristof2005">
        <w:r>
          <w:rPr>
            <w:rStyle w:val="Hyperlink"/>
          </w:rPr>
          <w:t>Kristof-Brown et al., 2005</w:t>
        </w:r>
      </w:hyperlink>
      <w:r>
        <w:t>).</w:t>
      </w:r>
    </w:p>
    <w:p w14:paraId="0CAFDD41" w14:textId="77777777" w:rsidR="0060466F" w:rsidRDefault="00000000">
      <w:pPr>
        <w:pStyle w:val="Heading2"/>
      </w:pPr>
      <w:bookmarkStart w:id="41" w:name="data-collection"/>
      <w:bookmarkStart w:id="42" w:name="_Toc122030736"/>
      <w:bookmarkEnd w:id="39"/>
      <w:r>
        <w:t>3.2 Data collection</w:t>
      </w:r>
      <w:bookmarkEnd w:id="42"/>
    </w:p>
    <w:p w14:paraId="51C7CA93" w14:textId="77777777" w:rsidR="0060466F" w:rsidRDefault="00000000">
      <w:pPr>
        <w:pStyle w:val="Heading3"/>
      </w:pPr>
      <w:bookmarkStart w:id="43" w:name="sample-recruitment-size"/>
      <w:bookmarkStart w:id="44" w:name="_Toc122030737"/>
      <w:r>
        <w:t>3.2.1 Sample recruitment &amp; size</w:t>
      </w:r>
      <w:bookmarkEnd w:id="44"/>
    </w:p>
    <w:p w14:paraId="78B33993" w14:textId="77777777" w:rsidR="0060466F" w:rsidRDefault="00000000">
      <w:pPr>
        <w:pStyle w:val="FirstParagraph"/>
      </w:pPr>
      <w:r>
        <w:t>The collected data for this research was gathered with teams active in software development. Software development teams commonly work according to agile methodologies such as Scrum or Kanban. Typically, these teams are self-organising and autonomous. Scrum, for example, has the key philosophy of becoming more proficient, as team, in the leading values of Scrum – namely commitment, focus, openness, respect, and courage – to be successful (</w:t>
      </w:r>
      <w:proofErr w:type="spellStart"/>
      <w:r>
        <w:fldChar w:fldCharType="begin"/>
      </w:r>
      <w:r>
        <w:instrText>HYPERLINK \l "ref-scrumGuide" \h</w:instrText>
      </w:r>
      <w:r>
        <w:fldChar w:fldCharType="separate"/>
      </w:r>
      <w:r>
        <w:rPr>
          <w:rStyle w:val="Hyperlink"/>
        </w:rPr>
        <w:t>Schwaber</w:t>
      </w:r>
      <w:proofErr w:type="spellEnd"/>
      <w:r>
        <w:rPr>
          <w:rStyle w:val="Hyperlink"/>
        </w:rPr>
        <w:t xml:space="preserve"> &amp; Sutherland, 2020</w:t>
      </w:r>
      <w:r>
        <w:rPr>
          <w:rStyle w:val="Hyperlink"/>
        </w:rPr>
        <w:fldChar w:fldCharType="end"/>
      </w:r>
      <w:r>
        <w:t>). The primary focus of a Scrum team is to make the best possible progress towards the goals they set.</w:t>
      </w:r>
    </w:p>
    <w:p w14:paraId="0EB4A3E2" w14:textId="77777777" w:rsidR="0060466F" w:rsidRDefault="00000000">
      <w:pPr>
        <w:pStyle w:val="BodyText"/>
      </w:pPr>
      <w:r>
        <w:t>Given the Scrum values and similar values of other agile methods, researching this study’s hypotheses in software development teams is expected to yield interesting results. Companies using Scrum are likely to expect their teams to exhibit innovative behaviours, such as adaptation, and self-management is an essential pillar of Scrum (</w:t>
      </w:r>
      <w:proofErr w:type="spellStart"/>
      <w:r>
        <w:fldChar w:fldCharType="begin"/>
      </w:r>
      <w:r>
        <w:instrText>HYPERLINK \l "ref-scrumGuide" \h</w:instrText>
      </w:r>
      <w:r>
        <w:fldChar w:fldCharType="separate"/>
      </w:r>
      <w:r>
        <w:rPr>
          <w:rStyle w:val="Hyperlink"/>
        </w:rPr>
        <w:t>Schwaber</w:t>
      </w:r>
      <w:proofErr w:type="spellEnd"/>
      <w:r>
        <w:rPr>
          <w:rStyle w:val="Hyperlink"/>
        </w:rPr>
        <w:t xml:space="preserve"> &amp; Sutherland, 2020</w:t>
      </w:r>
      <w:r>
        <w:rPr>
          <w:rStyle w:val="Hyperlink"/>
        </w:rPr>
        <w:fldChar w:fldCharType="end"/>
      </w:r>
      <w:r>
        <w:t>). Additionally, agile teams are typically together for an extensive period. This prevents diluting the effects of socialisation behaviour typically seen at newcomers in an organisation (</w:t>
      </w:r>
      <w:proofErr w:type="spellStart"/>
      <w:r>
        <w:fldChar w:fldCharType="begin"/>
      </w:r>
      <w:r>
        <w:instrText>HYPERLINK \l "ref-vleugels2022" \h</w:instrText>
      </w:r>
      <w:r>
        <w:fldChar w:fldCharType="separate"/>
      </w:r>
      <w:r>
        <w:rPr>
          <w:rStyle w:val="Hyperlink"/>
        </w:rPr>
        <w:t>Vleugels</w:t>
      </w:r>
      <w:proofErr w:type="spellEnd"/>
      <w:r>
        <w:rPr>
          <w:rStyle w:val="Hyperlink"/>
        </w:rPr>
        <w:t xml:space="preserve"> et al., 2022</w:t>
      </w:r>
      <w:r>
        <w:rPr>
          <w:rStyle w:val="Hyperlink"/>
        </w:rPr>
        <w:fldChar w:fldCharType="end"/>
      </w:r>
      <w:r>
        <w:t xml:space="preserve">; </w:t>
      </w:r>
      <w:hyperlink w:anchor="ref-yu2016">
        <w:r>
          <w:rPr>
            <w:rStyle w:val="Hyperlink"/>
          </w:rPr>
          <w:t>Yu &amp; Davis, 2016</w:t>
        </w:r>
      </w:hyperlink>
      <w:r>
        <w:t>).</w:t>
      </w:r>
    </w:p>
    <w:p w14:paraId="42FFC2BC" w14:textId="77777777" w:rsidR="0060466F" w:rsidRDefault="00000000">
      <w:pPr>
        <w:pStyle w:val="BodyText"/>
      </w:pPr>
      <w:r>
        <w:lastRenderedPageBreak/>
        <w:t>To narrow the diversity of organisations participating in this research, teams were required to work in a commercial, for-profit organisation. Survey participants were expected to be from various nationalities, and the survey was therefore in English.</w:t>
      </w:r>
    </w:p>
    <w:p w14:paraId="68DE7186" w14:textId="77777777" w:rsidR="0060466F" w:rsidRDefault="00000000">
      <w:pPr>
        <w:pStyle w:val="BodyText"/>
      </w:pPr>
      <w:hyperlink w:anchor="ref-ohly2010">
        <w:proofErr w:type="spellStart"/>
        <w:r>
          <w:rPr>
            <w:rStyle w:val="Hyperlink"/>
          </w:rPr>
          <w:t>Ohly</w:t>
        </w:r>
        <w:proofErr w:type="spellEnd"/>
        <w:r>
          <w:rPr>
            <w:rStyle w:val="Hyperlink"/>
          </w:rPr>
          <w:t xml:space="preserve"> et al.</w:t>
        </w:r>
      </w:hyperlink>
      <w:r>
        <w:t xml:space="preserve"> (</w:t>
      </w:r>
      <w:hyperlink w:anchor="ref-ohly2010">
        <w:r>
          <w:rPr>
            <w:rStyle w:val="Hyperlink"/>
          </w:rPr>
          <w:t>2010</w:t>
        </w:r>
      </w:hyperlink>
      <w:r>
        <w:t>) emphasised recruiting many persons for participation in diary studies. Empirical data shows that diary studies lose around 20% of their participants (</w:t>
      </w:r>
      <w:proofErr w:type="spellStart"/>
      <w:r>
        <w:fldChar w:fldCharType="begin"/>
      </w:r>
      <w:r>
        <w:instrText>HYPERLINK \l "ref-ohly2010" \h</w:instrText>
      </w:r>
      <w:r>
        <w:fldChar w:fldCharType="separate"/>
      </w:r>
      <w:r>
        <w:rPr>
          <w:rStyle w:val="Hyperlink"/>
        </w:rPr>
        <w:t>Ohly</w:t>
      </w:r>
      <w:proofErr w:type="spellEnd"/>
      <w:r>
        <w:rPr>
          <w:rStyle w:val="Hyperlink"/>
        </w:rPr>
        <w:t xml:space="preserve"> et al., 2010</w:t>
      </w:r>
      <w:r>
        <w:rPr>
          <w:rStyle w:val="Hyperlink"/>
        </w:rPr>
        <w:fldChar w:fldCharType="end"/>
      </w:r>
      <w:r>
        <w:t>). Moreover, higher numbers of participants impact statistical power more strongly compared to a higher number of dailies (</w:t>
      </w:r>
      <w:proofErr w:type="spellStart"/>
      <w:r>
        <w:fldChar w:fldCharType="begin"/>
      </w:r>
      <w:r>
        <w:instrText>HYPERLINK \l "ref-scherbaum2009" \h</w:instrText>
      </w:r>
      <w:r>
        <w:fldChar w:fldCharType="separate"/>
      </w:r>
      <w:r>
        <w:rPr>
          <w:rStyle w:val="Hyperlink"/>
        </w:rPr>
        <w:t>Scherbaum</w:t>
      </w:r>
      <w:proofErr w:type="spellEnd"/>
      <w:r>
        <w:rPr>
          <w:rStyle w:val="Hyperlink"/>
        </w:rPr>
        <w:t xml:space="preserve"> &amp; Ferreter, 2009</w:t>
      </w:r>
      <w:r>
        <w:rPr>
          <w:rStyle w:val="Hyperlink"/>
        </w:rPr>
        <w:fldChar w:fldCharType="end"/>
      </w:r>
      <w:r>
        <w:t>). Teams were recruited via the network of the researcher via direct requests, public LinkedIn messages, and via the network of the researcher’s employer. Ultimately 72 organisations were contacted, of which 14 (19%) agreed to participate with a single team or more.</w:t>
      </w:r>
    </w:p>
    <w:p w14:paraId="38B6099B" w14:textId="77777777" w:rsidR="0060466F" w:rsidRDefault="00000000">
      <w:pPr>
        <w:pStyle w:val="Heading3"/>
      </w:pPr>
      <w:bookmarkStart w:id="45" w:name="collection-procedure"/>
      <w:bookmarkStart w:id="46" w:name="_Toc122030738"/>
      <w:bookmarkEnd w:id="43"/>
      <w:r>
        <w:t>3.2.2 Collection procedure</w:t>
      </w:r>
      <w:bookmarkEnd w:id="46"/>
    </w:p>
    <w:p w14:paraId="3A9B56AD" w14:textId="77777777" w:rsidR="0060466F" w:rsidRDefault="00000000">
      <w:pPr>
        <w:pStyle w:val="FirstParagraph"/>
      </w:pPr>
      <w:r>
        <w:t>The data for this research was collected in three phases (</w:t>
      </w:r>
      <w:proofErr w:type="spellStart"/>
      <w:r>
        <w:t>tbl</w:t>
      </w:r>
      <w:proofErr w:type="spellEnd"/>
      <w:r>
        <w:t>. 1). The study recognises two types of respondents, team members and supervisors. Team members are those actively participating in the team’s development efforts. Members included software developers, engineers, and UX designers. Supervisors are people overseeing or steering the activities of the team, for example, team leads or product owners. The collection period was chosen by the team itself in correspondence with the researcher.</w:t>
      </w:r>
    </w:p>
    <w:p w14:paraId="7458FCBE" w14:textId="77777777" w:rsidR="0060466F" w:rsidRDefault="00000000">
      <w:pPr>
        <w:pStyle w:val="TableCaption"/>
      </w:pPr>
      <w:bookmarkStart w:id="47" w:name="tbl:collection-approach"/>
      <w:r>
        <w:t>Table 1: Phased approach of data collection</w:t>
      </w:r>
    </w:p>
    <w:tbl>
      <w:tblPr>
        <w:tblStyle w:val="Table"/>
        <w:tblW w:w="5000" w:type="pct"/>
        <w:tblLook w:val="0020" w:firstRow="1" w:lastRow="0" w:firstColumn="0" w:lastColumn="0" w:noHBand="0" w:noVBand="0"/>
        <w:tblCaption w:val="Table 1: Phased approach of data collection"/>
      </w:tblPr>
      <w:tblGrid>
        <w:gridCol w:w="911"/>
        <w:gridCol w:w="2152"/>
        <w:gridCol w:w="3011"/>
        <w:gridCol w:w="3502"/>
      </w:tblGrid>
      <w:tr w:rsidR="0060466F" w14:paraId="587ED7DC"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14E4F352" w14:textId="77777777" w:rsidR="0060466F" w:rsidRDefault="00000000">
            <w:pPr>
              <w:pStyle w:val="Compact"/>
            </w:pPr>
            <w:r>
              <w:t>Phase</w:t>
            </w:r>
          </w:p>
        </w:tc>
        <w:tc>
          <w:tcPr>
            <w:tcW w:w="0" w:type="auto"/>
          </w:tcPr>
          <w:p w14:paraId="2E5752A7" w14:textId="77777777" w:rsidR="0060466F" w:rsidRDefault="00000000">
            <w:pPr>
              <w:pStyle w:val="Compact"/>
            </w:pPr>
            <w:r>
              <w:t>Survey</w:t>
            </w:r>
          </w:p>
        </w:tc>
        <w:tc>
          <w:tcPr>
            <w:tcW w:w="0" w:type="auto"/>
          </w:tcPr>
          <w:p w14:paraId="670A9D8B" w14:textId="77777777" w:rsidR="0060466F" w:rsidRDefault="00000000">
            <w:pPr>
              <w:pStyle w:val="Compact"/>
            </w:pPr>
            <w:r>
              <w:t>Who</w:t>
            </w:r>
          </w:p>
        </w:tc>
        <w:tc>
          <w:tcPr>
            <w:tcW w:w="0" w:type="auto"/>
          </w:tcPr>
          <w:p w14:paraId="1D4AC546" w14:textId="77777777" w:rsidR="0060466F" w:rsidRDefault="00000000">
            <w:pPr>
              <w:pStyle w:val="Compact"/>
            </w:pPr>
            <w:r>
              <w:t>When</w:t>
            </w:r>
          </w:p>
        </w:tc>
      </w:tr>
      <w:tr w:rsidR="0060466F" w14:paraId="71D66C5F" w14:textId="77777777">
        <w:tc>
          <w:tcPr>
            <w:tcW w:w="0" w:type="auto"/>
          </w:tcPr>
          <w:p w14:paraId="152BED10" w14:textId="77777777" w:rsidR="0060466F" w:rsidRDefault="00000000">
            <w:pPr>
              <w:pStyle w:val="Compact"/>
            </w:pPr>
            <w:r>
              <w:t>T0</w:t>
            </w:r>
          </w:p>
        </w:tc>
        <w:tc>
          <w:tcPr>
            <w:tcW w:w="0" w:type="auto"/>
          </w:tcPr>
          <w:p w14:paraId="513245FE" w14:textId="77777777" w:rsidR="0060466F" w:rsidRDefault="00000000">
            <w:pPr>
              <w:pStyle w:val="Compact"/>
            </w:pPr>
            <w:r>
              <w:t>Introduction survey</w:t>
            </w:r>
          </w:p>
        </w:tc>
        <w:tc>
          <w:tcPr>
            <w:tcW w:w="0" w:type="auto"/>
          </w:tcPr>
          <w:p w14:paraId="10B4108C" w14:textId="77777777" w:rsidR="0060466F" w:rsidRDefault="00000000">
            <w:pPr>
              <w:pStyle w:val="Compact"/>
            </w:pPr>
            <w:r>
              <w:t>Team members</w:t>
            </w:r>
          </w:p>
        </w:tc>
        <w:tc>
          <w:tcPr>
            <w:tcW w:w="0" w:type="auto"/>
          </w:tcPr>
          <w:p w14:paraId="66EB7438" w14:textId="77777777" w:rsidR="0060466F" w:rsidRDefault="00000000">
            <w:pPr>
              <w:pStyle w:val="Compact"/>
            </w:pPr>
            <w:r>
              <w:t>Week before start of the sprint</w:t>
            </w:r>
          </w:p>
        </w:tc>
      </w:tr>
      <w:tr w:rsidR="0060466F" w14:paraId="58CD8A46" w14:textId="77777777">
        <w:tc>
          <w:tcPr>
            <w:tcW w:w="0" w:type="auto"/>
          </w:tcPr>
          <w:p w14:paraId="4A086528" w14:textId="77777777" w:rsidR="0060466F" w:rsidRDefault="00000000">
            <w:pPr>
              <w:pStyle w:val="Compact"/>
            </w:pPr>
            <w:r>
              <w:t>Dailies</w:t>
            </w:r>
          </w:p>
        </w:tc>
        <w:tc>
          <w:tcPr>
            <w:tcW w:w="0" w:type="auto"/>
          </w:tcPr>
          <w:p w14:paraId="3F1D980E" w14:textId="77777777" w:rsidR="0060466F" w:rsidRDefault="00000000">
            <w:pPr>
              <w:pStyle w:val="Compact"/>
            </w:pPr>
            <w:r>
              <w:t>Daily survey</w:t>
            </w:r>
          </w:p>
        </w:tc>
        <w:tc>
          <w:tcPr>
            <w:tcW w:w="0" w:type="auto"/>
          </w:tcPr>
          <w:p w14:paraId="6D5F39D5" w14:textId="77777777" w:rsidR="0060466F" w:rsidRDefault="00000000">
            <w:pPr>
              <w:pStyle w:val="Compact"/>
            </w:pPr>
            <w:r>
              <w:t>Team members</w:t>
            </w:r>
          </w:p>
        </w:tc>
        <w:tc>
          <w:tcPr>
            <w:tcW w:w="0" w:type="auto"/>
          </w:tcPr>
          <w:p w14:paraId="793A9E08" w14:textId="77777777" w:rsidR="0060466F" w:rsidRDefault="00000000">
            <w:pPr>
              <w:pStyle w:val="Compact"/>
            </w:pPr>
            <w:r>
              <w:t>Each day at 15:30</w:t>
            </w:r>
          </w:p>
        </w:tc>
      </w:tr>
      <w:tr w:rsidR="0060466F" w14:paraId="44B45BD2" w14:textId="77777777">
        <w:tc>
          <w:tcPr>
            <w:tcW w:w="0" w:type="auto"/>
          </w:tcPr>
          <w:p w14:paraId="603E7286" w14:textId="77777777" w:rsidR="0060466F" w:rsidRDefault="00000000">
            <w:pPr>
              <w:pStyle w:val="Compact"/>
            </w:pPr>
            <w:r>
              <w:t>T1</w:t>
            </w:r>
          </w:p>
        </w:tc>
        <w:tc>
          <w:tcPr>
            <w:tcW w:w="0" w:type="auto"/>
          </w:tcPr>
          <w:p w14:paraId="56BC6960" w14:textId="77777777" w:rsidR="0060466F" w:rsidRDefault="00000000">
            <w:pPr>
              <w:pStyle w:val="Compact"/>
            </w:pPr>
            <w:r>
              <w:t>Final survey</w:t>
            </w:r>
          </w:p>
        </w:tc>
        <w:tc>
          <w:tcPr>
            <w:tcW w:w="0" w:type="auto"/>
          </w:tcPr>
          <w:p w14:paraId="15237AE5" w14:textId="77777777" w:rsidR="0060466F" w:rsidRDefault="00000000">
            <w:pPr>
              <w:pStyle w:val="Compact"/>
            </w:pPr>
            <w:r>
              <w:t>Team members &amp; supervisors</w:t>
            </w:r>
          </w:p>
        </w:tc>
        <w:tc>
          <w:tcPr>
            <w:tcW w:w="0" w:type="auto"/>
          </w:tcPr>
          <w:p w14:paraId="0D2E4FB4" w14:textId="77777777" w:rsidR="0060466F" w:rsidRDefault="00000000">
            <w:pPr>
              <w:pStyle w:val="Compact"/>
            </w:pPr>
            <w:r>
              <w:t>Next working day after the last daily</w:t>
            </w:r>
          </w:p>
        </w:tc>
      </w:tr>
    </w:tbl>
    <w:bookmarkEnd w:id="47"/>
    <w:p w14:paraId="5633604E" w14:textId="77777777" w:rsidR="0060466F" w:rsidRDefault="00000000">
      <w:pPr>
        <w:pStyle w:val="BodyText"/>
      </w:pPr>
      <w:r>
        <w:t>All surveys were sent digitally via email. The digital surveys were programmed in the software Qualtrics. The T0 survey was sent a week before the start of the daily collection period and had to be filled in before the first daily. All dailies were sent at 15:30 and only active for the day they were sent out. Participants were free to ignore a survey due to a day off or work for another team. Lastly, a T1 survey was sent directly after the dailies phase. For both T0 and T1, a reminder was sent on the third day. Participants had the option to opt-out of any email sent to them, effectively stopping their participation in the survey. Ultimately, the supervisors data is only used for supplementary analysis to control main model findings.</w:t>
      </w:r>
    </w:p>
    <w:p w14:paraId="0C026216" w14:textId="77777777" w:rsidR="0060466F" w:rsidRDefault="00000000">
      <w:pPr>
        <w:pStyle w:val="Heading2"/>
      </w:pPr>
      <w:bookmarkStart w:id="48" w:name="measures"/>
      <w:bookmarkStart w:id="49" w:name="_Toc122030739"/>
      <w:bookmarkEnd w:id="41"/>
      <w:bookmarkEnd w:id="45"/>
      <w:r>
        <w:t>3.3 Measures</w:t>
      </w:r>
      <w:bookmarkEnd w:id="49"/>
    </w:p>
    <w:p w14:paraId="52799FFC" w14:textId="77777777" w:rsidR="0060466F" w:rsidRDefault="00000000">
      <w:pPr>
        <w:pStyle w:val="FirstParagraph"/>
      </w:pPr>
      <w:r>
        <w:t>All measurement items are presented in Appendix A. For all items, a 7-point Likert scale was used.</w:t>
      </w:r>
    </w:p>
    <w:p w14:paraId="1EFB7704" w14:textId="77777777" w:rsidR="0060466F" w:rsidRDefault="00000000">
      <w:pPr>
        <w:pStyle w:val="Heading3"/>
      </w:pPr>
      <w:bookmarkStart w:id="50" w:name="intrapreneurial-behaviour"/>
      <w:bookmarkStart w:id="51" w:name="_Toc122030740"/>
      <w:r>
        <w:lastRenderedPageBreak/>
        <w:t>3.3.1 Intrapreneurial behaviour</w:t>
      </w:r>
      <w:bookmarkEnd w:id="51"/>
    </w:p>
    <w:p w14:paraId="3011A095" w14:textId="77777777" w:rsidR="0060466F" w:rsidRDefault="00000000">
      <w:pPr>
        <w:pStyle w:val="FirstParagraph"/>
      </w:pPr>
      <w:r>
        <w:t>Intrapreneurial behaviour was measured using the validated measurement of (</w:t>
      </w:r>
      <w:hyperlink w:anchor="ref-deJong2015">
        <w:r>
          <w:rPr>
            <w:rStyle w:val="Hyperlink"/>
          </w:rPr>
          <w:t>De Jong et al., 2015</w:t>
        </w:r>
      </w:hyperlink>
      <w:r>
        <w:t>). This measurement has been proven to measure the dimensions of proactiveness, innovativeness and risk-taking. This measurement was used in the daily and the T1 surveys. The T1 survey, both for team members and the supervisor, consisted of nine items. An example item is “I generate creative ideas”. For the daily a shorter three-item construct (</w:t>
      </w:r>
      <w:hyperlink w:anchor="ref-deJong2015">
        <w:r>
          <w:rPr>
            <w:rStyle w:val="Hyperlink"/>
          </w:rPr>
          <w:t>De Jong et al., 2015</w:t>
        </w:r>
      </w:hyperlink>
      <w:r>
        <w:t>) was used.</w:t>
      </w:r>
    </w:p>
    <w:p w14:paraId="2F4A3C96" w14:textId="77777777" w:rsidR="0060466F" w:rsidRDefault="00000000">
      <w:pPr>
        <w:pStyle w:val="BodyText"/>
      </w:pPr>
      <w:r>
        <w:t xml:space="preserve">The daily construct has had a Cronbach’s </w:t>
      </w:r>
      <m:oMath>
        <m:r>
          <w:rPr>
            <w:rFonts w:ascii="Cambria Math" w:hAnsi="Cambria Math"/>
          </w:rPr>
          <m:t>α</m:t>
        </m:r>
      </m:oMath>
      <w:r>
        <w:t xml:space="preserve"> of .65, which denotes it as a construct with a doubtful internal consistency. Typically, a score higher than .7 is deemed acceptable, and a score higher than .9 is considered excellent. Removing any ite</w:t>
      </w:r>
      <w:proofErr w:type="spellStart"/>
      <w:r>
        <w:t>ms</w:t>
      </w:r>
      <w:proofErr w:type="spellEnd"/>
      <w:r>
        <w:t xml:space="preserve"> would not increase the consistency. The removal of any of the items would consequently lead to the removing of a measurement for one of the variables: proactiveness, innovativeness, or risk-taking.</w:t>
      </w:r>
    </w:p>
    <w:p w14:paraId="4E0312C5" w14:textId="77777777" w:rsidR="0060466F" w:rsidRDefault="00000000">
      <w:pPr>
        <w:pStyle w:val="BodyText"/>
      </w:pPr>
      <w:r>
        <w:t xml:space="preserve">Another measure of internal consistency is composite reliability. Compared to Cronbach’s </w:t>
      </w:r>
      <m:oMath>
        <m:r>
          <w:rPr>
            <w:rFonts w:ascii="Cambria Math" w:hAnsi="Cambria Math"/>
          </w:rPr>
          <m:t>α</m:t>
        </m:r>
      </m:oMath>
      <w:r>
        <w:t xml:space="preserve"> composite reliability does not assume all indicator loadings represent the same population. The study’s data might violate this assumption and as such result into a lower value. The composite reliability for intrapreneurial behaviour was .70. </w:t>
      </w:r>
      <w:hyperlink w:anchor="ref-hair2021">
        <w:r>
          <w:rPr>
            <w:rStyle w:val="Hyperlink"/>
          </w:rPr>
          <w:t>Hair et al.</w:t>
        </w:r>
      </w:hyperlink>
      <w:r>
        <w:t xml:space="preserve"> (</w:t>
      </w:r>
      <w:hyperlink w:anchor="ref-hair2021">
        <w:r>
          <w:rPr>
            <w:rStyle w:val="Hyperlink"/>
          </w:rPr>
          <w:t>2021</w:t>
        </w:r>
      </w:hyperlink>
      <w:r>
        <w:t xml:space="preserve">) state that .70 is the minimum threshold for internal consistency reliability. Considering the moderate Cronbach’s </w:t>
      </w:r>
      <m:oMath>
        <m:r>
          <w:rPr>
            <w:rFonts w:ascii="Cambria Math" w:hAnsi="Cambria Math"/>
          </w:rPr>
          <m:t>α</m:t>
        </m:r>
      </m:oMath>
      <w:r>
        <w:t xml:space="preserve"> and the acceptable value for composite reliability, the construct was deemed consistant enough for use in this study.</w:t>
      </w:r>
    </w:p>
    <w:p w14:paraId="66F3E5F5" w14:textId="77777777" w:rsidR="0060466F" w:rsidRDefault="00000000">
      <w:pPr>
        <w:pStyle w:val="BodyText"/>
      </w:pPr>
      <w:r>
        <w:t xml:space="preserve">For the T1 survey the nine-item construct had a Cronbach’s </w:t>
      </w:r>
      <m:oMath>
        <m:r>
          <w:rPr>
            <w:rFonts w:ascii="Cambria Math" w:hAnsi="Cambria Math"/>
          </w:rPr>
          <m:t>α</m:t>
        </m:r>
      </m:oMath>
      <w:r>
        <w:t xml:space="preserve"> of .97 for the team members. For the supervisor survey the construct had a Cronbach’s </w:t>
      </w:r>
      <m:oMath>
        <m:r>
          <w:rPr>
            <w:rFonts w:ascii="Cambria Math" w:hAnsi="Cambria Math"/>
          </w:rPr>
          <m:t>α</m:t>
        </m:r>
      </m:oMath>
      <w:r>
        <w:t xml:space="preserve"> of .98.</w:t>
      </w:r>
    </w:p>
    <w:p w14:paraId="35C9D267" w14:textId="77777777" w:rsidR="0060466F" w:rsidRDefault="00000000">
      <w:pPr>
        <w:pStyle w:val="Heading3"/>
      </w:pPr>
      <w:bookmarkStart w:id="52" w:name="autonomy-misfit"/>
      <w:bookmarkStart w:id="53" w:name="_Toc122030741"/>
      <w:bookmarkEnd w:id="50"/>
      <w:r>
        <w:t>3.3.2 Autonomy (mis)fit</w:t>
      </w:r>
      <w:bookmarkEnd w:id="53"/>
    </w:p>
    <w:p w14:paraId="1A999090" w14:textId="77777777" w:rsidR="0060466F" w:rsidRDefault="00000000">
      <w:pPr>
        <w:pStyle w:val="FirstParagraph"/>
      </w:pPr>
      <w:r>
        <w:t>To determine the (mis)fit of autonomy for an individual the construct of (</w:t>
      </w:r>
      <w:proofErr w:type="spellStart"/>
      <w:r>
        <w:fldChar w:fldCharType="begin"/>
      </w:r>
      <w:r>
        <w:instrText>HYPERLINK \l "ref-spreitzer1995" \h</w:instrText>
      </w:r>
      <w:r>
        <w:fldChar w:fldCharType="separate"/>
      </w:r>
      <w:r>
        <w:rPr>
          <w:rStyle w:val="Hyperlink"/>
        </w:rPr>
        <w:t>Spreitzer</w:t>
      </w:r>
      <w:proofErr w:type="spellEnd"/>
      <w:r>
        <w:rPr>
          <w:rStyle w:val="Hyperlink"/>
        </w:rPr>
        <w:t>, 1995</w:t>
      </w:r>
      <w:r>
        <w:rPr>
          <w:rStyle w:val="Hyperlink"/>
        </w:rPr>
        <w:fldChar w:fldCharType="end"/>
      </w:r>
      <w:r>
        <w:t>) was used. The construct was used at T0 and for the daily surveys. To determine both the need and the supply, the same three items were asked with a different prefix. For the need, each item in the daily survey started with “Today, I found…”. “Today, I had…” was the prefix for the supply construct in the daily survey. The T0 survey had “I have/can…” as a prefix for the supply and “I find…” as prefix for the need.</w:t>
      </w:r>
    </w:p>
    <w:p w14:paraId="104BA14F" w14:textId="77777777" w:rsidR="0060466F" w:rsidRDefault="00000000">
      <w:pPr>
        <w:pStyle w:val="BodyText"/>
      </w:pPr>
      <w:r>
        <w:t>This validated measurement consisted out of three items. “The opportunity to determine how I do my job” is an example item. Cronbach’s alpha’s for the various surveys were T0/Need: .93; T0/Supply: .94; T1/Need: .92; and T1/Supply: .89.</w:t>
      </w:r>
    </w:p>
    <w:p w14:paraId="407801A1" w14:textId="77777777" w:rsidR="0060466F" w:rsidRDefault="00000000">
      <w:pPr>
        <w:pStyle w:val="Heading3"/>
      </w:pPr>
      <w:bookmarkStart w:id="54" w:name="psychological-safety-1"/>
      <w:bookmarkStart w:id="55" w:name="_Toc122030742"/>
      <w:bookmarkEnd w:id="52"/>
      <w:r>
        <w:t>3.3.3 Psychological safety</w:t>
      </w:r>
      <w:bookmarkEnd w:id="55"/>
    </w:p>
    <w:p w14:paraId="56E36497" w14:textId="77777777" w:rsidR="0060466F" w:rsidRDefault="00000000">
      <w:pPr>
        <w:pStyle w:val="FirstParagraph"/>
      </w:pPr>
      <w:r>
        <w:t xml:space="preserve">Psychological safety was measured via the well-proven construct of </w:t>
      </w:r>
      <w:hyperlink w:anchor="ref-edmondson1999">
        <w:r>
          <w:rPr>
            <w:rStyle w:val="Hyperlink"/>
          </w:rPr>
          <w:t>Edmondson</w:t>
        </w:r>
      </w:hyperlink>
      <w:r>
        <w:t xml:space="preserve"> (</w:t>
      </w:r>
      <w:hyperlink w:anchor="ref-edmondson1999">
        <w:r>
          <w:rPr>
            <w:rStyle w:val="Hyperlink"/>
          </w:rPr>
          <w:t>1999</w:t>
        </w:r>
      </w:hyperlink>
      <w:r>
        <w:t>). As part of the T0 survey, participants were required to respond to seven items. Example items are “Members of this team are able to bring up problems and tough issues” and “Working with members of this team, my unique skills and talents are value and utilised”.</w:t>
      </w:r>
    </w:p>
    <w:p w14:paraId="6C96CC4B" w14:textId="77777777" w:rsidR="0060466F" w:rsidRDefault="00000000">
      <w:pPr>
        <w:pStyle w:val="BodyText"/>
      </w:pPr>
      <w:r>
        <w:t xml:space="preserve">The internal consistency of the construct psychological safety had a Cronbach </w:t>
      </w:r>
      <m:oMath>
        <m:r>
          <w:rPr>
            <w:rFonts w:ascii="Cambria Math" w:hAnsi="Cambria Math"/>
          </w:rPr>
          <m:t>α</m:t>
        </m:r>
      </m:oMath>
      <w:r>
        <w:t xml:space="preserve"> of .67, which is doubtful. Removing an item would not yield a higher reliability score. The </w:t>
      </w:r>
      <w:r>
        <w:lastRenderedPageBreak/>
        <w:t>composition reliability of this construct was .78, a value close to the minimum threshold of .8 for a five to nine-item construct (</w:t>
      </w:r>
      <w:proofErr w:type="spellStart"/>
      <w:r>
        <w:fldChar w:fldCharType="begin"/>
      </w:r>
      <w:r>
        <w:instrText>HYPERLINK \l "ref-netemeyer2003" \h</w:instrText>
      </w:r>
      <w:r>
        <w:fldChar w:fldCharType="separate"/>
      </w:r>
      <w:r>
        <w:rPr>
          <w:rStyle w:val="Hyperlink"/>
        </w:rPr>
        <w:t>Netemeyer</w:t>
      </w:r>
      <w:proofErr w:type="spellEnd"/>
      <w:r>
        <w:rPr>
          <w:rStyle w:val="Hyperlink"/>
        </w:rPr>
        <w:t xml:space="preserve"> et al., 2003</w:t>
      </w:r>
      <w:r>
        <w:rPr>
          <w:rStyle w:val="Hyperlink"/>
        </w:rPr>
        <w:fldChar w:fldCharType="end"/>
      </w:r>
      <w:r>
        <w:t>).</w:t>
      </w:r>
    </w:p>
    <w:p w14:paraId="70285879" w14:textId="77777777" w:rsidR="0060466F" w:rsidRDefault="00000000">
      <w:pPr>
        <w:pStyle w:val="Heading3"/>
      </w:pPr>
      <w:bookmarkStart w:id="56" w:name="control-variables"/>
      <w:bookmarkStart w:id="57" w:name="_Toc122030743"/>
      <w:bookmarkEnd w:id="54"/>
      <w:r>
        <w:t>3.3.4 Control variables</w:t>
      </w:r>
      <w:bookmarkEnd w:id="57"/>
    </w:p>
    <w:p w14:paraId="56D70447" w14:textId="77777777" w:rsidR="0060466F" w:rsidRDefault="00000000">
      <w:pPr>
        <w:pStyle w:val="FirstParagraph"/>
      </w:pPr>
      <w:r>
        <w:t xml:space="preserve">Education was added to the T0 survey as a control variable. The meta-review study of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xml:space="preserve">) found that intrapreneurs have a higher educational level in comparison with other employees. Similarly, </w:t>
      </w:r>
      <w:proofErr w:type="spellStart"/>
      <w:r>
        <w:t>eductional</w:t>
      </w:r>
      <w:proofErr w:type="spellEnd"/>
      <w:r>
        <w:t xml:space="preserve"> level influences job autonomy (</w:t>
      </w:r>
      <w:hyperlink w:anchor="ref-ross1992">
        <w:r>
          <w:rPr>
            <w:rStyle w:val="Hyperlink"/>
          </w:rPr>
          <w:t>Ross &amp; Reskin, 1992</w:t>
        </w:r>
      </w:hyperlink>
      <w:r>
        <w:t>). To discern participants’ educational level, the survey asked, “Which is your highest earned education?” Possible answers were high school, bachelor, master, doctorate, and other.</w:t>
      </w:r>
    </w:p>
    <w:p w14:paraId="11CC0E68" w14:textId="77777777" w:rsidR="0060466F" w:rsidRDefault="00000000">
      <w:pPr>
        <w:pStyle w:val="BodyText"/>
      </w:pPr>
      <w:r>
        <w:t>Prior experience has been shown to improve individuals’ ability to recognise opportunities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 To prevent confounding results, a control variable for “first job” was added.</w:t>
      </w:r>
    </w:p>
    <w:p w14:paraId="5C5173DC" w14:textId="77777777" w:rsidR="0060466F" w:rsidRDefault="00000000">
      <w:pPr>
        <w:pStyle w:val="Heading2"/>
      </w:pPr>
      <w:bookmarkStart w:id="58" w:name="data-analysis"/>
      <w:bookmarkStart w:id="59" w:name="_Toc122030744"/>
      <w:bookmarkEnd w:id="48"/>
      <w:bookmarkEnd w:id="56"/>
      <w:r>
        <w:t>3.4 Data analysis</w:t>
      </w:r>
      <w:bookmarkEnd w:id="59"/>
    </w:p>
    <w:p w14:paraId="3BD6B516" w14:textId="77777777" w:rsidR="0060466F" w:rsidRDefault="00000000">
      <w:pPr>
        <w:pStyle w:val="FirstParagraph"/>
      </w:pPr>
      <w:r>
        <w:t>The data analysis was conducted using the program RStudio and the R packages ‘</w:t>
      </w:r>
      <w:proofErr w:type="spellStart"/>
      <w:r>
        <w:t>lavaan</w:t>
      </w:r>
      <w:proofErr w:type="spellEnd"/>
      <w:r>
        <w:t>’ and ‘</w:t>
      </w:r>
      <w:proofErr w:type="spellStart"/>
      <w:r>
        <w:t>multcomp</w:t>
      </w:r>
      <w:proofErr w:type="spellEnd"/>
      <w:r>
        <w:t xml:space="preserve">’. </w:t>
      </w:r>
      <w:proofErr w:type="spellStart"/>
      <w:r>
        <w:t>Lavaan</w:t>
      </w:r>
      <w:proofErr w:type="spellEnd"/>
      <w:r>
        <w:t xml:space="preserve"> enables latent variable modelling and provides a large variety of multivariate statistical models. </w:t>
      </w:r>
      <w:proofErr w:type="spellStart"/>
      <w:r>
        <w:t>Multcomp</w:t>
      </w:r>
      <w:proofErr w:type="spellEnd"/>
      <w:r>
        <w:t xml:space="preserve"> offers tests and confidence intervals for general linear hypotheses.</w:t>
      </w:r>
    </w:p>
    <w:p w14:paraId="36EDD1A1" w14:textId="77777777" w:rsidR="0060466F" w:rsidRDefault="00000000">
      <w:pPr>
        <w:pStyle w:val="BodyText"/>
      </w:pPr>
      <w:r>
        <w:t>The reliability of the constructs in the survey is was tested by calculating Cronbach’s alphas (</w:t>
      </w:r>
      <m:oMath>
        <m:r>
          <w:rPr>
            <w:rFonts w:ascii="Cambria Math" w:hAnsi="Cambria Math"/>
          </w:rPr>
          <m:t>α</m:t>
        </m:r>
      </m:oMath>
      <w:r>
        <w:t>). The internal consistency is was deemed valid enough at if a score of .7 or higher was obtained. For constructs that didn’t did not meet this threshold –- or just barely met this threshold - – additional tests for reliability are were done using composite reliability.</w:t>
      </w:r>
    </w:p>
    <w:p w14:paraId="5C8FCFA6" w14:textId="77777777" w:rsidR="0060466F" w:rsidRDefault="00000000">
      <w:pPr>
        <w:pStyle w:val="BodyText"/>
      </w:pPr>
      <w:r>
        <w:t>The analysis of relations and effect between the variables was done using polynomial regression equations (</w:t>
      </w:r>
      <w:hyperlink w:anchor="ref-edwards1993">
        <w:r>
          <w:rPr>
            <w:rStyle w:val="Hyperlink"/>
          </w:rPr>
          <w:t>Edwards &amp; Parry, 1993</w:t>
        </w:r>
      </w:hyperlink>
      <w:r>
        <w:t>). Polynomial regression analysis allows researchers to analyse the effects of two predictor variables in relationship to an outcome (</w:t>
      </w:r>
      <w:proofErr w:type="spellStart"/>
      <w:r>
        <w:fldChar w:fldCharType="begin"/>
      </w:r>
      <w:r>
        <w:instrText>HYPERLINK \l "ref-shanock2010" \h</w:instrText>
      </w:r>
      <w:r>
        <w:fldChar w:fldCharType="separate"/>
      </w:r>
      <w:r>
        <w:rPr>
          <w:rStyle w:val="Hyperlink"/>
        </w:rPr>
        <w:t>Shanock</w:t>
      </w:r>
      <w:proofErr w:type="spellEnd"/>
      <w:r>
        <w:rPr>
          <w:rStyle w:val="Hyperlink"/>
        </w:rPr>
        <w:t xml:space="preserve"> et al., 2010</w:t>
      </w:r>
      <w:r>
        <w:rPr>
          <w:rStyle w:val="Hyperlink"/>
        </w:rPr>
        <w:fldChar w:fldCharType="end"/>
      </w:r>
      <w:r>
        <w:t xml:space="preserve">). As an analytical technique, polynomial regression is often used to study Person-Environment fit (e.g. </w:t>
      </w:r>
      <w:hyperlink w:anchor="ref-edwards2009">
        <w:r>
          <w:rPr>
            <w:rStyle w:val="Hyperlink"/>
          </w:rPr>
          <w:t>Edwards &amp; Cable</w:t>
        </w:r>
      </w:hyperlink>
      <w:r>
        <w:t xml:space="preserve"> (</w:t>
      </w:r>
      <w:hyperlink w:anchor="ref-edwards2009">
        <w:r>
          <w:rPr>
            <w:rStyle w:val="Hyperlink"/>
          </w:rPr>
          <w:t>2009</w:t>
        </w:r>
      </w:hyperlink>
      <w:r>
        <w:t xml:space="preserve">); </w:t>
      </w:r>
      <w:hyperlink w:anchor="ref-kristof2005">
        <w:r>
          <w:rPr>
            <w:rStyle w:val="Hyperlink"/>
          </w:rPr>
          <w:t>Kristof-Brown et al.</w:t>
        </w:r>
      </w:hyperlink>
      <w:r>
        <w:t xml:space="preserve"> (</w:t>
      </w:r>
      <w:hyperlink w:anchor="ref-kristof2005">
        <w:r>
          <w:rPr>
            <w:rStyle w:val="Hyperlink"/>
          </w:rPr>
          <w:t>2005</w:t>
        </w:r>
      </w:hyperlink>
      <w:r>
        <w:t xml:space="preserve">); </w:t>
      </w:r>
      <w:hyperlink w:anchor="ref-yu2016">
        <w:r>
          <w:rPr>
            <w:rStyle w:val="Hyperlink"/>
          </w:rPr>
          <w:t>Yu &amp; Davis</w:t>
        </w:r>
      </w:hyperlink>
      <w:r>
        <w:t xml:space="preserve"> (</w:t>
      </w:r>
      <w:hyperlink w:anchor="ref-yu2016">
        <w:r>
          <w:rPr>
            <w:rStyle w:val="Hyperlink"/>
          </w:rPr>
          <w:t>2016</w:t>
        </w:r>
      </w:hyperlink>
      <w:r>
        <w:t>)). Polynomial regression equations notably allow for three-dimensional investigations of the effect of autonomy needs and supply on intrapreneurial behaviour. Polynomial regression analyses are generally performed using equation 1 shown below, where N = individual autonomy needs and S = organisational autonomy supplied.</w:t>
      </w:r>
    </w:p>
    <w:p w14:paraId="141DFC0F" w14:textId="77777777" w:rsidR="0060466F" w:rsidRDefault="0060466F">
      <w:pPr>
        <w:pStyle w:val="BodyText"/>
      </w:pPr>
    </w:p>
    <w:p w14:paraId="5D5B7C60" w14:textId="77777777" w:rsidR="0060466F" w:rsidRDefault="00000000">
      <w:pPr>
        <w:pStyle w:val="BodyText"/>
      </w:pPr>
      <w:r>
        <w:t xml:space="preserve">This research not only emphasises the interaction between needs and supplies on intrapreneurial behaviour but also assesses the potential moderating effect of psychological safety. To test this effect, psychological safety needs to be added to the main model and interaction. This was done by multiplying each factor in the model, as done previously </w:t>
      </w:r>
      <w:hyperlink w:anchor="ref-vogel2016">
        <w:r>
          <w:rPr>
            <w:rStyle w:val="Hyperlink"/>
          </w:rPr>
          <w:t>Vogel et al.</w:t>
        </w:r>
      </w:hyperlink>
      <w:r>
        <w:t xml:space="preserve"> (</w:t>
      </w:r>
      <w:hyperlink w:anchor="ref-vogel2016">
        <w:r>
          <w:rPr>
            <w:rStyle w:val="Hyperlink"/>
          </w:rPr>
          <w:t>2016</w:t>
        </w:r>
      </w:hyperlink>
      <w:r>
        <w:t>). The equation including moderation is shown in equation 2, where PS is psychological safety. Before multiplication the values of psychological safety were standardised to a mean of 0 and a standard deviation of 1.</w:t>
      </w:r>
    </w:p>
    <w:p w14:paraId="19BF602B" w14:textId="77777777" w:rsidR="0060466F" w:rsidRDefault="0060466F">
      <w:pPr>
        <w:pStyle w:val="BodyText"/>
      </w:pPr>
    </w:p>
    <w:p w14:paraId="5DD91DAC" w14:textId="77777777" w:rsidR="0060466F" w:rsidRDefault="00000000">
      <w:pPr>
        <w:pStyle w:val="BodyText"/>
      </w:pPr>
      <w:r>
        <w:lastRenderedPageBreak/>
        <w:t>The results of the polynomial regression analysis were plotted in a three-dimensional space following Edwards &amp; Parry (1993). The three-dimensional view allows for more explanatory potential than traditional moderated regression analyses (</w:t>
      </w:r>
      <w:proofErr w:type="spellStart"/>
      <w:r>
        <w:fldChar w:fldCharType="begin"/>
      </w:r>
      <w:r>
        <w:instrText>HYPERLINK \l "ref-shanock2010" \h</w:instrText>
      </w:r>
      <w:r>
        <w:fldChar w:fldCharType="separate"/>
      </w:r>
      <w:r>
        <w:rPr>
          <w:rStyle w:val="Hyperlink"/>
        </w:rPr>
        <w:t>Shanock</w:t>
      </w:r>
      <w:proofErr w:type="spellEnd"/>
      <w:r>
        <w:rPr>
          <w:rStyle w:val="Hyperlink"/>
        </w:rPr>
        <w:t xml:space="preserve"> et al., 2010</w:t>
      </w:r>
      <w:r>
        <w:rPr>
          <w:rStyle w:val="Hyperlink"/>
        </w:rPr>
        <w:fldChar w:fldCharType="end"/>
      </w:r>
      <w:r>
        <w:t xml:space="preserve">). This view visualises the relationship of two predictor variables on the outcome variable along the line of congruence and incongruence. The resulting surfaces are helpful in the explanation and understanding of the discovered findings. The interpretation of the surfaces was done using four test variables: </w:t>
      </w:r>
      <m:oMath>
        <m:r>
          <w:rPr>
            <w:rFonts w:ascii="Cambria Math" w:hAnsi="Cambria Math"/>
          </w:rPr>
          <m:t>a1</m:t>
        </m:r>
      </m:oMath>
      <w:r>
        <w:t xml:space="preserve">, </w:t>
      </w:r>
      <m:oMath>
        <m:r>
          <w:rPr>
            <w:rFonts w:ascii="Cambria Math" w:hAnsi="Cambria Math"/>
          </w:rPr>
          <m:t>a2</m:t>
        </m:r>
      </m:oMath>
      <w:r>
        <w:t xml:space="preserve">, </w:t>
      </w:r>
      <m:oMath>
        <m:r>
          <w:rPr>
            <w:rFonts w:ascii="Cambria Math" w:hAnsi="Cambria Math"/>
          </w:rPr>
          <m:t>a3</m:t>
        </m:r>
      </m:oMath>
      <w:r>
        <w:t xml:space="preserve">, and </w:t>
      </w:r>
      <m:oMath>
        <m:r>
          <w:rPr>
            <w:rFonts w:ascii="Cambria Math" w:hAnsi="Cambria Math"/>
          </w:rPr>
          <m:t>a4</m:t>
        </m:r>
      </m:oMath>
      <w:r>
        <w:t>. The first two test variables were centred around the line of perfect agreement between the two predictor variables. The latter two are centred arou</w:t>
      </w:r>
      <w:proofErr w:type="spellStart"/>
      <w:r>
        <w:t>nd</w:t>
      </w:r>
      <w:proofErr w:type="spellEnd"/>
      <w:r>
        <w:t xml:space="preserve"> the line of incongruence. Where </w:t>
      </w:r>
      <m:oMath>
        <m:r>
          <w:rPr>
            <w:rFonts w:ascii="Cambria Math" w:hAnsi="Cambria Math"/>
          </w:rPr>
          <m:t>a1</m:t>
        </m:r>
      </m:oMath>
      <w:r>
        <w:t xml:space="preserve"> and </w:t>
      </w:r>
      <m:oMath>
        <m:r>
          <w:rPr>
            <w:rFonts w:ascii="Cambria Math" w:hAnsi="Cambria Math"/>
          </w:rPr>
          <m:t>a3</m:t>
        </m:r>
      </m:oMath>
      <w:r>
        <w:t xml:space="preserve"> are both concerned with the slope of each line, </w:t>
      </w:r>
      <m:oMath>
        <m:r>
          <w:rPr>
            <w:rFonts w:ascii="Cambria Math" w:hAnsi="Cambria Math"/>
          </w:rPr>
          <m:t>a2</m:t>
        </m:r>
      </m:oMath>
      <w:r>
        <w:t xml:space="preserve"> and </w:t>
      </w:r>
      <m:oMath>
        <m:r>
          <w:rPr>
            <w:rFonts w:ascii="Cambria Math" w:hAnsi="Cambria Math"/>
          </w:rPr>
          <m:t>a4</m:t>
        </m:r>
      </m:oMath>
      <w:r>
        <w:t xml:space="preserve"> were used to evaluate the curvature of each corresponding line. Unstandardised values are used to calculate the as. The slope and curvature of the su</w:t>
      </w:r>
      <w:proofErr w:type="spellStart"/>
      <w:r>
        <w:t>rface</w:t>
      </w:r>
      <w:proofErr w:type="spellEnd"/>
      <w:r>
        <w:t xml:space="preserve"> across low and high levels of psychological safety were computed by substituting values one standard deviation above and below the mean of intrapreneurial behaviour (</w:t>
      </w:r>
      <w:hyperlink w:anchor="ref-cohen2014">
        <w:r>
          <w:rPr>
            <w:rStyle w:val="Hyperlink"/>
          </w:rPr>
          <w:t>Cohen et al., 2014</w:t>
        </w:r>
      </w:hyperlink>
      <w:r>
        <w:t>).</w:t>
      </w:r>
    </w:p>
    <w:p w14:paraId="6D543755" w14:textId="77777777" w:rsidR="0060466F" w:rsidRDefault="00000000">
      <w:pPr>
        <w:pStyle w:val="Heading3"/>
      </w:pPr>
      <w:bookmarkStart w:id="60" w:name="dataset-preparation"/>
      <w:bookmarkStart w:id="61" w:name="_Toc122030745"/>
      <w:r>
        <w:t>3.4.1 Dataset preparation</w:t>
      </w:r>
      <w:bookmarkEnd w:id="61"/>
    </w:p>
    <w:p w14:paraId="52DBAEA4" w14:textId="77777777" w:rsidR="0060466F" w:rsidRDefault="00000000">
      <w:pPr>
        <w:pStyle w:val="FirstParagraph"/>
      </w:pPr>
      <w:r>
        <w:t>For the analysis, all data was exported from Qualtrics into Google Sheets. Relevant data was merged into a single worksheet in a short row format. The daily surveys acted as the base for the worksheet. Each daily was a single row including extra data, such as psychological safety from the T0 survey added as additional columns. This process resulted in a workable dataset for polynomial regression analysis in RStudio. Partial surveys were deleted from the dataset. For the dailies, eight unfinished surveys were deleted, resulting in 336 useful datapoints.</w:t>
      </w:r>
    </w:p>
    <w:p w14:paraId="50C79FAC" w14:textId="77777777" w:rsidR="0060466F" w:rsidRDefault="00000000">
      <w:pPr>
        <w:pStyle w:val="BodyText"/>
      </w:pPr>
      <w:r>
        <w:t>A total of 24 teams participated in the daily studies. The number of unique participants was 79, of which 57% filled in the daily survey at least four times or more. Only two participants (2.5%) filled in all 10 surveys. A total of 135 participants registered to participate. With 79 unique persons responding, the response rate was 59%.</w:t>
      </w:r>
    </w:p>
    <w:p w14:paraId="15455803" w14:textId="77777777" w:rsidR="0060466F" w:rsidRDefault="00000000">
      <w:pPr>
        <w:pStyle w:val="BodyText"/>
      </w:pPr>
      <w:r>
        <w:t>Not all respondents of the daily survey filled in the T0 survey. Twenty participants did not fill in the T0 survey, resulting in missing information on psychological safety. As RStudio can cope with partial information and the data is still useful for testing hypothesis 1 and hypothesis 2, the daily surveys of these 20 people were not removed from the analysis. The T0 was opened by 73 respondents, of which only 59 completed the survey (81%).</w:t>
      </w:r>
    </w:p>
    <w:p w14:paraId="204E2C5B" w14:textId="77777777" w:rsidR="0060466F" w:rsidRDefault="00000000">
      <w:pPr>
        <w:pStyle w:val="Heading3"/>
      </w:pPr>
      <w:bookmarkStart w:id="62" w:name="X23404ec07f5242738c25fcb9ad75b7712dbc0e9"/>
      <w:bookmarkStart w:id="63" w:name="_Toc122030746"/>
      <w:bookmarkEnd w:id="60"/>
      <w:r>
        <w:t>3.4.2 Characteristics of the survey participants</w:t>
      </w:r>
      <w:bookmarkEnd w:id="63"/>
    </w:p>
    <w:p w14:paraId="72085A8D" w14:textId="77777777" w:rsidR="0060466F" w:rsidRDefault="00000000">
      <w:pPr>
        <w:pStyle w:val="FirstParagraph"/>
      </w:pPr>
      <w:r>
        <w:t>The characteristics of the survey participants represent only those respondents that entered at least one daily survey and the T0 survey. The respondents were pre-dominantly male (87%). Most respondents worked full-time (88%), meaning 36 hours or more per week. The ages of the respondents ranged between 21 and 64 (</w:t>
      </w:r>
      <m:oMath>
        <m:r>
          <w:rPr>
            <w:rFonts w:ascii="Cambria Math" w:hAnsi="Cambria Math"/>
          </w:rPr>
          <m:t>M</m:t>
        </m:r>
        <m:r>
          <m:rPr>
            <m:sty m:val="p"/>
          </m:rPr>
          <w:rPr>
            <w:rFonts w:ascii="Cambria Math" w:hAnsi="Cambria Math"/>
          </w:rPr>
          <m:t>=</m:t>
        </m:r>
        <m:r>
          <w:rPr>
            <w:rFonts w:ascii="Cambria Math" w:hAnsi="Cambria Math"/>
          </w:rPr>
          <m:t>36.81</m:t>
        </m:r>
      </m:oMath>
      <w:r>
        <w:t xml:space="preserve">, </w:t>
      </w:r>
      <m:oMath>
        <m:r>
          <w:rPr>
            <w:rFonts w:ascii="Cambria Math" w:hAnsi="Cambria Math"/>
          </w:rPr>
          <m:t>SD</m:t>
        </m:r>
        <m:r>
          <m:rPr>
            <m:sty m:val="p"/>
          </m:rPr>
          <w:rPr>
            <w:rFonts w:ascii="Cambria Math" w:hAnsi="Cambria Math"/>
          </w:rPr>
          <m:t>=</m:t>
        </m:r>
        <m:r>
          <w:rPr>
            <w:rFonts w:ascii="Cambria Math" w:hAnsi="Cambria Math"/>
          </w:rPr>
          <m:t>9.21</m:t>
        </m:r>
      </m:oMath>
      <w:r>
        <w:t>) and ,most were highly educated (87% had at least an bachelor’s degree).</w:t>
      </w:r>
    </w:p>
    <w:p w14:paraId="4586B59A" w14:textId="77777777" w:rsidR="0060466F" w:rsidRDefault="00000000">
      <w:pPr>
        <w:pStyle w:val="Heading2"/>
      </w:pPr>
      <w:bookmarkStart w:id="64" w:name="methodological-issues"/>
      <w:bookmarkStart w:id="65" w:name="_Toc122030747"/>
      <w:bookmarkEnd w:id="58"/>
      <w:bookmarkEnd w:id="62"/>
      <w:r>
        <w:lastRenderedPageBreak/>
        <w:t>3.5 Methodological issues</w:t>
      </w:r>
      <w:bookmarkEnd w:id="65"/>
    </w:p>
    <w:p w14:paraId="5BF1C1D1" w14:textId="77777777" w:rsidR="0060466F" w:rsidRDefault="00000000">
      <w:pPr>
        <w:pStyle w:val="FirstParagraph"/>
      </w:pPr>
      <w:r>
        <w:t>Conducting research can lead to various methodological issues that potentially harm the reliability of the research. To prevent these from occurring, preventative measures were taken.</w:t>
      </w:r>
    </w:p>
    <w:p w14:paraId="64A545D7" w14:textId="77777777" w:rsidR="0060466F" w:rsidRDefault="00000000">
      <w:pPr>
        <w:pStyle w:val="BodyText"/>
      </w:pPr>
      <w:r>
        <w:rPr>
          <w:b/>
          <w:bCs/>
        </w:rPr>
        <w:t>Non-response</w:t>
      </w:r>
      <w:r>
        <w:t xml:space="preserve">, To prevent non-responses, the recommendations of </w:t>
      </w:r>
      <w:hyperlink w:anchor="ref-ohly2010">
        <w:proofErr w:type="spellStart"/>
        <w:r>
          <w:rPr>
            <w:rStyle w:val="Hyperlink"/>
          </w:rPr>
          <w:t>Ohly</w:t>
        </w:r>
        <w:proofErr w:type="spellEnd"/>
        <w:r>
          <w:rPr>
            <w:rStyle w:val="Hyperlink"/>
          </w:rPr>
          <w:t xml:space="preserve"> et al.</w:t>
        </w:r>
      </w:hyperlink>
      <w:r>
        <w:t xml:space="preserve"> (</w:t>
      </w:r>
      <w:hyperlink w:anchor="ref-ohly2010">
        <w:r>
          <w:rPr>
            <w:rStyle w:val="Hyperlink"/>
          </w:rPr>
          <w:t>2010</w:t>
        </w:r>
      </w:hyperlink>
      <w:r>
        <w:t>) were incorporated into the research design. Limiting the number of surveys and making it easy to complete them helps prevent non-responses. Starting from the fourth distribution group, a personal introduction email was sent to the participants. The email outlined the goals of the survey and allowed participants to more easily communicate with the researcher in case they had questions.</w:t>
      </w:r>
    </w:p>
    <w:p w14:paraId="33753DEB" w14:textId="77777777" w:rsidR="0060466F" w:rsidRDefault="00000000">
      <w:pPr>
        <w:pStyle w:val="BodyText"/>
      </w:pPr>
      <w:r>
        <w:rPr>
          <w:b/>
          <w:bCs/>
        </w:rPr>
        <w:t>Internal validity</w:t>
      </w:r>
      <w:r>
        <w:t>, To raise the internal validity of the research, all constructs were taken from well-tested sources. For example, the construct of psychological safety is an often-used construct in similar settings of research.</w:t>
      </w:r>
    </w:p>
    <w:p w14:paraId="33D54108" w14:textId="77777777" w:rsidR="0060466F" w:rsidRDefault="00000000">
      <w:pPr>
        <w:pStyle w:val="BodyText"/>
      </w:pPr>
      <w:r>
        <w:rPr>
          <w:b/>
          <w:bCs/>
        </w:rPr>
        <w:t>Reliability</w:t>
      </w:r>
      <w:r>
        <w:t>, The reliability of the research was enhanced through the use of temporal sampling. The three main constructs are surveyed in either T0 and the daily surveys or the daily surveys and T1. This allowed for the triangulation of the data.</w:t>
      </w:r>
    </w:p>
    <w:p w14:paraId="172C8F86" w14:textId="77777777" w:rsidR="0060466F" w:rsidRDefault="00000000">
      <w:pPr>
        <w:pStyle w:val="Heading1"/>
      </w:pPr>
      <w:bookmarkStart w:id="66" w:name="results"/>
      <w:bookmarkStart w:id="67" w:name="_Toc122030748"/>
      <w:bookmarkEnd w:id="37"/>
      <w:bookmarkEnd w:id="64"/>
      <w:r>
        <w:t>4. Results</w:t>
      </w:r>
      <w:bookmarkEnd w:id="67"/>
    </w:p>
    <w:p w14:paraId="238AC353" w14:textId="77777777" w:rsidR="0060466F" w:rsidRDefault="00000000">
      <w:pPr>
        <w:pStyle w:val="Heading2"/>
      </w:pPr>
      <w:bookmarkStart w:id="68" w:name="descriptive-analysis"/>
      <w:bookmarkStart w:id="69" w:name="_Toc122030749"/>
      <w:r>
        <w:t>4.1 Descriptive analysis</w:t>
      </w:r>
      <w:bookmarkEnd w:id="69"/>
    </w:p>
    <w:p w14:paraId="1D74111C" w14:textId="77777777" w:rsidR="0060466F" w:rsidRDefault="00000000">
      <w:pPr>
        <w:pStyle w:val="FirstParagraph"/>
      </w:pPr>
      <w:r>
        <w:t>Table 2 presents the means, standard deviations, and zero-order correlations for the variables. The survey origin is added for each variable. These origins has been used for analysing the main model. Supplementary analysis has been held to control the results of the main model. The supplementary analysis is reported in the last section of this chapter. Table 2 shows significant relations between individual autonomy needs and organisational autonomy supplied, and between both autonomy variables intrapreneurial behaviour. Means and standard deviations for all variables suggest considerable variation and little evidence of floor or ceiling effects. It is noteworthy that both variables are significantly related to intrapreneurial behaviour but differ in direction. Polynomial regression analysis was particularly helpful in understanding what happened here. Regarding the control variables, only a significant relation between psychological safety and education was found. Since all other correlations were insignificant, the control variables were ignored in the further analysis of the data.</w:t>
      </w:r>
    </w:p>
    <w:p w14:paraId="08C11D5E" w14:textId="77777777" w:rsidR="0060466F" w:rsidRDefault="00000000">
      <w:pPr>
        <w:pStyle w:val="TableCaption"/>
      </w:pPr>
      <w:bookmarkStart w:id="70" w:name="tbl:descriptives"/>
      <w:r>
        <w:t>Table 2: Means, Standard Deviations, and Correlations among the Study variables (significance codes: ‘**’ 0.01 ‘*’ 0.05)</w:t>
      </w:r>
    </w:p>
    <w:tbl>
      <w:tblPr>
        <w:tblStyle w:val="Table"/>
        <w:tblW w:w="0" w:type="auto"/>
        <w:tblLook w:val="0020" w:firstRow="1" w:lastRow="0" w:firstColumn="0" w:lastColumn="0" w:noHBand="0" w:noVBand="0"/>
        <w:tblCaption w:val="Table 2: Means, Standard Deviations, and Correlations among the Study variables (significance codes: ‘**’ 0.01 ‘*’ 0.05)"/>
      </w:tblPr>
      <w:tblGrid>
        <w:gridCol w:w="3167"/>
        <w:gridCol w:w="1342"/>
        <w:gridCol w:w="780"/>
        <w:gridCol w:w="664"/>
        <w:gridCol w:w="692"/>
        <w:gridCol w:w="678"/>
        <w:gridCol w:w="581"/>
        <w:gridCol w:w="742"/>
        <w:gridCol w:w="581"/>
        <w:gridCol w:w="349"/>
      </w:tblGrid>
      <w:tr w:rsidR="0060466F" w14:paraId="113186D0"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7390497B" w14:textId="77777777" w:rsidR="0060466F" w:rsidRDefault="00000000">
            <w:pPr>
              <w:pStyle w:val="Compact"/>
            </w:pPr>
            <w:r>
              <w:t>Variables</w:t>
            </w:r>
          </w:p>
        </w:tc>
        <w:tc>
          <w:tcPr>
            <w:tcW w:w="0" w:type="auto"/>
          </w:tcPr>
          <w:p w14:paraId="015FE594" w14:textId="77777777" w:rsidR="0060466F" w:rsidRDefault="00000000">
            <w:pPr>
              <w:pStyle w:val="Compact"/>
            </w:pPr>
            <w:r>
              <w:t>Survey origin</w:t>
            </w:r>
          </w:p>
        </w:tc>
        <w:tc>
          <w:tcPr>
            <w:tcW w:w="0" w:type="auto"/>
          </w:tcPr>
          <w:p w14:paraId="56F715D6" w14:textId="77777777" w:rsidR="0060466F" w:rsidRDefault="00000000">
            <w:pPr>
              <w:pStyle w:val="Compact"/>
            </w:pPr>
            <w:r>
              <w:t>Mean</w:t>
            </w:r>
          </w:p>
        </w:tc>
        <w:tc>
          <w:tcPr>
            <w:tcW w:w="0" w:type="auto"/>
          </w:tcPr>
          <w:p w14:paraId="600D9FFD" w14:textId="77777777" w:rsidR="0060466F" w:rsidRDefault="00000000">
            <w:pPr>
              <w:pStyle w:val="Compact"/>
            </w:pPr>
            <w:r>
              <w:t>SD</w:t>
            </w:r>
          </w:p>
        </w:tc>
        <w:tc>
          <w:tcPr>
            <w:tcW w:w="0" w:type="auto"/>
          </w:tcPr>
          <w:p w14:paraId="05BF8BC6" w14:textId="77777777" w:rsidR="0060466F" w:rsidRDefault="00000000">
            <w:pPr>
              <w:pStyle w:val="Compact"/>
            </w:pPr>
            <w:r>
              <w:t>1</w:t>
            </w:r>
          </w:p>
        </w:tc>
        <w:tc>
          <w:tcPr>
            <w:tcW w:w="0" w:type="auto"/>
          </w:tcPr>
          <w:p w14:paraId="2061DCC2" w14:textId="77777777" w:rsidR="0060466F" w:rsidRDefault="00000000">
            <w:pPr>
              <w:pStyle w:val="Compact"/>
            </w:pPr>
            <w:r>
              <w:t>2</w:t>
            </w:r>
          </w:p>
        </w:tc>
        <w:tc>
          <w:tcPr>
            <w:tcW w:w="0" w:type="auto"/>
          </w:tcPr>
          <w:p w14:paraId="655ED04C" w14:textId="77777777" w:rsidR="0060466F" w:rsidRDefault="00000000">
            <w:pPr>
              <w:pStyle w:val="Compact"/>
            </w:pPr>
            <w:r>
              <w:t>3</w:t>
            </w:r>
          </w:p>
        </w:tc>
        <w:tc>
          <w:tcPr>
            <w:tcW w:w="0" w:type="auto"/>
          </w:tcPr>
          <w:p w14:paraId="0169DAF1" w14:textId="77777777" w:rsidR="0060466F" w:rsidRDefault="00000000">
            <w:pPr>
              <w:pStyle w:val="Compact"/>
            </w:pPr>
            <w:r>
              <w:t>4</w:t>
            </w:r>
          </w:p>
        </w:tc>
        <w:tc>
          <w:tcPr>
            <w:tcW w:w="0" w:type="auto"/>
          </w:tcPr>
          <w:p w14:paraId="5500EF2B" w14:textId="77777777" w:rsidR="0060466F" w:rsidRDefault="00000000">
            <w:pPr>
              <w:pStyle w:val="Compact"/>
            </w:pPr>
            <w:r>
              <w:t>5</w:t>
            </w:r>
          </w:p>
        </w:tc>
        <w:tc>
          <w:tcPr>
            <w:tcW w:w="0" w:type="auto"/>
          </w:tcPr>
          <w:p w14:paraId="1FE4377D" w14:textId="77777777" w:rsidR="0060466F" w:rsidRDefault="00000000">
            <w:pPr>
              <w:pStyle w:val="Compact"/>
            </w:pPr>
            <w:r>
              <w:t>6</w:t>
            </w:r>
          </w:p>
        </w:tc>
      </w:tr>
      <w:tr w:rsidR="0060466F" w14:paraId="1CA9D0DF" w14:textId="77777777">
        <w:tc>
          <w:tcPr>
            <w:tcW w:w="0" w:type="auto"/>
          </w:tcPr>
          <w:p w14:paraId="340D8938" w14:textId="77777777" w:rsidR="0060466F" w:rsidRDefault="00000000">
            <w:pPr>
              <w:pStyle w:val="Compact"/>
            </w:pPr>
            <w:r>
              <w:rPr>
                <w:i/>
                <w:iCs/>
              </w:rPr>
              <w:t>Study variables</w:t>
            </w:r>
          </w:p>
        </w:tc>
        <w:tc>
          <w:tcPr>
            <w:tcW w:w="0" w:type="auto"/>
          </w:tcPr>
          <w:p w14:paraId="0655F0E7" w14:textId="77777777" w:rsidR="0060466F" w:rsidRDefault="0060466F">
            <w:pPr>
              <w:pStyle w:val="Compact"/>
            </w:pPr>
          </w:p>
        </w:tc>
        <w:tc>
          <w:tcPr>
            <w:tcW w:w="0" w:type="auto"/>
          </w:tcPr>
          <w:p w14:paraId="2A07934E" w14:textId="77777777" w:rsidR="0060466F" w:rsidRDefault="0060466F">
            <w:pPr>
              <w:pStyle w:val="Compact"/>
            </w:pPr>
          </w:p>
        </w:tc>
        <w:tc>
          <w:tcPr>
            <w:tcW w:w="0" w:type="auto"/>
          </w:tcPr>
          <w:p w14:paraId="7FAAD273" w14:textId="77777777" w:rsidR="0060466F" w:rsidRDefault="0060466F">
            <w:pPr>
              <w:pStyle w:val="Compact"/>
            </w:pPr>
          </w:p>
        </w:tc>
        <w:tc>
          <w:tcPr>
            <w:tcW w:w="0" w:type="auto"/>
          </w:tcPr>
          <w:p w14:paraId="5758920B" w14:textId="77777777" w:rsidR="0060466F" w:rsidRDefault="0060466F">
            <w:pPr>
              <w:pStyle w:val="Compact"/>
            </w:pPr>
          </w:p>
        </w:tc>
        <w:tc>
          <w:tcPr>
            <w:tcW w:w="0" w:type="auto"/>
          </w:tcPr>
          <w:p w14:paraId="7BE78B08" w14:textId="77777777" w:rsidR="0060466F" w:rsidRDefault="0060466F">
            <w:pPr>
              <w:pStyle w:val="Compact"/>
            </w:pPr>
          </w:p>
        </w:tc>
        <w:tc>
          <w:tcPr>
            <w:tcW w:w="0" w:type="auto"/>
          </w:tcPr>
          <w:p w14:paraId="7CCDA657" w14:textId="77777777" w:rsidR="0060466F" w:rsidRDefault="0060466F">
            <w:pPr>
              <w:pStyle w:val="Compact"/>
            </w:pPr>
          </w:p>
        </w:tc>
        <w:tc>
          <w:tcPr>
            <w:tcW w:w="0" w:type="auto"/>
          </w:tcPr>
          <w:p w14:paraId="7873624B" w14:textId="77777777" w:rsidR="0060466F" w:rsidRDefault="0060466F">
            <w:pPr>
              <w:pStyle w:val="Compact"/>
            </w:pPr>
          </w:p>
        </w:tc>
        <w:tc>
          <w:tcPr>
            <w:tcW w:w="0" w:type="auto"/>
          </w:tcPr>
          <w:p w14:paraId="7D8EDFD6" w14:textId="77777777" w:rsidR="0060466F" w:rsidRDefault="0060466F">
            <w:pPr>
              <w:pStyle w:val="Compact"/>
            </w:pPr>
          </w:p>
        </w:tc>
        <w:tc>
          <w:tcPr>
            <w:tcW w:w="0" w:type="auto"/>
          </w:tcPr>
          <w:p w14:paraId="6D2E1A0A" w14:textId="77777777" w:rsidR="0060466F" w:rsidRDefault="0060466F">
            <w:pPr>
              <w:pStyle w:val="Compact"/>
            </w:pPr>
          </w:p>
        </w:tc>
      </w:tr>
      <w:tr w:rsidR="0060466F" w14:paraId="16426E32" w14:textId="77777777">
        <w:tc>
          <w:tcPr>
            <w:tcW w:w="0" w:type="auto"/>
          </w:tcPr>
          <w:p w14:paraId="39BEA965" w14:textId="77777777" w:rsidR="0060466F" w:rsidRDefault="00000000">
            <w:pPr>
              <w:pStyle w:val="Compact"/>
            </w:pPr>
            <w:r>
              <w:t xml:space="preserve">1. Individual autonomy </w:t>
            </w:r>
            <w:r>
              <w:lastRenderedPageBreak/>
              <w:t>needs</w:t>
            </w:r>
          </w:p>
        </w:tc>
        <w:tc>
          <w:tcPr>
            <w:tcW w:w="0" w:type="auto"/>
          </w:tcPr>
          <w:p w14:paraId="62754BE0" w14:textId="77777777" w:rsidR="0060466F" w:rsidRDefault="00000000">
            <w:pPr>
              <w:pStyle w:val="Compact"/>
            </w:pPr>
            <w:r>
              <w:lastRenderedPageBreak/>
              <w:t>Daily</w:t>
            </w:r>
          </w:p>
        </w:tc>
        <w:tc>
          <w:tcPr>
            <w:tcW w:w="0" w:type="auto"/>
          </w:tcPr>
          <w:p w14:paraId="48ECB574" w14:textId="77777777" w:rsidR="0060466F" w:rsidRDefault="00000000">
            <w:pPr>
              <w:pStyle w:val="Compact"/>
            </w:pPr>
            <w:r>
              <w:t>5.12</w:t>
            </w:r>
          </w:p>
        </w:tc>
        <w:tc>
          <w:tcPr>
            <w:tcW w:w="0" w:type="auto"/>
          </w:tcPr>
          <w:p w14:paraId="3BF9FE41" w14:textId="77777777" w:rsidR="0060466F" w:rsidRDefault="00000000">
            <w:pPr>
              <w:pStyle w:val="Compact"/>
            </w:pPr>
            <w:r>
              <w:t>1.44</w:t>
            </w:r>
          </w:p>
        </w:tc>
        <w:tc>
          <w:tcPr>
            <w:tcW w:w="0" w:type="auto"/>
          </w:tcPr>
          <w:p w14:paraId="009BD8A9" w14:textId="77777777" w:rsidR="0060466F" w:rsidRDefault="00000000">
            <w:pPr>
              <w:pStyle w:val="Compact"/>
            </w:pPr>
            <w:r>
              <w:t>-</w:t>
            </w:r>
          </w:p>
        </w:tc>
        <w:tc>
          <w:tcPr>
            <w:tcW w:w="0" w:type="auto"/>
          </w:tcPr>
          <w:p w14:paraId="75D38516" w14:textId="77777777" w:rsidR="0060466F" w:rsidRDefault="0060466F">
            <w:pPr>
              <w:pStyle w:val="Compact"/>
            </w:pPr>
          </w:p>
        </w:tc>
        <w:tc>
          <w:tcPr>
            <w:tcW w:w="0" w:type="auto"/>
          </w:tcPr>
          <w:p w14:paraId="4EA597F3" w14:textId="77777777" w:rsidR="0060466F" w:rsidRDefault="0060466F">
            <w:pPr>
              <w:pStyle w:val="Compact"/>
            </w:pPr>
          </w:p>
        </w:tc>
        <w:tc>
          <w:tcPr>
            <w:tcW w:w="0" w:type="auto"/>
          </w:tcPr>
          <w:p w14:paraId="41C32D81" w14:textId="77777777" w:rsidR="0060466F" w:rsidRDefault="0060466F">
            <w:pPr>
              <w:pStyle w:val="Compact"/>
            </w:pPr>
          </w:p>
        </w:tc>
        <w:tc>
          <w:tcPr>
            <w:tcW w:w="0" w:type="auto"/>
          </w:tcPr>
          <w:p w14:paraId="77B57ABD" w14:textId="77777777" w:rsidR="0060466F" w:rsidRDefault="0060466F">
            <w:pPr>
              <w:pStyle w:val="Compact"/>
            </w:pPr>
          </w:p>
        </w:tc>
        <w:tc>
          <w:tcPr>
            <w:tcW w:w="0" w:type="auto"/>
          </w:tcPr>
          <w:p w14:paraId="08328C71" w14:textId="77777777" w:rsidR="0060466F" w:rsidRDefault="0060466F">
            <w:pPr>
              <w:pStyle w:val="Compact"/>
            </w:pPr>
          </w:p>
        </w:tc>
      </w:tr>
      <w:tr w:rsidR="0060466F" w14:paraId="3463CA11" w14:textId="77777777">
        <w:tc>
          <w:tcPr>
            <w:tcW w:w="0" w:type="auto"/>
          </w:tcPr>
          <w:p w14:paraId="0D8A2EE9" w14:textId="77777777" w:rsidR="0060466F" w:rsidRDefault="00000000">
            <w:pPr>
              <w:pStyle w:val="Compact"/>
            </w:pPr>
            <w:r>
              <w:t>2. Organisational autonomy supplied</w:t>
            </w:r>
          </w:p>
        </w:tc>
        <w:tc>
          <w:tcPr>
            <w:tcW w:w="0" w:type="auto"/>
          </w:tcPr>
          <w:p w14:paraId="093663B6" w14:textId="77777777" w:rsidR="0060466F" w:rsidRDefault="00000000">
            <w:pPr>
              <w:pStyle w:val="Compact"/>
            </w:pPr>
            <w:r>
              <w:t>Daily</w:t>
            </w:r>
          </w:p>
        </w:tc>
        <w:tc>
          <w:tcPr>
            <w:tcW w:w="0" w:type="auto"/>
          </w:tcPr>
          <w:p w14:paraId="069BE00A" w14:textId="77777777" w:rsidR="0060466F" w:rsidRDefault="00000000">
            <w:pPr>
              <w:pStyle w:val="Compact"/>
            </w:pPr>
            <w:r>
              <w:t>5.74</w:t>
            </w:r>
          </w:p>
        </w:tc>
        <w:tc>
          <w:tcPr>
            <w:tcW w:w="0" w:type="auto"/>
          </w:tcPr>
          <w:p w14:paraId="24EE8579" w14:textId="77777777" w:rsidR="0060466F" w:rsidRDefault="00000000">
            <w:pPr>
              <w:pStyle w:val="Compact"/>
            </w:pPr>
            <w:r>
              <w:t>1.15</w:t>
            </w:r>
          </w:p>
        </w:tc>
        <w:tc>
          <w:tcPr>
            <w:tcW w:w="0" w:type="auto"/>
          </w:tcPr>
          <w:p w14:paraId="6D834261" w14:textId="77777777" w:rsidR="0060466F" w:rsidRDefault="00000000">
            <w:pPr>
              <w:pStyle w:val="Compact"/>
            </w:pPr>
            <w:r>
              <w:t>.43</w:t>
            </w:r>
          </w:p>
        </w:tc>
        <w:tc>
          <w:tcPr>
            <w:tcW w:w="0" w:type="auto"/>
          </w:tcPr>
          <w:p w14:paraId="5F9671C2" w14:textId="77777777" w:rsidR="0060466F" w:rsidRDefault="00000000">
            <w:pPr>
              <w:pStyle w:val="Compact"/>
            </w:pPr>
            <w:r>
              <w:t>-</w:t>
            </w:r>
          </w:p>
        </w:tc>
        <w:tc>
          <w:tcPr>
            <w:tcW w:w="0" w:type="auto"/>
          </w:tcPr>
          <w:p w14:paraId="2996F652" w14:textId="77777777" w:rsidR="0060466F" w:rsidRDefault="0060466F">
            <w:pPr>
              <w:pStyle w:val="Compact"/>
            </w:pPr>
          </w:p>
        </w:tc>
        <w:tc>
          <w:tcPr>
            <w:tcW w:w="0" w:type="auto"/>
          </w:tcPr>
          <w:p w14:paraId="1F746F46" w14:textId="77777777" w:rsidR="0060466F" w:rsidRDefault="0060466F">
            <w:pPr>
              <w:pStyle w:val="Compact"/>
            </w:pPr>
          </w:p>
        </w:tc>
        <w:tc>
          <w:tcPr>
            <w:tcW w:w="0" w:type="auto"/>
          </w:tcPr>
          <w:p w14:paraId="50DD8ED8" w14:textId="77777777" w:rsidR="0060466F" w:rsidRDefault="0060466F">
            <w:pPr>
              <w:pStyle w:val="Compact"/>
            </w:pPr>
          </w:p>
        </w:tc>
        <w:tc>
          <w:tcPr>
            <w:tcW w:w="0" w:type="auto"/>
          </w:tcPr>
          <w:p w14:paraId="5EBDDA12" w14:textId="77777777" w:rsidR="0060466F" w:rsidRDefault="0060466F">
            <w:pPr>
              <w:pStyle w:val="Compact"/>
            </w:pPr>
          </w:p>
        </w:tc>
      </w:tr>
      <w:tr w:rsidR="0060466F" w14:paraId="71F3EDA9" w14:textId="77777777">
        <w:tc>
          <w:tcPr>
            <w:tcW w:w="0" w:type="auto"/>
          </w:tcPr>
          <w:p w14:paraId="734BCCBC" w14:textId="77777777" w:rsidR="0060466F" w:rsidRDefault="00000000">
            <w:pPr>
              <w:pStyle w:val="Compact"/>
            </w:pPr>
            <w:r>
              <w:t>3. Intrapreneurial behaviour</w:t>
            </w:r>
          </w:p>
        </w:tc>
        <w:tc>
          <w:tcPr>
            <w:tcW w:w="0" w:type="auto"/>
          </w:tcPr>
          <w:p w14:paraId="3DFA2AFA" w14:textId="77777777" w:rsidR="0060466F" w:rsidRDefault="00000000">
            <w:pPr>
              <w:pStyle w:val="Compact"/>
            </w:pPr>
            <w:r>
              <w:t>Daily</w:t>
            </w:r>
          </w:p>
        </w:tc>
        <w:tc>
          <w:tcPr>
            <w:tcW w:w="0" w:type="auto"/>
          </w:tcPr>
          <w:p w14:paraId="414F9B34" w14:textId="77777777" w:rsidR="0060466F" w:rsidRDefault="00000000">
            <w:pPr>
              <w:pStyle w:val="Compact"/>
            </w:pPr>
            <w:r>
              <w:t>3.27</w:t>
            </w:r>
          </w:p>
        </w:tc>
        <w:tc>
          <w:tcPr>
            <w:tcW w:w="0" w:type="auto"/>
          </w:tcPr>
          <w:p w14:paraId="2601E053" w14:textId="77777777" w:rsidR="0060466F" w:rsidRDefault="00000000">
            <w:pPr>
              <w:pStyle w:val="Compact"/>
            </w:pPr>
            <w:r>
              <w:t>1.35</w:t>
            </w:r>
          </w:p>
        </w:tc>
        <w:tc>
          <w:tcPr>
            <w:tcW w:w="0" w:type="auto"/>
          </w:tcPr>
          <w:p w14:paraId="3107A01A" w14:textId="77777777" w:rsidR="0060466F" w:rsidRDefault="00000000">
            <w:pPr>
              <w:pStyle w:val="Compact"/>
            </w:pPr>
            <w:r>
              <w:t>.15 **</w:t>
            </w:r>
          </w:p>
        </w:tc>
        <w:tc>
          <w:tcPr>
            <w:tcW w:w="0" w:type="auto"/>
          </w:tcPr>
          <w:p w14:paraId="0C95D805" w14:textId="77777777" w:rsidR="0060466F" w:rsidRDefault="00000000">
            <w:pPr>
              <w:pStyle w:val="Compact"/>
            </w:pPr>
            <w:r>
              <w:t>-.11 *</w:t>
            </w:r>
          </w:p>
        </w:tc>
        <w:tc>
          <w:tcPr>
            <w:tcW w:w="0" w:type="auto"/>
          </w:tcPr>
          <w:p w14:paraId="6B8CF1BC" w14:textId="77777777" w:rsidR="0060466F" w:rsidRDefault="00000000">
            <w:pPr>
              <w:pStyle w:val="Compact"/>
            </w:pPr>
            <w:r>
              <w:t>-</w:t>
            </w:r>
          </w:p>
        </w:tc>
        <w:tc>
          <w:tcPr>
            <w:tcW w:w="0" w:type="auto"/>
          </w:tcPr>
          <w:p w14:paraId="1922A2CC" w14:textId="77777777" w:rsidR="0060466F" w:rsidRDefault="0060466F">
            <w:pPr>
              <w:pStyle w:val="Compact"/>
            </w:pPr>
          </w:p>
        </w:tc>
        <w:tc>
          <w:tcPr>
            <w:tcW w:w="0" w:type="auto"/>
          </w:tcPr>
          <w:p w14:paraId="60CC3C5B" w14:textId="77777777" w:rsidR="0060466F" w:rsidRDefault="0060466F">
            <w:pPr>
              <w:pStyle w:val="Compact"/>
            </w:pPr>
          </w:p>
        </w:tc>
        <w:tc>
          <w:tcPr>
            <w:tcW w:w="0" w:type="auto"/>
          </w:tcPr>
          <w:p w14:paraId="16345D81" w14:textId="77777777" w:rsidR="0060466F" w:rsidRDefault="0060466F">
            <w:pPr>
              <w:pStyle w:val="Compact"/>
            </w:pPr>
          </w:p>
        </w:tc>
      </w:tr>
      <w:tr w:rsidR="0060466F" w14:paraId="2AD2ABDB" w14:textId="77777777">
        <w:tc>
          <w:tcPr>
            <w:tcW w:w="0" w:type="auto"/>
          </w:tcPr>
          <w:p w14:paraId="35F15765" w14:textId="77777777" w:rsidR="0060466F" w:rsidRDefault="00000000">
            <w:pPr>
              <w:pStyle w:val="Compact"/>
            </w:pPr>
            <w:r>
              <w:t>4. Psychological safety</w:t>
            </w:r>
          </w:p>
        </w:tc>
        <w:tc>
          <w:tcPr>
            <w:tcW w:w="0" w:type="auto"/>
          </w:tcPr>
          <w:p w14:paraId="06B27FDB" w14:textId="77777777" w:rsidR="0060466F" w:rsidRDefault="00000000">
            <w:pPr>
              <w:pStyle w:val="Compact"/>
            </w:pPr>
            <w:r>
              <w:t>T0</w:t>
            </w:r>
          </w:p>
        </w:tc>
        <w:tc>
          <w:tcPr>
            <w:tcW w:w="0" w:type="auto"/>
          </w:tcPr>
          <w:p w14:paraId="08DFB6F3" w14:textId="77777777" w:rsidR="0060466F" w:rsidRDefault="00000000">
            <w:pPr>
              <w:pStyle w:val="Compact"/>
            </w:pPr>
            <w:r>
              <w:t>5.49</w:t>
            </w:r>
          </w:p>
        </w:tc>
        <w:tc>
          <w:tcPr>
            <w:tcW w:w="0" w:type="auto"/>
          </w:tcPr>
          <w:p w14:paraId="097A3936" w14:textId="77777777" w:rsidR="0060466F" w:rsidRDefault="00000000">
            <w:pPr>
              <w:pStyle w:val="Compact"/>
            </w:pPr>
            <w:r>
              <w:t>.49</w:t>
            </w:r>
          </w:p>
        </w:tc>
        <w:tc>
          <w:tcPr>
            <w:tcW w:w="0" w:type="auto"/>
          </w:tcPr>
          <w:p w14:paraId="30F1712F" w14:textId="77777777" w:rsidR="0060466F" w:rsidRDefault="00000000">
            <w:pPr>
              <w:pStyle w:val="Compact"/>
            </w:pPr>
            <w:r>
              <w:t>.08</w:t>
            </w:r>
          </w:p>
        </w:tc>
        <w:tc>
          <w:tcPr>
            <w:tcW w:w="0" w:type="auto"/>
          </w:tcPr>
          <w:p w14:paraId="398FE421" w14:textId="77777777" w:rsidR="0060466F" w:rsidRDefault="00000000">
            <w:pPr>
              <w:pStyle w:val="Compact"/>
            </w:pPr>
            <w:r>
              <w:t>.14 *</w:t>
            </w:r>
          </w:p>
        </w:tc>
        <w:tc>
          <w:tcPr>
            <w:tcW w:w="0" w:type="auto"/>
          </w:tcPr>
          <w:p w14:paraId="602F8779" w14:textId="77777777" w:rsidR="0060466F" w:rsidRDefault="00000000">
            <w:pPr>
              <w:pStyle w:val="Compact"/>
            </w:pPr>
            <w:r>
              <w:t>.02</w:t>
            </w:r>
          </w:p>
        </w:tc>
        <w:tc>
          <w:tcPr>
            <w:tcW w:w="0" w:type="auto"/>
          </w:tcPr>
          <w:p w14:paraId="1A6D23B9" w14:textId="77777777" w:rsidR="0060466F" w:rsidRDefault="00000000">
            <w:pPr>
              <w:pStyle w:val="Compact"/>
            </w:pPr>
            <w:r>
              <w:t>-</w:t>
            </w:r>
          </w:p>
        </w:tc>
        <w:tc>
          <w:tcPr>
            <w:tcW w:w="0" w:type="auto"/>
          </w:tcPr>
          <w:p w14:paraId="68001FDC" w14:textId="77777777" w:rsidR="0060466F" w:rsidRDefault="0060466F">
            <w:pPr>
              <w:pStyle w:val="Compact"/>
            </w:pPr>
          </w:p>
        </w:tc>
        <w:tc>
          <w:tcPr>
            <w:tcW w:w="0" w:type="auto"/>
          </w:tcPr>
          <w:p w14:paraId="67D328D7" w14:textId="77777777" w:rsidR="0060466F" w:rsidRDefault="0060466F">
            <w:pPr>
              <w:pStyle w:val="Compact"/>
            </w:pPr>
          </w:p>
        </w:tc>
      </w:tr>
      <w:tr w:rsidR="0060466F" w14:paraId="6E897D5A" w14:textId="77777777">
        <w:tc>
          <w:tcPr>
            <w:tcW w:w="0" w:type="auto"/>
          </w:tcPr>
          <w:p w14:paraId="6F17ABAD" w14:textId="77777777" w:rsidR="0060466F" w:rsidRDefault="00000000">
            <w:pPr>
              <w:pStyle w:val="Compact"/>
            </w:pPr>
            <w:r>
              <w:rPr>
                <w:i/>
                <w:iCs/>
              </w:rPr>
              <w:t>Control variables</w:t>
            </w:r>
          </w:p>
        </w:tc>
        <w:tc>
          <w:tcPr>
            <w:tcW w:w="0" w:type="auto"/>
          </w:tcPr>
          <w:p w14:paraId="7A21F1BF" w14:textId="77777777" w:rsidR="0060466F" w:rsidRDefault="0060466F">
            <w:pPr>
              <w:pStyle w:val="Compact"/>
            </w:pPr>
          </w:p>
        </w:tc>
        <w:tc>
          <w:tcPr>
            <w:tcW w:w="0" w:type="auto"/>
          </w:tcPr>
          <w:p w14:paraId="03442DCB" w14:textId="77777777" w:rsidR="0060466F" w:rsidRDefault="0060466F">
            <w:pPr>
              <w:pStyle w:val="Compact"/>
            </w:pPr>
          </w:p>
        </w:tc>
        <w:tc>
          <w:tcPr>
            <w:tcW w:w="0" w:type="auto"/>
          </w:tcPr>
          <w:p w14:paraId="699D6C88" w14:textId="77777777" w:rsidR="0060466F" w:rsidRDefault="0060466F">
            <w:pPr>
              <w:pStyle w:val="Compact"/>
            </w:pPr>
          </w:p>
        </w:tc>
        <w:tc>
          <w:tcPr>
            <w:tcW w:w="0" w:type="auto"/>
          </w:tcPr>
          <w:p w14:paraId="5759888E" w14:textId="77777777" w:rsidR="0060466F" w:rsidRDefault="0060466F">
            <w:pPr>
              <w:pStyle w:val="Compact"/>
            </w:pPr>
          </w:p>
        </w:tc>
        <w:tc>
          <w:tcPr>
            <w:tcW w:w="0" w:type="auto"/>
          </w:tcPr>
          <w:p w14:paraId="20D896B1" w14:textId="77777777" w:rsidR="0060466F" w:rsidRDefault="0060466F">
            <w:pPr>
              <w:pStyle w:val="Compact"/>
            </w:pPr>
          </w:p>
        </w:tc>
        <w:tc>
          <w:tcPr>
            <w:tcW w:w="0" w:type="auto"/>
          </w:tcPr>
          <w:p w14:paraId="3019B561" w14:textId="77777777" w:rsidR="0060466F" w:rsidRDefault="0060466F">
            <w:pPr>
              <w:pStyle w:val="Compact"/>
            </w:pPr>
          </w:p>
        </w:tc>
        <w:tc>
          <w:tcPr>
            <w:tcW w:w="0" w:type="auto"/>
          </w:tcPr>
          <w:p w14:paraId="6550231A" w14:textId="77777777" w:rsidR="0060466F" w:rsidRDefault="0060466F">
            <w:pPr>
              <w:pStyle w:val="Compact"/>
            </w:pPr>
          </w:p>
        </w:tc>
        <w:tc>
          <w:tcPr>
            <w:tcW w:w="0" w:type="auto"/>
          </w:tcPr>
          <w:p w14:paraId="4E5F869E" w14:textId="77777777" w:rsidR="0060466F" w:rsidRDefault="0060466F">
            <w:pPr>
              <w:pStyle w:val="Compact"/>
            </w:pPr>
          </w:p>
        </w:tc>
        <w:tc>
          <w:tcPr>
            <w:tcW w:w="0" w:type="auto"/>
          </w:tcPr>
          <w:p w14:paraId="41BC4400" w14:textId="77777777" w:rsidR="0060466F" w:rsidRDefault="0060466F">
            <w:pPr>
              <w:pStyle w:val="Compact"/>
            </w:pPr>
          </w:p>
        </w:tc>
      </w:tr>
      <w:tr w:rsidR="0060466F" w14:paraId="6EF7A92A" w14:textId="77777777">
        <w:tc>
          <w:tcPr>
            <w:tcW w:w="0" w:type="auto"/>
          </w:tcPr>
          <w:p w14:paraId="2B9ADF3B" w14:textId="77777777" w:rsidR="0060466F" w:rsidRDefault="00000000">
            <w:pPr>
              <w:pStyle w:val="Compact"/>
            </w:pPr>
            <w:r>
              <w:t>5. Education</w:t>
            </w:r>
          </w:p>
        </w:tc>
        <w:tc>
          <w:tcPr>
            <w:tcW w:w="0" w:type="auto"/>
          </w:tcPr>
          <w:p w14:paraId="6F72A5E2" w14:textId="77777777" w:rsidR="0060466F" w:rsidRDefault="00000000">
            <w:pPr>
              <w:pStyle w:val="Compact"/>
            </w:pPr>
            <w:r>
              <w:t>T0</w:t>
            </w:r>
          </w:p>
        </w:tc>
        <w:tc>
          <w:tcPr>
            <w:tcW w:w="0" w:type="auto"/>
          </w:tcPr>
          <w:p w14:paraId="1C52CBEF" w14:textId="77777777" w:rsidR="0060466F" w:rsidRDefault="00000000">
            <w:pPr>
              <w:pStyle w:val="Compact"/>
            </w:pPr>
            <w:r>
              <w:t>4.4</w:t>
            </w:r>
          </w:p>
        </w:tc>
        <w:tc>
          <w:tcPr>
            <w:tcW w:w="0" w:type="auto"/>
          </w:tcPr>
          <w:p w14:paraId="2F665AFB" w14:textId="77777777" w:rsidR="0060466F" w:rsidRDefault="00000000">
            <w:pPr>
              <w:pStyle w:val="Compact"/>
            </w:pPr>
            <w:r>
              <w:t>.91</w:t>
            </w:r>
          </w:p>
        </w:tc>
        <w:tc>
          <w:tcPr>
            <w:tcW w:w="0" w:type="auto"/>
          </w:tcPr>
          <w:p w14:paraId="04BD09C8" w14:textId="77777777" w:rsidR="0060466F" w:rsidRDefault="00000000">
            <w:pPr>
              <w:pStyle w:val="Compact"/>
            </w:pPr>
            <w:r>
              <w:t>.09</w:t>
            </w:r>
          </w:p>
        </w:tc>
        <w:tc>
          <w:tcPr>
            <w:tcW w:w="0" w:type="auto"/>
          </w:tcPr>
          <w:p w14:paraId="632CF2C7" w14:textId="77777777" w:rsidR="0060466F" w:rsidRDefault="00000000">
            <w:pPr>
              <w:pStyle w:val="Compact"/>
            </w:pPr>
            <w:r>
              <w:t>.08</w:t>
            </w:r>
          </w:p>
        </w:tc>
        <w:tc>
          <w:tcPr>
            <w:tcW w:w="0" w:type="auto"/>
          </w:tcPr>
          <w:p w14:paraId="4E6AB42D" w14:textId="77777777" w:rsidR="0060466F" w:rsidRDefault="00000000">
            <w:pPr>
              <w:pStyle w:val="Compact"/>
            </w:pPr>
            <w:r>
              <w:t>0</w:t>
            </w:r>
          </w:p>
        </w:tc>
        <w:tc>
          <w:tcPr>
            <w:tcW w:w="0" w:type="auto"/>
          </w:tcPr>
          <w:p w14:paraId="6E8F1429" w14:textId="77777777" w:rsidR="0060466F" w:rsidRDefault="00000000">
            <w:pPr>
              <w:pStyle w:val="Compact"/>
            </w:pPr>
            <w:r>
              <w:t>-.19 **</w:t>
            </w:r>
          </w:p>
        </w:tc>
        <w:tc>
          <w:tcPr>
            <w:tcW w:w="0" w:type="auto"/>
          </w:tcPr>
          <w:p w14:paraId="020565BB" w14:textId="77777777" w:rsidR="0060466F" w:rsidRDefault="00000000">
            <w:pPr>
              <w:pStyle w:val="Compact"/>
            </w:pPr>
            <w:r>
              <w:t>-</w:t>
            </w:r>
          </w:p>
        </w:tc>
        <w:tc>
          <w:tcPr>
            <w:tcW w:w="0" w:type="auto"/>
          </w:tcPr>
          <w:p w14:paraId="241C5BBA" w14:textId="77777777" w:rsidR="0060466F" w:rsidRDefault="0060466F">
            <w:pPr>
              <w:pStyle w:val="Compact"/>
            </w:pPr>
          </w:p>
        </w:tc>
      </w:tr>
      <w:tr w:rsidR="0060466F" w14:paraId="673D402D" w14:textId="77777777">
        <w:tc>
          <w:tcPr>
            <w:tcW w:w="0" w:type="auto"/>
          </w:tcPr>
          <w:p w14:paraId="2E21A2C0" w14:textId="77777777" w:rsidR="0060466F" w:rsidRDefault="00000000">
            <w:pPr>
              <w:pStyle w:val="Compact"/>
            </w:pPr>
            <w:r>
              <w:t>6. First job</w:t>
            </w:r>
          </w:p>
        </w:tc>
        <w:tc>
          <w:tcPr>
            <w:tcW w:w="0" w:type="auto"/>
          </w:tcPr>
          <w:p w14:paraId="5B6D6834" w14:textId="77777777" w:rsidR="0060466F" w:rsidRDefault="00000000">
            <w:pPr>
              <w:pStyle w:val="Compact"/>
            </w:pPr>
            <w:r>
              <w:t>T0</w:t>
            </w:r>
          </w:p>
        </w:tc>
        <w:tc>
          <w:tcPr>
            <w:tcW w:w="0" w:type="auto"/>
          </w:tcPr>
          <w:p w14:paraId="0F438589" w14:textId="77777777" w:rsidR="0060466F" w:rsidRDefault="00000000">
            <w:pPr>
              <w:pStyle w:val="Compact"/>
            </w:pPr>
            <w:r>
              <w:t>1.88</w:t>
            </w:r>
          </w:p>
        </w:tc>
        <w:tc>
          <w:tcPr>
            <w:tcW w:w="0" w:type="auto"/>
          </w:tcPr>
          <w:p w14:paraId="2C6688CD" w14:textId="77777777" w:rsidR="0060466F" w:rsidRDefault="00000000">
            <w:pPr>
              <w:pStyle w:val="Compact"/>
            </w:pPr>
            <w:r>
              <w:t>.33</w:t>
            </w:r>
          </w:p>
        </w:tc>
        <w:tc>
          <w:tcPr>
            <w:tcW w:w="0" w:type="auto"/>
          </w:tcPr>
          <w:p w14:paraId="749AE481" w14:textId="77777777" w:rsidR="0060466F" w:rsidRDefault="00000000">
            <w:pPr>
              <w:pStyle w:val="Compact"/>
            </w:pPr>
            <w:r>
              <w:t>.07</w:t>
            </w:r>
          </w:p>
        </w:tc>
        <w:tc>
          <w:tcPr>
            <w:tcW w:w="0" w:type="auto"/>
          </w:tcPr>
          <w:p w14:paraId="753D265E" w14:textId="77777777" w:rsidR="0060466F" w:rsidRDefault="00000000">
            <w:pPr>
              <w:pStyle w:val="Compact"/>
            </w:pPr>
            <w:r>
              <w:t>.04</w:t>
            </w:r>
          </w:p>
        </w:tc>
        <w:tc>
          <w:tcPr>
            <w:tcW w:w="0" w:type="auto"/>
          </w:tcPr>
          <w:p w14:paraId="45F5C794" w14:textId="77777777" w:rsidR="0060466F" w:rsidRDefault="00000000">
            <w:pPr>
              <w:pStyle w:val="Compact"/>
            </w:pPr>
            <w:r>
              <w:t>-.12</w:t>
            </w:r>
          </w:p>
        </w:tc>
        <w:tc>
          <w:tcPr>
            <w:tcW w:w="0" w:type="auto"/>
          </w:tcPr>
          <w:p w14:paraId="00F6541B" w14:textId="77777777" w:rsidR="0060466F" w:rsidRDefault="00000000">
            <w:pPr>
              <w:pStyle w:val="Compact"/>
            </w:pPr>
            <w:r>
              <w:t>.13</w:t>
            </w:r>
          </w:p>
        </w:tc>
        <w:tc>
          <w:tcPr>
            <w:tcW w:w="0" w:type="auto"/>
          </w:tcPr>
          <w:p w14:paraId="05055366" w14:textId="77777777" w:rsidR="0060466F" w:rsidRDefault="00000000">
            <w:pPr>
              <w:pStyle w:val="Compact"/>
            </w:pPr>
            <w:r>
              <w:t>-.07</w:t>
            </w:r>
          </w:p>
        </w:tc>
        <w:tc>
          <w:tcPr>
            <w:tcW w:w="0" w:type="auto"/>
          </w:tcPr>
          <w:p w14:paraId="385D1D63" w14:textId="77777777" w:rsidR="0060466F" w:rsidRDefault="00000000">
            <w:pPr>
              <w:pStyle w:val="Compact"/>
            </w:pPr>
            <w:r>
              <w:t>-</w:t>
            </w:r>
          </w:p>
        </w:tc>
      </w:tr>
    </w:tbl>
    <w:bookmarkEnd w:id="70"/>
    <w:p w14:paraId="33D3FDCD" w14:textId="77777777" w:rsidR="0060466F" w:rsidRDefault="00000000">
      <w:pPr>
        <w:pStyle w:val="BodyText"/>
      </w:pPr>
      <w:r>
        <w:t>Confirmatory factor analyses showed that the four-factor model in which the studied variables were kept separate fit better to the data. The four-factor model (</w:t>
      </w:r>
      <m:oMath>
        <m:r>
          <w:rPr>
            <w:rFonts w:ascii="Cambria Math" w:hAnsi="Cambria Math"/>
          </w:rPr>
          <m:t>χ</m:t>
        </m:r>
      </m:oMath>
      <w:r>
        <w:t xml:space="preserve">2 (98, N=269) = 401.566, </w:t>
      </w:r>
      <m:oMath>
        <m:r>
          <w:rPr>
            <w:rFonts w:ascii="Cambria Math" w:hAnsi="Cambria Math"/>
          </w:rPr>
          <m:t>ρ</m:t>
        </m:r>
      </m:oMath>
      <w:r>
        <w:t xml:space="preserve"> &lt; 0.001; comparative fit index (CFI) = .873; root mean square error of approximation (RMSEA) = .107; standardised root mean square residual (SRMR) = .037) compared better than the one-factor model (</w:t>
      </w:r>
      <m:oMath>
        <m:r>
          <w:rPr>
            <w:rFonts w:ascii="Cambria Math" w:hAnsi="Cambria Math"/>
          </w:rPr>
          <m:t>χ</m:t>
        </m:r>
      </m:oMath>
      <w:r>
        <w:t xml:space="preserve">2 (104, N=269) = 1443.527, </w:t>
      </w:r>
      <m:oMath>
        <m:r>
          <w:rPr>
            <w:rFonts w:ascii="Cambria Math" w:hAnsi="Cambria Math"/>
          </w:rPr>
          <m:t>ρ</m:t>
        </m:r>
      </m:oMath>
      <w:r>
        <w:t xml:space="preserve"> &lt; 0.001; CFI = .44; RMSEA = .219; SRMR = .17). An ANOVA test between the models showed a </w:t>
      </w:r>
      <m:oMath>
        <m:r>
          <w:rPr>
            <w:rFonts w:ascii="Cambria Math" w:hAnsi="Cambria Math"/>
          </w:rPr>
          <m:t>Δχ</m:t>
        </m:r>
      </m:oMath>
      <w:r>
        <w:t xml:space="preserve">2 of 1042 with a </w:t>
      </w:r>
      <m:oMath>
        <m:r>
          <w:rPr>
            <w:rFonts w:ascii="Cambria Math" w:hAnsi="Cambria Math"/>
          </w:rPr>
          <m:t>ρ</m:t>
        </m:r>
      </m:oMath>
      <w:r>
        <w:t xml:space="preserve"> &lt; 0.001. The results of the four-factor model support the distinctiveness of the measures used in the study.</w:t>
      </w:r>
    </w:p>
    <w:p w14:paraId="66BC7A30" w14:textId="77777777" w:rsidR="0060466F" w:rsidRDefault="00000000">
      <w:pPr>
        <w:pStyle w:val="Heading2"/>
      </w:pPr>
      <w:bookmarkStart w:id="71" w:name="X5161d6ac21242c74f753043340b1b980ee189ea"/>
      <w:bookmarkStart w:id="72" w:name="_Toc122030750"/>
      <w:bookmarkEnd w:id="68"/>
      <w:r>
        <w:t>4.2 Polynomial regression analysis &amp; response-surface modelling</w:t>
      </w:r>
      <w:bookmarkEnd w:id="72"/>
    </w:p>
    <w:p w14:paraId="67A85FAC" w14:textId="77777777" w:rsidR="0060466F" w:rsidRDefault="00000000">
      <w:pPr>
        <w:pStyle w:val="FirstParagraph"/>
      </w:pPr>
      <w:r>
        <w:t>The multiple linear regression analysis (</w:t>
      </w:r>
      <m:oMath>
        <m:r>
          <w:rPr>
            <w:rFonts w:ascii="Cambria Math" w:hAnsi="Cambria Math"/>
          </w:rPr>
          <m:t>χ</m:t>
        </m:r>
      </m:oMath>
      <w:r>
        <w:t xml:space="preserve">2 = 0.0423, F (266) = 5.874, </w:t>
      </w:r>
      <m:oMath>
        <m:r>
          <w:rPr>
            <w:rFonts w:ascii="Cambria Math" w:hAnsi="Cambria Math"/>
          </w:rPr>
          <m:t>ρ</m:t>
        </m:r>
      </m:oMath>
      <w:r>
        <w:t xml:space="preserve"> &lt; 0.01) showed that individual autonomy needs and organisational autonomy supply exhibit different behaviour. For every 1% increase in individual autonomy need an 0.24% increase in intrapreneurial behaviour was found (</w:t>
      </w:r>
      <m:oMath>
        <m:r>
          <w:rPr>
            <w:rFonts w:ascii="Cambria Math" w:hAnsi="Cambria Math"/>
          </w:rPr>
          <m:t>ρ</m:t>
        </m:r>
      </m:oMath>
      <w:r>
        <w:t xml:space="preserve"> &lt; 0.01). Regarding organisational supplied autonomy each 1% increase led to 0.17% decrease in intrapreneurial behaviour (</w:t>
      </w:r>
      <m:oMath>
        <m:r>
          <w:rPr>
            <w:rFonts w:ascii="Cambria Math" w:hAnsi="Cambria Math"/>
          </w:rPr>
          <m:t>ρ</m:t>
        </m:r>
      </m:oMath>
      <w:r>
        <w:t xml:space="preserve"> &lt; 0.05). Polynomial regression analysis provides answers to the two predictive autonomy variables on the outcome variable, intrapreneurial behaviour. Following the protocol established by Edwards (</w:t>
      </w:r>
      <w:hyperlink w:anchor="ref-edwards1993">
        <w:r>
          <w:rPr>
            <w:rStyle w:val="Hyperlink"/>
          </w:rPr>
          <w:t>1993</w:t>
        </w:r>
      </w:hyperlink>
      <w:r>
        <w:t xml:space="preserve">) the polynomial regression analysis was executed in a multi-step approach. The first step represents our main model of the relationship between person (individual autonomy needs), environment (organisational autonomy supply), and outcome (intrapreneurial behaviour). The second step adds the interaction with psychological safety as a moderator, which follows procedures set by </w:t>
      </w:r>
      <w:hyperlink w:anchor="ref-vogel2016">
        <w:r>
          <w:rPr>
            <w:rStyle w:val="Hyperlink"/>
          </w:rPr>
          <w:t>Vogel et al.</w:t>
        </w:r>
      </w:hyperlink>
      <w:r>
        <w:t xml:space="preserve"> (</w:t>
      </w:r>
      <w:hyperlink w:anchor="ref-vogel2016">
        <w:r>
          <w:rPr>
            <w:rStyle w:val="Hyperlink"/>
          </w:rPr>
          <w:t>2016</w:t>
        </w:r>
      </w:hyperlink>
      <w:r>
        <w:t xml:space="preserve">). Results from both polynomial regressions are displayed in Table 3.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results suggest that both models account for significant variance. Both models had low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As this study tests a congruence hypothesis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are not informative. For testing the hypotheses the pattern in the coeffici</w:t>
      </w:r>
      <w:proofErr w:type="spellStart"/>
      <w:r>
        <w:t>ents</w:t>
      </w:r>
      <w:proofErr w:type="spellEnd"/>
      <w:r>
        <w:t xml:space="preserve"> is crucial, and this pattern is not given by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(Edwards, personal communication).</w:t>
      </w:r>
    </w:p>
    <w:p w14:paraId="416B3A54" w14:textId="77777777" w:rsidR="0060466F" w:rsidRDefault="00000000">
      <w:pPr>
        <w:pStyle w:val="TableCaption"/>
      </w:pPr>
      <w:bookmarkStart w:id="73" w:name="tbl:model-poly"/>
      <w:r>
        <w:lastRenderedPageBreak/>
        <w:t>Table 3: Polynomial regression results of intrapreneurial behaviour on individual autonomy (N) and organisational supplied autonomy (S)</w:t>
      </w:r>
    </w:p>
    <w:tbl>
      <w:tblPr>
        <w:tblStyle w:val="Table"/>
        <w:tblW w:w="0" w:type="auto"/>
        <w:tblLook w:val="0020" w:firstRow="1" w:lastRow="0" w:firstColumn="0" w:lastColumn="0" w:noHBand="0" w:noVBand="0"/>
        <w:tblCaption w:val="Table 3: Polynomial regression results of intrapreneurial behaviour on individual autonomy (N) and organisational supplied autonomy (S)"/>
      </w:tblPr>
      <w:tblGrid>
        <w:gridCol w:w="4107"/>
        <w:gridCol w:w="831"/>
        <w:gridCol w:w="531"/>
        <w:gridCol w:w="869"/>
        <w:gridCol w:w="531"/>
      </w:tblGrid>
      <w:tr w:rsidR="0060466F" w14:paraId="33FE5AD8"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49A9711F" w14:textId="77777777" w:rsidR="0060466F" w:rsidRDefault="0060466F">
            <w:pPr>
              <w:pStyle w:val="Compact"/>
            </w:pPr>
          </w:p>
        </w:tc>
        <w:tc>
          <w:tcPr>
            <w:tcW w:w="0" w:type="auto"/>
          </w:tcPr>
          <w:p w14:paraId="04658C7B" w14:textId="77777777" w:rsidR="0060466F" w:rsidRDefault="00000000">
            <w:pPr>
              <w:pStyle w:val="Compact"/>
              <w:jc w:val="right"/>
            </w:pPr>
            <w:r>
              <w:rPr>
                <w:i/>
                <w:iCs/>
              </w:rPr>
              <w:t>Step 1</w:t>
            </w:r>
          </w:p>
        </w:tc>
        <w:tc>
          <w:tcPr>
            <w:tcW w:w="0" w:type="auto"/>
          </w:tcPr>
          <w:p w14:paraId="46CAF278" w14:textId="77777777" w:rsidR="0060466F" w:rsidRDefault="0060466F">
            <w:pPr>
              <w:pStyle w:val="Compact"/>
            </w:pPr>
          </w:p>
        </w:tc>
        <w:tc>
          <w:tcPr>
            <w:tcW w:w="0" w:type="auto"/>
          </w:tcPr>
          <w:p w14:paraId="72C4D0BD" w14:textId="77777777" w:rsidR="0060466F" w:rsidRDefault="00000000">
            <w:pPr>
              <w:pStyle w:val="Compact"/>
              <w:jc w:val="right"/>
            </w:pPr>
            <w:r>
              <w:rPr>
                <w:i/>
                <w:iCs/>
              </w:rPr>
              <w:t>Step 2</w:t>
            </w:r>
          </w:p>
        </w:tc>
        <w:tc>
          <w:tcPr>
            <w:tcW w:w="0" w:type="auto"/>
          </w:tcPr>
          <w:p w14:paraId="0388D920" w14:textId="77777777" w:rsidR="0060466F" w:rsidRDefault="0060466F">
            <w:pPr>
              <w:pStyle w:val="Compact"/>
            </w:pPr>
          </w:p>
        </w:tc>
      </w:tr>
      <w:tr w:rsidR="0060466F" w14:paraId="6F58C077" w14:textId="77777777">
        <w:tc>
          <w:tcPr>
            <w:tcW w:w="0" w:type="auto"/>
          </w:tcPr>
          <w:p w14:paraId="3FEFEF7A" w14:textId="77777777" w:rsidR="0060466F" w:rsidRDefault="00000000">
            <w:pPr>
              <w:pStyle w:val="Compact"/>
            </w:pPr>
            <w:r>
              <w:rPr>
                <w:b/>
                <w:bCs/>
              </w:rPr>
              <w:t>Variables</w:t>
            </w:r>
          </w:p>
        </w:tc>
        <w:tc>
          <w:tcPr>
            <w:tcW w:w="0" w:type="auto"/>
          </w:tcPr>
          <w:p w14:paraId="72C30172" w14:textId="77777777" w:rsidR="0060466F" w:rsidRDefault="00000000">
            <w:pPr>
              <w:pStyle w:val="Compact"/>
              <w:jc w:val="right"/>
            </w:pPr>
            <w:r>
              <w:rPr>
                <w:b/>
                <w:bCs/>
              </w:rPr>
              <w:t>b</w:t>
            </w:r>
          </w:p>
        </w:tc>
        <w:tc>
          <w:tcPr>
            <w:tcW w:w="0" w:type="auto"/>
          </w:tcPr>
          <w:p w14:paraId="3E1B625B" w14:textId="77777777" w:rsidR="0060466F" w:rsidRDefault="00000000">
            <w:pPr>
              <w:pStyle w:val="Compact"/>
              <w:jc w:val="right"/>
            </w:pPr>
            <w:r>
              <w:rPr>
                <w:b/>
                <w:bCs/>
              </w:rPr>
              <w:t>SE</w:t>
            </w:r>
          </w:p>
        </w:tc>
        <w:tc>
          <w:tcPr>
            <w:tcW w:w="0" w:type="auto"/>
          </w:tcPr>
          <w:p w14:paraId="3B992549" w14:textId="77777777" w:rsidR="0060466F" w:rsidRDefault="00000000">
            <w:pPr>
              <w:pStyle w:val="Compact"/>
              <w:jc w:val="right"/>
            </w:pPr>
            <w:r>
              <w:rPr>
                <w:b/>
                <w:bCs/>
              </w:rPr>
              <w:t>b</w:t>
            </w:r>
          </w:p>
        </w:tc>
        <w:tc>
          <w:tcPr>
            <w:tcW w:w="0" w:type="auto"/>
          </w:tcPr>
          <w:p w14:paraId="7D382E64" w14:textId="77777777" w:rsidR="0060466F" w:rsidRDefault="00000000">
            <w:pPr>
              <w:pStyle w:val="Compact"/>
              <w:jc w:val="right"/>
            </w:pPr>
            <w:r>
              <w:rPr>
                <w:b/>
                <w:bCs/>
              </w:rPr>
              <w:t>SE</w:t>
            </w:r>
          </w:p>
        </w:tc>
      </w:tr>
      <w:tr w:rsidR="0060466F" w14:paraId="794DAE87" w14:textId="77777777">
        <w:tc>
          <w:tcPr>
            <w:tcW w:w="0" w:type="auto"/>
          </w:tcPr>
          <w:p w14:paraId="3ADC8519" w14:textId="77777777" w:rsidR="0060466F" w:rsidRDefault="00000000">
            <w:pPr>
              <w:pStyle w:val="Compact"/>
            </w:pPr>
            <w:r>
              <w:t>Individual autonomy needs (N)</w:t>
            </w:r>
          </w:p>
        </w:tc>
        <w:tc>
          <w:tcPr>
            <w:tcW w:w="0" w:type="auto"/>
          </w:tcPr>
          <w:p w14:paraId="38EAF144" w14:textId="77777777" w:rsidR="0060466F" w:rsidRDefault="00000000">
            <w:pPr>
              <w:pStyle w:val="Compact"/>
              <w:jc w:val="right"/>
            </w:pPr>
            <w:r>
              <w:t>.23</w:t>
            </w:r>
          </w:p>
        </w:tc>
        <w:tc>
          <w:tcPr>
            <w:tcW w:w="0" w:type="auto"/>
          </w:tcPr>
          <w:p w14:paraId="283687BC" w14:textId="77777777" w:rsidR="0060466F" w:rsidRDefault="00000000">
            <w:pPr>
              <w:pStyle w:val="Compact"/>
              <w:jc w:val="right"/>
            </w:pPr>
            <w:r>
              <w:t>.15</w:t>
            </w:r>
          </w:p>
        </w:tc>
        <w:tc>
          <w:tcPr>
            <w:tcW w:w="0" w:type="auto"/>
          </w:tcPr>
          <w:p w14:paraId="4F01FC75" w14:textId="77777777" w:rsidR="0060466F" w:rsidRDefault="00000000">
            <w:pPr>
              <w:pStyle w:val="Compact"/>
              <w:jc w:val="right"/>
            </w:pPr>
            <w:r>
              <w:t>.41 *</w:t>
            </w:r>
          </w:p>
        </w:tc>
        <w:tc>
          <w:tcPr>
            <w:tcW w:w="0" w:type="auto"/>
          </w:tcPr>
          <w:p w14:paraId="1A3EE115" w14:textId="77777777" w:rsidR="0060466F" w:rsidRDefault="00000000">
            <w:pPr>
              <w:pStyle w:val="Compact"/>
              <w:jc w:val="right"/>
            </w:pPr>
            <w:r>
              <w:t>.19</w:t>
            </w:r>
          </w:p>
        </w:tc>
      </w:tr>
      <w:tr w:rsidR="0060466F" w14:paraId="4AD05EBD" w14:textId="77777777">
        <w:tc>
          <w:tcPr>
            <w:tcW w:w="0" w:type="auto"/>
          </w:tcPr>
          <w:p w14:paraId="342D7152" w14:textId="77777777" w:rsidR="0060466F" w:rsidRDefault="00000000">
            <w:pPr>
              <w:pStyle w:val="Compact"/>
            </w:pPr>
            <w:r>
              <w:t>Organisational autonomy supplied (S)</w:t>
            </w:r>
          </w:p>
        </w:tc>
        <w:tc>
          <w:tcPr>
            <w:tcW w:w="0" w:type="auto"/>
          </w:tcPr>
          <w:p w14:paraId="4E612F6E" w14:textId="77777777" w:rsidR="0060466F" w:rsidRDefault="00000000">
            <w:pPr>
              <w:pStyle w:val="Compact"/>
              <w:jc w:val="right"/>
            </w:pPr>
            <w:r>
              <w:t>-.09</w:t>
            </w:r>
          </w:p>
        </w:tc>
        <w:tc>
          <w:tcPr>
            <w:tcW w:w="0" w:type="auto"/>
          </w:tcPr>
          <w:p w14:paraId="0165643C" w14:textId="77777777" w:rsidR="0060466F" w:rsidRDefault="00000000">
            <w:pPr>
              <w:pStyle w:val="Compact"/>
              <w:jc w:val="right"/>
            </w:pPr>
            <w:r>
              <w:t>.12</w:t>
            </w:r>
          </w:p>
        </w:tc>
        <w:tc>
          <w:tcPr>
            <w:tcW w:w="0" w:type="auto"/>
          </w:tcPr>
          <w:p w14:paraId="29C2FA09" w14:textId="77777777" w:rsidR="0060466F" w:rsidRDefault="00000000">
            <w:pPr>
              <w:pStyle w:val="Compact"/>
              <w:jc w:val="right"/>
            </w:pPr>
            <w:r>
              <w:t>-.20</w:t>
            </w:r>
          </w:p>
        </w:tc>
        <w:tc>
          <w:tcPr>
            <w:tcW w:w="0" w:type="auto"/>
          </w:tcPr>
          <w:p w14:paraId="37FEF381" w14:textId="77777777" w:rsidR="0060466F" w:rsidRDefault="00000000">
            <w:pPr>
              <w:pStyle w:val="Compact"/>
              <w:jc w:val="right"/>
            </w:pPr>
            <w:r>
              <w:t>.15</w:t>
            </w:r>
          </w:p>
        </w:tc>
      </w:tr>
      <w:tr w:rsidR="0060466F" w14:paraId="382FD8F0" w14:textId="77777777">
        <w:tc>
          <w:tcPr>
            <w:tcW w:w="0" w:type="auto"/>
          </w:tcPr>
          <w:p w14:paraId="36CF43BD" w14:textId="77777777" w:rsidR="0060466F" w:rsidRDefault="00000000">
            <w:pPr>
              <w:pStyle w:val="Compact"/>
            </w:pPr>
            <w:r>
              <w:t>N²</w:t>
            </w:r>
          </w:p>
        </w:tc>
        <w:tc>
          <w:tcPr>
            <w:tcW w:w="0" w:type="auto"/>
          </w:tcPr>
          <w:p w14:paraId="486683A6" w14:textId="77777777" w:rsidR="0060466F" w:rsidRDefault="00000000">
            <w:pPr>
              <w:pStyle w:val="Compact"/>
              <w:jc w:val="right"/>
            </w:pPr>
            <w:r>
              <w:t>-.03</w:t>
            </w:r>
          </w:p>
        </w:tc>
        <w:tc>
          <w:tcPr>
            <w:tcW w:w="0" w:type="auto"/>
          </w:tcPr>
          <w:p w14:paraId="1FD556EA" w14:textId="77777777" w:rsidR="0060466F" w:rsidRDefault="00000000">
            <w:pPr>
              <w:pStyle w:val="Compact"/>
              <w:jc w:val="right"/>
            </w:pPr>
            <w:r>
              <w:t>.04</w:t>
            </w:r>
          </w:p>
        </w:tc>
        <w:tc>
          <w:tcPr>
            <w:tcW w:w="0" w:type="auto"/>
          </w:tcPr>
          <w:p w14:paraId="56742027" w14:textId="77777777" w:rsidR="0060466F" w:rsidRDefault="00000000">
            <w:pPr>
              <w:pStyle w:val="Compact"/>
              <w:jc w:val="right"/>
            </w:pPr>
            <w:r>
              <w:t>-.15 **</w:t>
            </w:r>
          </w:p>
        </w:tc>
        <w:tc>
          <w:tcPr>
            <w:tcW w:w="0" w:type="auto"/>
          </w:tcPr>
          <w:p w14:paraId="40026D82" w14:textId="77777777" w:rsidR="0060466F" w:rsidRDefault="00000000">
            <w:pPr>
              <w:pStyle w:val="Compact"/>
              <w:jc w:val="right"/>
            </w:pPr>
            <w:r>
              <w:t>.05</w:t>
            </w:r>
          </w:p>
        </w:tc>
      </w:tr>
      <w:tr w:rsidR="0060466F" w14:paraId="3FE86C59" w14:textId="77777777">
        <w:tc>
          <w:tcPr>
            <w:tcW w:w="0" w:type="auto"/>
          </w:tcPr>
          <w:p w14:paraId="1EA23852" w14:textId="77777777" w:rsidR="0060466F" w:rsidRDefault="00000000">
            <w:pPr>
              <w:pStyle w:val="Compact"/>
            </w:pPr>
            <w:r>
              <w:t>N x S</w:t>
            </w:r>
          </w:p>
        </w:tc>
        <w:tc>
          <w:tcPr>
            <w:tcW w:w="0" w:type="auto"/>
          </w:tcPr>
          <w:p w14:paraId="5057600E" w14:textId="77777777" w:rsidR="0060466F" w:rsidRDefault="00000000">
            <w:pPr>
              <w:pStyle w:val="Compact"/>
              <w:jc w:val="right"/>
            </w:pPr>
            <w:r>
              <w:t>.02</w:t>
            </w:r>
          </w:p>
        </w:tc>
        <w:tc>
          <w:tcPr>
            <w:tcW w:w="0" w:type="auto"/>
          </w:tcPr>
          <w:p w14:paraId="430CD0C1" w14:textId="77777777" w:rsidR="0060466F" w:rsidRDefault="00000000">
            <w:pPr>
              <w:pStyle w:val="Compact"/>
              <w:jc w:val="right"/>
            </w:pPr>
            <w:r>
              <w:t>.07</w:t>
            </w:r>
          </w:p>
        </w:tc>
        <w:tc>
          <w:tcPr>
            <w:tcW w:w="0" w:type="auto"/>
          </w:tcPr>
          <w:p w14:paraId="5DB14385" w14:textId="77777777" w:rsidR="0060466F" w:rsidRDefault="00000000">
            <w:pPr>
              <w:pStyle w:val="Compact"/>
              <w:jc w:val="right"/>
            </w:pPr>
            <w:r>
              <w:t>.08</w:t>
            </w:r>
          </w:p>
        </w:tc>
        <w:tc>
          <w:tcPr>
            <w:tcW w:w="0" w:type="auto"/>
          </w:tcPr>
          <w:p w14:paraId="74782320" w14:textId="77777777" w:rsidR="0060466F" w:rsidRDefault="00000000">
            <w:pPr>
              <w:pStyle w:val="Compact"/>
              <w:jc w:val="right"/>
            </w:pPr>
            <w:r>
              <w:t>.08</w:t>
            </w:r>
          </w:p>
        </w:tc>
      </w:tr>
      <w:tr w:rsidR="0060466F" w14:paraId="480D2385" w14:textId="77777777">
        <w:tc>
          <w:tcPr>
            <w:tcW w:w="0" w:type="auto"/>
          </w:tcPr>
          <w:p w14:paraId="5291778F" w14:textId="77777777" w:rsidR="0060466F" w:rsidRDefault="00000000">
            <w:pPr>
              <w:pStyle w:val="Compact"/>
            </w:pPr>
            <w:r>
              <w:t>S²</w:t>
            </w:r>
          </w:p>
        </w:tc>
        <w:tc>
          <w:tcPr>
            <w:tcW w:w="0" w:type="auto"/>
          </w:tcPr>
          <w:p w14:paraId="31A49200" w14:textId="77777777" w:rsidR="0060466F" w:rsidRDefault="00000000">
            <w:pPr>
              <w:pStyle w:val="Compact"/>
              <w:jc w:val="right"/>
            </w:pPr>
            <w:r>
              <w:t>-.03</w:t>
            </w:r>
          </w:p>
        </w:tc>
        <w:tc>
          <w:tcPr>
            <w:tcW w:w="0" w:type="auto"/>
          </w:tcPr>
          <w:p w14:paraId="1181D6CE" w14:textId="77777777" w:rsidR="0060466F" w:rsidRDefault="00000000">
            <w:pPr>
              <w:pStyle w:val="Compact"/>
              <w:jc w:val="right"/>
            </w:pPr>
            <w:r>
              <w:t>.04</w:t>
            </w:r>
          </w:p>
        </w:tc>
        <w:tc>
          <w:tcPr>
            <w:tcW w:w="0" w:type="auto"/>
          </w:tcPr>
          <w:p w14:paraId="3D1A5748" w14:textId="77777777" w:rsidR="0060466F" w:rsidRDefault="00000000">
            <w:pPr>
              <w:pStyle w:val="Compact"/>
              <w:jc w:val="right"/>
            </w:pPr>
            <w:r>
              <w:t>0</w:t>
            </w:r>
          </w:p>
        </w:tc>
        <w:tc>
          <w:tcPr>
            <w:tcW w:w="0" w:type="auto"/>
          </w:tcPr>
          <w:p w14:paraId="369332B5" w14:textId="77777777" w:rsidR="0060466F" w:rsidRDefault="00000000">
            <w:pPr>
              <w:pStyle w:val="Compact"/>
              <w:jc w:val="right"/>
            </w:pPr>
            <w:r>
              <w:t>.06</w:t>
            </w:r>
          </w:p>
        </w:tc>
      </w:tr>
      <w:tr w:rsidR="0060466F" w14:paraId="04F001AE" w14:textId="77777777">
        <w:tc>
          <w:tcPr>
            <w:tcW w:w="0" w:type="auto"/>
          </w:tcPr>
          <w:p w14:paraId="3B187005" w14:textId="77777777" w:rsidR="0060466F" w:rsidRDefault="00000000">
            <w:pPr>
              <w:pStyle w:val="Compact"/>
            </w:pPr>
            <w:r>
              <w:t>Psychological Safety (PS)</w:t>
            </w:r>
          </w:p>
        </w:tc>
        <w:tc>
          <w:tcPr>
            <w:tcW w:w="0" w:type="auto"/>
          </w:tcPr>
          <w:p w14:paraId="338E4D54" w14:textId="77777777" w:rsidR="0060466F" w:rsidRDefault="0060466F">
            <w:pPr>
              <w:pStyle w:val="Compact"/>
            </w:pPr>
          </w:p>
        </w:tc>
        <w:tc>
          <w:tcPr>
            <w:tcW w:w="0" w:type="auto"/>
          </w:tcPr>
          <w:p w14:paraId="75395D5D" w14:textId="77777777" w:rsidR="0060466F" w:rsidRDefault="0060466F">
            <w:pPr>
              <w:pStyle w:val="Compact"/>
            </w:pPr>
          </w:p>
        </w:tc>
        <w:tc>
          <w:tcPr>
            <w:tcW w:w="0" w:type="auto"/>
          </w:tcPr>
          <w:p w14:paraId="34BFAE6C" w14:textId="77777777" w:rsidR="0060466F" w:rsidRDefault="00000000">
            <w:pPr>
              <w:pStyle w:val="Compact"/>
              <w:jc w:val="right"/>
            </w:pPr>
            <w:r>
              <w:t>0</w:t>
            </w:r>
          </w:p>
        </w:tc>
        <w:tc>
          <w:tcPr>
            <w:tcW w:w="0" w:type="auto"/>
          </w:tcPr>
          <w:p w14:paraId="389345F8" w14:textId="77777777" w:rsidR="0060466F" w:rsidRDefault="00000000">
            <w:pPr>
              <w:pStyle w:val="Compact"/>
              <w:jc w:val="right"/>
            </w:pPr>
            <w:r>
              <w:t>.23</w:t>
            </w:r>
          </w:p>
        </w:tc>
      </w:tr>
      <w:tr w:rsidR="0060466F" w14:paraId="7C9D5BE3" w14:textId="77777777">
        <w:tc>
          <w:tcPr>
            <w:tcW w:w="0" w:type="auto"/>
          </w:tcPr>
          <w:p w14:paraId="067D27BD" w14:textId="77777777" w:rsidR="0060466F" w:rsidRDefault="00000000">
            <w:pPr>
              <w:pStyle w:val="Compact"/>
            </w:pPr>
            <w:proofErr w:type="spellStart"/>
            <w:r>
              <w:t>PSxN</w:t>
            </w:r>
            <w:proofErr w:type="spellEnd"/>
          </w:p>
        </w:tc>
        <w:tc>
          <w:tcPr>
            <w:tcW w:w="0" w:type="auto"/>
          </w:tcPr>
          <w:p w14:paraId="0A6A21A1" w14:textId="77777777" w:rsidR="0060466F" w:rsidRDefault="0060466F">
            <w:pPr>
              <w:pStyle w:val="Compact"/>
            </w:pPr>
          </w:p>
        </w:tc>
        <w:tc>
          <w:tcPr>
            <w:tcW w:w="0" w:type="auto"/>
          </w:tcPr>
          <w:p w14:paraId="2498D829" w14:textId="77777777" w:rsidR="0060466F" w:rsidRDefault="0060466F">
            <w:pPr>
              <w:pStyle w:val="Compact"/>
            </w:pPr>
          </w:p>
        </w:tc>
        <w:tc>
          <w:tcPr>
            <w:tcW w:w="0" w:type="auto"/>
          </w:tcPr>
          <w:p w14:paraId="16A958FD" w14:textId="77777777" w:rsidR="0060466F" w:rsidRDefault="00000000">
            <w:pPr>
              <w:pStyle w:val="Compact"/>
              <w:jc w:val="right"/>
            </w:pPr>
            <w:r>
              <w:t>-.21</w:t>
            </w:r>
          </w:p>
        </w:tc>
        <w:tc>
          <w:tcPr>
            <w:tcW w:w="0" w:type="auto"/>
          </w:tcPr>
          <w:p w14:paraId="79C7AF4F" w14:textId="77777777" w:rsidR="0060466F" w:rsidRDefault="00000000">
            <w:pPr>
              <w:pStyle w:val="Compact"/>
              <w:jc w:val="right"/>
            </w:pPr>
            <w:r>
              <w:t>.23</w:t>
            </w:r>
          </w:p>
        </w:tc>
      </w:tr>
      <w:tr w:rsidR="0060466F" w14:paraId="74BC6A28" w14:textId="77777777">
        <w:tc>
          <w:tcPr>
            <w:tcW w:w="0" w:type="auto"/>
          </w:tcPr>
          <w:p w14:paraId="3BDB0CC6" w14:textId="77777777" w:rsidR="0060466F" w:rsidRDefault="00000000">
            <w:pPr>
              <w:pStyle w:val="Compact"/>
            </w:pPr>
            <w:proofErr w:type="spellStart"/>
            <w:r>
              <w:t>PSxS</w:t>
            </w:r>
            <w:proofErr w:type="spellEnd"/>
          </w:p>
        </w:tc>
        <w:tc>
          <w:tcPr>
            <w:tcW w:w="0" w:type="auto"/>
          </w:tcPr>
          <w:p w14:paraId="5D85E4C4" w14:textId="77777777" w:rsidR="0060466F" w:rsidRDefault="0060466F">
            <w:pPr>
              <w:pStyle w:val="Compact"/>
            </w:pPr>
          </w:p>
        </w:tc>
        <w:tc>
          <w:tcPr>
            <w:tcW w:w="0" w:type="auto"/>
          </w:tcPr>
          <w:p w14:paraId="74A60F10" w14:textId="77777777" w:rsidR="0060466F" w:rsidRDefault="0060466F">
            <w:pPr>
              <w:pStyle w:val="Compact"/>
            </w:pPr>
          </w:p>
        </w:tc>
        <w:tc>
          <w:tcPr>
            <w:tcW w:w="0" w:type="auto"/>
          </w:tcPr>
          <w:p w14:paraId="219CCD2E" w14:textId="77777777" w:rsidR="0060466F" w:rsidRDefault="00000000">
            <w:pPr>
              <w:pStyle w:val="Compact"/>
              <w:jc w:val="right"/>
            </w:pPr>
            <w:r>
              <w:t>.24</w:t>
            </w:r>
          </w:p>
        </w:tc>
        <w:tc>
          <w:tcPr>
            <w:tcW w:w="0" w:type="auto"/>
          </w:tcPr>
          <w:p w14:paraId="177814A3" w14:textId="77777777" w:rsidR="0060466F" w:rsidRDefault="00000000">
            <w:pPr>
              <w:pStyle w:val="Compact"/>
              <w:jc w:val="right"/>
            </w:pPr>
            <w:r>
              <w:t>.15</w:t>
            </w:r>
          </w:p>
        </w:tc>
      </w:tr>
      <w:tr w:rsidR="0060466F" w14:paraId="22D5A061" w14:textId="77777777">
        <w:tc>
          <w:tcPr>
            <w:tcW w:w="0" w:type="auto"/>
          </w:tcPr>
          <w:p w14:paraId="7B418287" w14:textId="77777777" w:rsidR="0060466F" w:rsidRDefault="00000000">
            <w:pPr>
              <w:pStyle w:val="Compact"/>
            </w:pPr>
            <w:r>
              <w:t>PSxN²</w:t>
            </w:r>
          </w:p>
        </w:tc>
        <w:tc>
          <w:tcPr>
            <w:tcW w:w="0" w:type="auto"/>
          </w:tcPr>
          <w:p w14:paraId="1B397AF1" w14:textId="77777777" w:rsidR="0060466F" w:rsidRDefault="0060466F">
            <w:pPr>
              <w:pStyle w:val="Compact"/>
            </w:pPr>
          </w:p>
        </w:tc>
        <w:tc>
          <w:tcPr>
            <w:tcW w:w="0" w:type="auto"/>
          </w:tcPr>
          <w:p w14:paraId="072E39CF" w14:textId="77777777" w:rsidR="0060466F" w:rsidRDefault="0060466F">
            <w:pPr>
              <w:pStyle w:val="Compact"/>
            </w:pPr>
          </w:p>
        </w:tc>
        <w:tc>
          <w:tcPr>
            <w:tcW w:w="0" w:type="auto"/>
          </w:tcPr>
          <w:p w14:paraId="136C6DE7" w14:textId="77777777" w:rsidR="0060466F" w:rsidRDefault="00000000">
            <w:pPr>
              <w:pStyle w:val="Compact"/>
              <w:jc w:val="right"/>
            </w:pPr>
            <w:r>
              <w:t>.16 *</w:t>
            </w:r>
          </w:p>
        </w:tc>
        <w:tc>
          <w:tcPr>
            <w:tcW w:w="0" w:type="auto"/>
          </w:tcPr>
          <w:p w14:paraId="41C0F722" w14:textId="77777777" w:rsidR="0060466F" w:rsidRDefault="00000000">
            <w:pPr>
              <w:pStyle w:val="Compact"/>
              <w:jc w:val="right"/>
            </w:pPr>
            <w:r>
              <w:t>.07</w:t>
            </w:r>
          </w:p>
        </w:tc>
      </w:tr>
      <w:tr w:rsidR="0060466F" w14:paraId="73E07210" w14:textId="77777777">
        <w:tc>
          <w:tcPr>
            <w:tcW w:w="0" w:type="auto"/>
          </w:tcPr>
          <w:p w14:paraId="78767896" w14:textId="77777777" w:rsidR="0060466F" w:rsidRDefault="00000000">
            <w:pPr>
              <w:pStyle w:val="Compact"/>
            </w:pPr>
            <w:proofErr w:type="spellStart"/>
            <w:r>
              <w:t>PSxNxS</w:t>
            </w:r>
            <w:proofErr w:type="spellEnd"/>
          </w:p>
        </w:tc>
        <w:tc>
          <w:tcPr>
            <w:tcW w:w="0" w:type="auto"/>
          </w:tcPr>
          <w:p w14:paraId="73FCFA0A" w14:textId="77777777" w:rsidR="0060466F" w:rsidRDefault="0060466F">
            <w:pPr>
              <w:pStyle w:val="Compact"/>
            </w:pPr>
          </w:p>
        </w:tc>
        <w:tc>
          <w:tcPr>
            <w:tcW w:w="0" w:type="auto"/>
          </w:tcPr>
          <w:p w14:paraId="4B115309" w14:textId="77777777" w:rsidR="0060466F" w:rsidRDefault="0060466F">
            <w:pPr>
              <w:pStyle w:val="Compact"/>
            </w:pPr>
          </w:p>
        </w:tc>
        <w:tc>
          <w:tcPr>
            <w:tcW w:w="0" w:type="auto"/>
          </w:tcPr>
          <w:p w14:paraId="72AB4E6B" w14:textId="77777777" w:rsidR="0060466F" w:rsidRDefault="00000000">
            <w:pPr>
              <w:pStyle w:val="Compact"/>
              <w:jc w:val="right"/>
            </w:pPr>
            <w:r>
              <w:t>-.15 .</w:t>
            </w:r>
          </w:p>
        </w:tc>
        <w:tc>
          <w:tcPr>
            <w:tcW w:w="0" w:type="auto"/>
          </w:tcPr>
          <w:p w14:paraId="30EC4A05" w14:textId="77777777" w:rsidR="0060466F" w:rsidRDefault="00000000">
            <w:pPr>
              <w:pStyle w:val="Compact"/>
              <w:jc w:val="right"/>
            </w:pPr>
            <w:r>
              <w:t>.09</w:t>
            </w:r>
          </w:p>
        </w:tc>
      </w:tr>
      <w:tr w:rsidR="0060466F" w14:paraId="5EEE0A66" w14:textId="77777777">
        <w:tc>
          <w:tcPr>
            <w:tcW w:w="0" w:type="auto"/>
          </w:tcPr>
          <w:p w14:paraId="0484BE43" w14:textId="77777777" w:rsidR="0060466F" w:rsidRDefault="00000000">
            <w:pPr>
              <w:pStyle w:val="Compact"/>
            </w:pPr>
            <w:r>
              <w:t>PSxS²</w:t>
            </w:r>
          </w:p>
        </w:tc>
        <w:tc>
          <w:tcPr>
            <w:tcW w:w="0" w:type="auto"/>
          </w:tcPr>
          <w:p w14:paraId="7383B9EC" w14:textId="77777777" w:rsidR="0060466F" w:rsidRDefault="0060466F">
            <w:pPr>
              <w:pStyle w:val="Compact"/>
            </w:pPr>
          </w:p>
        </w:tc>
        <w:tc>
          <w:tcPr>
            <w:tcW w:w="0" w:type="auto"/>
          </w:tcPr>
          <w:p w14:paraId="1F808BAC" w14:textId="77777777" w:rsidR="0060466F" w:rsidRDefault="0060466F">
            <w:pPr>
              <w:pStyle w:val="Compact"/>
            </w:pPr>
          </w:p>
        </w:tc>
        <w:tc>
          <w:tcPr>
            <w:tcW w:w="0" w:type="auto"/>
          </w:tcPr>
          <w:p w14:paraId="217AFF8E" w14:textId="77777777" w:rsidR="0060466F" w:rsidRDefault="00000000">
            <w:pPr>
              <w:pStyle w:val="Compact"/>
              <w:jc w:val="right"/>
            </w:pPr>
            <w:r>
              <w:t>.05</w:t>
            </w:r>
          </w:p>
        </w:tc>
        <w:tc>
          <w:tcPr>
            <w:tcW w:w="0" w:type="auto"/>
          </w:tcPr>
          <w:p w14:paraId="06AABBAA" w14:textId="77777777" w:rsidR="0060466F" w:rsidRDefault="00000000">
            <w:pPr>
              <w:pStyle w:val="Compact"/>
              <w:jc w:val="right"/>
            </w:pPr>
            <w:r>
              <w:t>.05</w:t>
            </w:r>
          </w:p>
        </w:tc>
      </w:tr>
      <w:tr w:rsidR="0060466F" w14:paraId="7932358B" w14:textId="77777777">
        <w:tc>
          <w:tcPr>
            <w:tcW w:w="0" w:type="auto"/>
          </w:tcPr>
          <w:p w14:paraId="6D11DA3F" w14:textId="77777777" w:rsidR="0060466F" w:rsidRDefault="00000000">
            <w:pPr>
              <w:pStyle w:val="Compact"/>
            </w:pPr>
            <w:r>
              <w:t>F-statistic</w:t>
            </w:r>
          </w:p>
        </w:tc>
        <w:tc>
          <w:tcPr>
            <w:tcW w:w="0" w:type="auto"/>
          </w:tcPr>
          <w:p w14:paraId="60EE9201" w14:textId="77777777" w:rsidR="0060466F" w:rsidRDefault="00000000">
            <w:pPr>
              <w:pStyle w:val="Compact"/>
              <w:jc w:val="right"/>
            </w:pPr>
            <w:r>
              <w:t>2.61 *</w:t>
            </w:r>
          </w:p>
        </w:tc>
        <w:tc>
          <w:tcPr>
            <w:tcW w:w="0" w:type="auto"/>
          </w:tcPr>
          <w:p w14:paraId="3B641897" w14:textId="77777777" w:rsidR="0060466F" w:rsidRDefault="0060466F">
            <w:pPr>
              <w:pStyle w:val="Compact"/>
            </w:pPr>
          </w:p>
        </w:tc>
        <w:tc>
          <w:tcPr>
            <w:tcW w:w="0" w:type="auto"/>
          </w:tcPr>
          <w:p w14:paraId="0A1025BC" w14:textId="77777777" w:rsidR="0060466F" w:rsidRDefault="00000000">
            <w:pPr>
              <w:pStyle w:val="Compact"/>
              <w:jc w:val="right"/>
            </w:pPr>
            <w:r>
              <w:t>2.28 *</w:t>
            </w:r>
          </w:p>
        </w:tc>
        <w:tc>
          <w:tcPr>
            <w:tcW w:w="0" w:type="auto"/>
          </w:tcPr>
          <w:p w14:paraId="28845EB6" w14:textId="77777777" w:rsidR="0060466F" w:rsidRDefault="0060466F">
            <w:pPr>
              <w:pStyle w:val="Compact"/>
            </w:pPr>
          </w:p>
        </w:tc>
      </w:tr>
      <w:tr w:rsidR="0060466F" w14:paraId="2ABC62B7" w14:textId="77777777">
        <w:tc>
          <w:tcPr>
            <w:tcW w:w="0" w:type="auto"/>
          </w:tcPr>
          <w:p w14:paraId="163D1600" w14:textId="77777777" w:rsidR="0060466F" w:rsidRDefault="00000000">
            <w:pPr>
              <w:pStyle w:val="Compact"/>
            </w:pPr>
            <w:r>
              <w:t>R²</w:t>
            </w:r>
          </w:p>
        </w:tc>
        <w:tc>
          <w:tcPr>
            <w:tcW w:w="0" w:type="auto"/>
          </w:tcPr>
          <w:p w14:paraId="4081C542" w14:textId="77777777" w:rsidR="0060466F" w:rsidRDefault="00000000">
            <w:pPr>
              <w:pStyle w:val="Compact"/>
              <w:jc w:val="right"/>
            </w:pPr>
            <w:r>
              <w:t>.05 *</w:t>
            </w:r>
          </w:p>
        </w:tc>
        <w:tc>
          <w:tcPr>
            <w:tcW w:w="0" w:type="auto"/>
          </w:tcPr>
          <w:p w14:paraId="4D7944DA" w14:textId="77777777" w:rsidR="0060466F" w:rsidRDefault="0060466F">
            <w:pPr>
              <w:pStyle w:val="Compact"/>
            </w:pPr>
          </w:p>
        </w:tc>
        <w:tc>
          <w:tcPr>
            <w:tcW w:w="0" w:type="auto"/>
          </w:tcPr>
          <w:p w14:paraId="40532ACC" w14:textId="77777777" w:rsidR="0060466F" w:rsidRDefault="00000000">
            <w:pPr>
              <w:pStyle w:val="Compact"/>
              <w:jc w:val="right"/>
            </w:pPr>
            <w:r>
              <w:t>.08 *</w:t>
            </w:r>
          </w:p>
        </w:tc>
        <w:tc>
          <w:tcPr>
            <w:tcW w:w="0" w:type="auto"/>
          </w:tcPr>
          <w:p w14:paraId="519DB883" w14:textId="77777777" w:rsidR="0060466F" w:rsidRDefault="0060466F">
            <w:pPr>
              <w:pStyle w:val="Compact"/>
            </w:pPr>
          </w:p>
        </w:tc>
      </w:tr>
      <w:tr w:rsidR="0060466F" w14:paraId="70AFAD7F" w14:textId="77777777">
        <w:tc>
          <w:tcPr>
            <w:tcW w:w="0" w:type="auto"/>
          </w:tcPr>
          <w:p w14:paraId="1823DA41" w14:textId="77777777" w:rsidR="0060466F" w:rsidRDefault="00000000">
            <w:pPr>
              <w:pStyle w:val="Compact"/>
            </w:pPr>
            <m:oMath>
              <m:r>
                <w:rPr>
                  <w:rFonts w:ascii="Cambria Math" w:hAnsi="Cambria Math"/>
                </w:rPr>
                <m:t>Δ</m:t>
              </m:r>
            </m:oMath>
            <w:r>
              <w:t>R²</w:t>
            </w:r>
          </w:p>
        </w:tc>
        <w:tc>
          <w:tcPr>
            <w:tcW w:w="0" w:type="auto"/>
          </w:tcPr>
          <w:p w14:paraId="3278A5F0" w14:textId="77777777" w:rsidR="0060466F" w:rsidRDefault="0060466F">
            <w:pPr>
              <w:pStyle w:val="Compact"/>
            </w:pPr>
          </w:p>
        </w:tc>
        <w:tc>
          <w:tcPr>
            <w:tcW w:w="0" w:type="auto"/>
          </w:tcPr>
          <w:p w14:paraId="5982B61D" w14:textId="77777777" w:rsidR="0060466F" w:rsidRDefault="0060466F">
            <w:pPr>
              <w:pStyle w:val="Compact"/>
            </w:pPr>
          </w:p>
        </w:tc>
        <w:tc>
          <w:tcPr>
            <w:tcW w:w="0" w:type="auto"/>
          </w:tcPr>
          <w:p w14:paraId="06914CC8" w14:textId="77777777" w:rsidR="0060466F" w:rsidRDefault="00000000">
            <w:pPr>
              <w:pStyle w:val="Compact"/>
              <w:jc w:val="right"/>
            </w:pPr>
            <w:r>
              <w:t>-.03</w:t>
            </w:r>
          </w:p>
        </w:tc>
        <w:tc>
          <w:tcPr>
            <w:tcW w:w="0" w:type="auto"/>
          </w:tcPr>
          <w:p w14:paraId="0F3B4AC2" w14:textId="77777777" w:rsidR="0060466F" w:rsidRDefault="0060466F">
            <w:pPr>
              <w:pStyle w:val="Compact"/>
            </w:pPr>
          </w:p>
        </w:tc>
      </w:tr>
    </w:tbl>
    <w:bookmarkEnd w:id="73"/>
    <w:p w14:paraId="1E9FC3BF" w14:textId="6ECC955F" w:rsidR="0060466F" w:rsidRDefault="00000000">
      <w:pPr>
        <w:pStyle w:val="BodyText"/>
      </w:pPr>
      <w:r>
        <w:t xml:space="preserve">To better understand polynomial regressions results; </w:t>
      </w:r>
      <w:hyperlink w:anchor="ref-shanock2010">
        <w:proofErr w:type="spellStart"/>
        <w:r>
          <w:rPr>
            <w:rStyle w:val="Hyperlink"/>
          </w:rPr>
          <w:t>Shanock</w:t>
        </w:r>
        <w:proofErr w:type="spellEnd"/>
        <w:r>
          <w:rPr>
            <w:rStyle w:val="Hyperlink"/>
          </w:rPr>
          <w:t xml:space="preserve"> et al.</w:t>
        </w:r>
      </w:hyperlink>
      <w:r>
        <w:t xml:space="preserve"> (</w:t>
      </w:r>
      <w:hyperlink w:anchor="ref-shanock2010">
        <w:r>
          <w:rPr>
            <w:rStyle w:val="Hyperlink"/>
          </w:rPr>
          <w:t>2010</w:t>
        </w:r>
      </w:hyperlink>
      <w:r>
        <w:t>) recommends using three-dimensional visualisations. The analysis for the main model is illustrated in figure 2, figure 3 illustrates the moderated model. Each surface shows the effect of (in)congruence between needs and supply along the outcome variable, intrapreneurial behaviour. As such, it allows for a richer interpretation of the results. Central elements in the visualised surface are the line of perfect agreement and the line of incongruence. Perfect agreement, the Y=X line, represents the situation that where individual autonomy needs matches the organisational supplied autonomy supplied by the organisation. In other words, this situation represents autonomy fit. The outcome of misfit on intrapreneurial behaviour is represented by what happens left or right from of the line of perfect fit shows the outcomes of misfit on intrapreneurial behaviour. The opposite situation is captured by the line of incongruence, the Y=-X line. This line represents the situations where individual need is opposite of organisational supply. As such, it represents the relationship of perfect misfit (</w:t>
      </w:r>
      <w:proofErr w:type="spellStart"/>
      <w:r>
        <w:t>i.ee.g</w:t>
      </w:r>
      <w:proofErr w:type="spellEnd"/>
      <w:r>
        <w:t>., 7 on need and 1 on supply) on intrapreneurial behaviour. Complete incongruence is found in the top-left-top and bottom-right-bottom corner.</w:t>
      </w:r>
    </w:p>
    <w:p w14:paraId="72252B5C" w14:textId="77777777" w:rsidR="0060466F" w:rsidRDefault="00000000">
      <w:pPr>
        <w:pStyle w:val="CaptionedFigure"/>
      </w:pPr>
      <w:bookmarkStart w:id="74" w:name="fig:sra-main-model"/>
      <w:r>
        <w:rPr>
          <w:noProof/>
        </w:rPr>
        <w:lastRenderedPageBreak/>
        <w:drawing>
          <wp:inline distT="0" distB="0" distL="0" distR="0" wp14:anchorId="41496884" wp14:editId="383B624D">
            <wp:extent cx="5334000" cy="4024665"/>
            <wp:effectExtent l="0" t="0" r="0" b="0"/>
            <wp:docPr id="2" name="Picture" descr="Figure 2: Response surface linking our main model of needs-supplies fit on autonomy and intrapreneurial behaviour"/>
            <wp:cNvGraphicFramePr/>
            <a:graphic xmlns:a="http://schemas.openxmlformats.org/drawingml/2006/main">
              <a:graphicData uri="http://schemas.openxmlformats.org/drawingml/2006/picture">
                <pic:pic xmlns:pic="http://schemas.openxmlformats.org/drawingml/2006/picture">
                  <pic:nvPicPr>
                    <pic:cNvPr id="0" name="Picture" descr="./thesis/figures/main-model-sra.png"/>
                    <pic:cNvPicPr>
                      <a:picLocks noChangeAspect="1" noChangeArrowheads="1"/>
                    </pic:cNvPicPr>
                  </pic:nvPicPr>
                  <pic:blipFill>
                    <a:blip r:embed="rId8"/>
                    <a:stretch>
                      <a:fillRect/>
                    </a:stretch>
                  </pic:blipFill>
                  <pic:spPr bwMode="auto">
                    <a:xfrm>
                      <a:off x="0" y="0"/>
                      <a:ext cx="5334000" cy="4024665"/>
                    </a:xfrm>
                    <a:prstGeom prst="rect">
                      <a:avLst/>
                    </a:prstGeom>
                    <a:noFill/>
                    <a:ln w="9525">
                      <a:noFill/>
                      <a:headEnd/>
                      <a:tailEnd/>
                    </a:ln>
                  </pic:spPr>
                </pic:pic>
              </a:graphicData>
            </a:graphic>
          </wp:inline>
        </w:drawing>
      </w:r>
      <w:bookmarkEnd w:id="74"/>
    </w:p>
    <w:p w14:paraId="16FD5260" w14:textId="77777777" w:rsidR="0060466F" w:rsidRDefault="00000000">
      <w:pPr>
        <w:pStyle w:val="ImageCaption"/>
      </w:pPr>
      <w:r>
        <w:t>Figure 2: Response surface linking our main model of needs-supplies fit on autonomy and intrapreneurial behaviour</w:t>
      </w:r>
    </w:p>
    <w:p w14:paraId="0F4DDA5C" w14:textId="77777777" w:rsidR="0060466F" w:rsidRDefault="00000000">
      <w:pPr>
        <w:pStyle w:val="CaptionedFigure"/>
      </w:pPr>
      <w:bookmarkStart w:id="75" w:name="fig:sra-psy"/>
      <w:r>
        <w:rPr>
          <w:noProof/>
        </w:rPr>
        <w:drawing>
          <wp:inline distT="0" distB="0" distL="0" distR="0" wp14:anchorId="5936EF59" wp14:editId="2B891F32">
            <wp:extent cx="5334000" cy="2478273"/>
            <wp:effectExtent l="0" t="0" r="0" b="0"/>
            <wp:docPr id="3" name="Picture" descr="Figure 3: Relationship between autonomy and intrapreneurial behaviour at Low and High levels of psychological safety"/>
            <wp:cNvGraphicFramePr/>
            <a:graphic xmlns:a="http://schemas.openxmlformats.org/drawingml/2006/main">
              <a:graphicData uri="http://schemas.openxmlformats.org/drawingml/2006/picture">
                <pic:pic xmlns:pic="http://schemas.openxmlformats.org/drawingml/2006/picture">
                  <pic:nvPicPr>
                    <pic:cNvPr id="0" name="Picture" descr="./thesis/figures/psy-sra.png"/>
                    <pic:cNvPicPr>
                      <a:picLocks noChangeAspect="1" noChangeArrowheads="1"/>
                    </pic:cNvPicPr>
                  </pic:nvPicPr>
                  <pic:blipFill>
                    <a:blip r:embed="rId9"/>
                    <a:stretch>
                      <a:fillRect/>
                    </a:stretch>
                  </pic:blipFill>
                  <pic:spPr bwMode="auto">
                    <a:xfrm>
                      <a:off x="0" y="0"/>
                      <a:ext cx="5334000" cy="2478273"/>
                    </a:xfrm>
                    <a:prstGeom prst="rect">
                      <a:avLst/>
                    </a:prstGeom>
                    <a:noFill/>
                    <a:ln w="9525">
                      <a:noFill/>
                      <a:headEnd/>
                      <a:tailEnd/>
                    </a:ln>
                  </pic:spPr>
                </pic:pic>
              </a:graphicData>
            </a:graphic>
          </wp:inline>
        </w:drawing>
      </w:r>
      <w:bookmarkEnd w:id="75"/>
    </w:p>
    <w:p w14:paraId="38BEB8B7" w14:textId="77777777" w:rsidR="0060466F" w:rsidRDefault="00000000">
      <w:pPr>
        <w:pStyle w:val="ImageCaption"/>
      </w:pPr>
      <w:r>
        <w:t>Figure 3: Relationship between autonomy and intrapreneurial behaviour at Low and High levels of psychological safety</w:t>
      </w:r>
    </w:p>
    <w:p w14:paraId="07C10E4A" w14:textId="77777777" w:rsidR="0060466F" w:rsidRDefault="00000000">
      <w:pPr>
        <w:pStyle w:val="BodyText"/>
      </w:pPr>
      <w:r>
        <w:t xml:space="preserve">Important features of the surface are mathematically identified by four test values: </w:t>
      </w:r>
      <m:oMath>
        <m:r>
          <w:rPr>
            <w:rFonts w:ascii="Cambria Math" w:hAnsi="Cambria Math"/>
          </w:rPr>
          <m:t>a1</m:t>
        </m:r>
      </m:oMath>
      <w:r>
        <w:t xml:space="preserve">, </w:t>
      </w:r>
      <m:oMath>
        <m:r>
          <w:rPr>
            <w:rFonts w:ascii="Cambria Math" w:hAnsi="Cambria Math"/>
          </w:rPr>
          <m:t>a2</m:t>
        </m:r>
      </m:oMath>
      <w:r>
        <w:t xml:space="preserve">, </w:t>
      </w:r>
      <m:oMath>
        <m:r>
          <w:rPr>
            <w:rFonts w:ascii="Cambria Math" w:hAnsi="Cambria Math"/>
          </w:rPr>
          <m:t>a3</m:t>
        </m:r>
      </m:oMath>
      <w:r>
        <w:t xml:space="preserve">, and </w:t>
      </w:r>
      <m:oMath>
        <m:r>
          <w:rPr>
            <w:rFonts w:ascii="Cambria Math" w:hAnsi="Cambria Math"/>
          </w:rPr>
          <m:t>a4</m:t>
        </m:r>
      </m:oMath>
      <w:r>
        <w:t xml:space="preserve"> (</w:t>
      </w:r>
      <w:hyperlink w:anchor="ref-edwards1993">
        <w:r>
          <w:rPr>
            <w:rStyle w:val="Hyperlink"/>
          </w:rPr>
          <w:t>Edwards &amp; Parry, 1993</w:t>
        </w:r>
      </w:hyperlink>
      <w:r>
        <w:t xml:space="preserve">). The first two test variables are centred around the line of perfect agreement between the two predictor variables. The latter two are centred </w:t>
      </w:r>
      <w:r>
        <w:lastRenderedPageBreak/>
        <w:t>around the line of incongruence. Where a1 and a3 are both concerned with the slope of each line, a2 and a4 evaluate the curvature of each corresponding line. A significant positive slope value for a slope suggests that the outcome increases linearly as both predictors increase. A significant value for curvature tells something about indicates the degree of discrepancy. High curvature values for curvature indicates that divergence between the two predictors is of relevance in relationship to its outcome. For both our main model and moderating model the surface tests values are reported in Table 4.</w:t>
      </w:r>
    </w:p>
    <w:p w14:paraId="144DDD24" w14:textId="77777777" w:rsidR="0060466F" w:rsidRDefault="00000000">
      <w:pPr>
        <w:pStyle w:val="TableCaption"/>
      </w:pPr>
      <w:bookmarkStart w:id="76" w:name="tbl:surface-response"/>
      <w:r>
        <w:t>Table 4: Surface response analysis</w:t>
      </w:r>
    </w:p>
    <w:tbl>
      <w:tblPr>
        <w:tblStyle w:val="Table"/>
        <w:tblW w:w="0" w:type="auto"/>
        <w:tblLook w:val="0020" w:firstRow="1" w:lastRow="0" w:firstColumn="0" w:lastColumn="0" w:noHBand="0" w:noVBand="0"/>
        <w:tblCaption w:val="Table 4: Surface response analysis"/>
      </w:tblPr>
      <w:tblGrid>
        <w:gridCol w:w="467"/>
        <w:gridCol w:w="1425"/>
        <w:gridCol w:w="2766"/>
        <w:gridCol w:w="2806"/>
      </w:tblGrid>
      <w:tr w:rsidR="0060466F" w14:paraId="0B95DD13"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0A2960A9" w14:textId="77777777" w:rsidR="0060466F" w:rsidRDefault="0060466F">
            <w:pPr>
              <w:pStyle w:val="Compact"/>
            </w:pPr>
          </w:p>
        </w:tc>
        <w:tc>
          <w:tcPr>
            <w:tcW w:w="0" w:type="auto"/>
          </w:tcPr>
          <w:p w14:paraId="706DD7CF" w14:textId="77777777" w:rsidR="0060466F" w:rsidRDefault="00000000">
            <w:pPr>
              <w:pStyle w:val="Compact"/>
            </w:pPr>
            <w:r>
              <w:t>Main model</w:t>
            </w:r>
          </w:p>
        </w:tc>
        <w:tc>
          <w:tcPr>
            <w:tcW w:w="0" w:type="auto"/>
          </w:tcPr>
          <w:p w14:paraId="40FD04AE" w14:textId="77777777" w:rsidR="0060466F" w:rsidRDefault="00000000">
            <w:pPr>
              <w:pStyle w:val="Compact"/>
            </w:pPr>
            <w:r>
              <w:t>Low psychological safety</w:t>
            </w:r>
          </w:p>
        </w:tc>
        <w:tc>
          <w:tcPr>
            <w:tcW w:w="0" w:type="auto"/>
          </w:tcPr>
          <w:p w14:paraId="45A95104" w14:textId="77777777" w:rsidR="0060466F" w:rsidRDefault="00000000">
            <w:pPr>
              <w:pStyle w:val="Compact"/>
            </w:pPr>
            <w:r>
              <w:t>High psychological safety</w:t>
            </w:r>
          </w:p>
        </w:tc>
      </w:tr>
      <w:tr w:rsidR="0060466F" w14:paraId="7CA07175" w14:textId="77777777">
        <w:tc>
          <w:tcPr>
            <w:tcW w:w="0" w:type="auto"/>
          </w:tcPr>
          <w:p w14:paraId="0F4ED47B" w14:textId="77777777" w:rsidR="0060466F" w:rsidRDefault="00000000">
            <w:pPr>
              <w:pStyle w:val="Compact"/>
            </w:pPr>
            <w:r>
              <w:t>a1</w:t>
            </w:r>
          </w:p>
        </w:tc>
        <w:tc>
          <w:tcPr>
            <w:tcW w:w="0" w:type="auto"/>
          </w:tcPr>
          <w:p w14:paraId="5E3A3D76" w14:textId="77777777" w:rsidR="0060466F" w:rsidRDefault="00000000">
            <w:pPr>
              <w:pStyle w:val="Compact"/>
            </w:pPr>
            <w:r>
              <w:t>.14</w:t>
            </w:r>
          </w:p>
        </w:tc>
        <w:tc>
          <w:tcPr>
            <w:tcW w:w="0" w:type="auto"/>
          </w:tcPr>
          <w:p w14:paraId="7B54BC58" w14:textId="77777777" w:rsidR="0060466F" w:rsidRDefault="00000000">
            <w:pPr>
              <w:pStyle w:val="Compact"/>
            </w:pPr>
            <w:r>
              <w:t>.19</w:t>
            </w:r>
          </w:p>
        </w:tc>
        <w:tc>
          <w:tcPr>
            <w:tcW w:w="0" w:type="auto"/>
          </w:tcPr>
          <w:p w14:paraId="7CCA6C0F" w14:textId="77777777" w:rsidR="0060466F" w:rsidRDefault="00000000">
            <w:pPr>
              <w:pStyle w:val="Compact"/>
            </w:pPr>
            <w:r>
              <w:t>.25</w:t>
            </w:r>
          </w:p>
        </w:tc>
      </w:tr>
      <w:tr w:rsidR="0060466F" w14:paraId="1ED8AEE9" w14:textId="77777777">
        <w:tc>
          <w:tcPr>
            <w:tcW w:w="0" w:type="auto"/>
          </w:tcPr>
          <w:p w14:paraId="322D9901" w14:textId="77777777" w:rsidR="0060466F" w:rsidRDefault="00000000">
            <w:pPr>
              <w:pStyle w:val="Compact"/>
            </w:pPr>
            <w:r>
              <w:t>a2</w:t>
            </w:r>
          </w:p>
        </w:tc>
        <w:tc>
          <w:tcPr>
            <w:tcW w:w="0" w:type="auto"/>
          </w:tcPr>
          <w:p w14:paraId="1A538CD0" w14:textId="77777777" w:rsidR="0060466F" w:rsidRDefault="00000000">
            <w:pPr>
              <w:pStyle w:val="Compact"/>
            </w:pPr>
            <w:r>
              <w:t>-.04</w:t>
            </w:r>
          </w:p>
        </w:tc>
        <w:tc>
          <w:tcPr>
            <w:tcW w:w="0" w:type="auto"/>
          </w:tcPr>
          <w:p w14:paraId="124DCC0D" w14:textId="77777777" w:rsidR="0060466F" w:rsidRDefault="00000000">
            <w:pPr>
              <w:pStyle w:val="Compact"/>
            </w:pPr>
            <w:r>
              <w:t>-.05</w:t>
            </w:r>
          </w:p>
        </w:tc>
        <w:tc>
          <w:tcPr>
            <w:tcW w:w="0" w:type="auto"/>
          </w:tcPr>
          <w:p w14:paraId="4D99C2F2" w14:textId="77777777" w:rsidR="0060466F" w:rsidRDefault="00000000">
            <w:pPr>
              <w:pStyle w:val="Compact"/>
            </w:pPr>
            <w:r>
              <w:t>-.09</w:t>
            </w:r>
          </w:p>
        </w:tc>
      </w:tr>
      <w:tr w:rsidR="0060466F" w14:paraId="617BC48D" w14:textId="77777777">
        <w:tc>
          <w:tcPr>
            <w:tcW w:w="0" w:type="auto"/>
          </w:tcPr>
          <w:p w14:paraId="79BAD0D2" w14:textId="77777777" w:rsidR="0060466F" w:rsidRDefault="00000000">
            <w:pPr>
              <w:pStyle w:val="Compact"/>
            </w:pPr>
            <w:r>
              <w:t>a3</w:t>
            </w:r>
          </w:p>
        </w:tc>
        <w:tc>
          <w:tcPr>
            <w:tcW w:w="0" w:type="auto"/>
          </w:tcPr>
          <w:p w14:paraId="0EEA00A1" w14:textId="77777777" w:rsidR="0060466F" w:rsidRDefault="00000000">
            <w:pPr>
              <w:pStyle w:val="Compact"/>
            </w:pPr>
            <w:r>
              <w:t>.31</w:t>
            </w:r>
          </w:p>
        </w:tc>
        <w:tc>
          <w:tcPr>
            <w:tcW w:w="0" w:type="auto"/>
          </w:tcPr>
          <w:p w14:paraId="4226C92D" w14:textId="77777777" w:rsidR="0060466F" w:rsidRDefault="00000000">
            <w:pPr>
              <w:pStyle w:val="Compact"/>
            </w:pPr>
            <w:r>
              <w:t>1.06 * (</w:t>
            </w:r>
            <m:oMath>
              <m:r>
                <w:rPr>
                  <w:rFonts w:ascii="Cambria Math" w:hAnsi="Cambria Math"/>
                </w:rPr>
                <m:t>ρ</m:t>
              </m:r>
            </m:oMath>
            <w:r>
              <w:t xml:space="preserve"> = .03)</w:t>
            </w:r>
          </w:p>
        </w:tc>
        <w:tc>
          <w:tcPr>
            <w:tcW w:w="0" w:type="auto"/>
          </w:tcPr>
          <w:p w14:paraId="65008F06" w14:textId="77777777" w:rsidR="0060466F" w:rsidRDefault="00000000">
            <w:pPr>
              <w:pStyle w:val="Compact"/>
            </w:pPr>
            <w:r>
              <w:t>.16</w:t>
            </w:r>
          </w:p>
        </w:tc>
      </w:tr>
      <w:tr w:rsidR="0060466F" w14:paraId="143784BE" w14:textId="77777777">
        <w:tc>
          <w:tcPr>
            <w:tcW w:w="0" w:type="auto"/>
          </w:tcPr>
          <w:p w14:paraId="64303A39" w14:textId="77777777" w:rsidR="0060466F" w:rsidRDefault="00000000">
            <w:pPr>
              <w:pStyle w:val="Compact"/>
            </w:pPr>
            <w:r>
              <w:t>a4</w:t>
            </w:r>
          </w:p>
        </w:tc>
        <w:tc>
          <w:tcPr>
            <w:tcW w:w="0" w:type="auto"/>
          </w:tcPr>
          <w:p w14:paraId="29369737" w14:textId="77777777" w:rsidR="0060466F" w:rsidRDefault="00000000">
            <w:pPr>
              <w:pStyle w:val="Compact"/>
            </w:pPr>
            <w:r>
              <w:t>-.08</w:t>
            </w:r>
          </w:p>
        </w:tc>
        <w:tc>
          <w:tcPr>
            <w:tcW w:w="0" w:type="auto"/>
          </w:tcPr>
          <w:p w14:paraId="2E53F226" w14:textId="77777777" w:rsidR="0060466F" w:rsidRDefault="00000000">
            <w:pPr>
              <w:pStyle w:val="Compact"/>
            </w:pPr>
            <w:r>
              <w:t>-.52 * (</w:t>
            </w:r>
            <m:oMath>
              <m:r>
                <w:rPr>
                  <w:rFonts w:ascii="Cambria Math" w:hAnsi="Cambria Math"/>
                </w:rPr>
                <m:t>ρ</m:t>
              </m:r>
            </m:oMath>
            <w:r>
              <w:t xml:space="preserve"> = 0.35)</w:t>
            </w:r>
          </w:p>
        </w:tc>
        <w:tc>
          <w:tcPr>
            <w:tcW w:w="0" w:type="auto"/>
          </w:tcPr>
          <w:p w14:paraId="657D551F" w14:textId="77777777" w:rsidR="0060466F" w:rsidRDefault="00000000">
            <w:pPr>
              <w:pStyle w:val="Compact"/>
            </w:pPr>
            <w:r>
              <w:t>.05</w:t>
            </w:r>
          </w:p>
        </w:tc>
      </w:tr>
    </w:tbl>
    <w:p w14:paraId="30EC37E1" w14:textId="77777777" w:rsidR="0060466F" w:rsidRDefault="00000000">
      <w:pPr>
        <w:pStyle w:val="Heading2"/>
      </w:pPr>
      <w:bookmarkStart w:id="77" w:name="hypothesis-testing"/>
      <w:bookmarkStart w:id="78" w:name="_Toc122030751"/>
      <w:bookmarkEnd w:id="71"/>
      <w:bookmarkEnd w:id="76"/>
      <w:r>
        <w:t>4.3 Hypothesis testing</w:t>
      </w:r>
      <w:bookmarkEnd w:id="78"/>
    </w:p>
    <w:p w14:paraId="712877D2" w14:textId="77777777" w:rsidR="0060466F" w:rsidRDefault="00000000">
      <w:pPr>
        <w:pStyle w:val="BlockText"/>
      </w:pPr>
      <w:r>
        <w:t>Hypothesis 1: (a) Intrapreneurial behaviour will be lower when individual autonomy need and organisational autonomy supply are both low and will be higher when both are high; (b) intrapreneurial behaviour will increase as organisational supply of autonomy increases towards individual autonomy need (fit), and will decrease as organisational supply exceeds individual need.</w:t>
      </w:r>
    </w:p>
    <w:p w14:paraId="38899F43" w14:textId="77777777" w:rsidR="0060466F" w:rsidRDefault="00000000">
      <w:pPr>
        <w:pStyle w:val="FirstParagraph"/>
      </w:pPr>
      <w:r>
        <w:rPr>
          <w:i/>
          <w:iCs/>
        </w:rPr>
        <w:t>Hypothesis 1:</w:t>
      </w:r>
      <w:r>
        <w:t xml:space="preserve"> The premise of this hypothesis is that a fit of autonomy needs and supply is not only essential for intrapreneurial behaviour, but also will increase linearly as both need and supply increase (part a). Table 3 shows the regression results for the main model. These results do not show any significant results for the individual terms or for the interaction of the terms. The three-dimensional response surface is illustrated in figure 2 and the corresponding test values are reported in table 4.</w:t>
      </w:r>
    </w:p>
    <w:p w14:paraId="12AF9D71" w14:textId="77777777" w:rsidR="0060466F" w:rsidRDefault="00000000">
      <w:pPr>
        <w:pStyle w:val="BodyText"/>
      </w:pPr>
      <w:r>
        <w:t>For part a of this hypothesis, the values of a1 and a2 are particularly interesting, as they are focused on the line of perfect fit. A significant a1 would suggest a linear slope, whereas a significant a2 would suggest a non-linear slope. No significant result was found for both values, meaning there is no evidence to support hypothesis 1a. Part b claims that reducing the deficiency of autonomy leads to higher levels of intrapreneurial behaviour. If autonomy is excessive, this will lead to lower levels of intrapreneurial behaviour. This possibility would be visualised as a concave (low edges; high middle) surface in the surface model. A significant negative test value of a4 would mathematically support this concave surface. The visualised surface response fig. 2 suggests differently, but since the test values of a3 and a4 were both insignificant, no claim can be made. Thus, hypothesis 1b lacks supporting evidence.</w:t>
      </w:r>
    </w:p>
    <w:p w14:paraId="7637B231" w14:textId="77777777" w:rsidR="0060466F" w:rsidRDefault="00000000">
      <w:pPr>
        <w:pStyle w:val="BlockText"/>
      </w:pPr>
      <w:r>
        <w:t>Hypothesis 2: (a) Intrapreneurial behaviour will be lower when individual autonomy need and organisational autonomy supply are both low or both high; (b) Intrapreneurial behaviour will increase when the difference between individual needs and organisational supply (misfit) increases.</w:t>
      </w:r>
    </w:p>
    <w:p w14:paraId="51BC0034" w14:textId="77777777" w:rsidR="0060466F" w:rsidRDefault="00000000">
      <w:pPr>
        <w:pStyle w:val="FirstParagraph"/>
      </w:pPr>
      <w:r>
        <w:rPr>
          <w:i/>
          <w:iCs/>
        </w:rPr>
        <w:lastRenderedPageBreak/>
        <w:t>Hypothesis 2:</w:t>
      </w:r>
      <w:r>
        <w:t xml:space="preserve"> Part a of this hypothesis suggests that perfect autonomy fit, either both low individual need and organisational supply, and high individual need and organisational supply, of autonomy would lead to respectively low or high levels of intrapreneurial behaviour. If correct, the surface of the main model in fig. 2 should illustrate a concave surface along the line of perfect fit. The test value of </w:t>
      </w:r>
      <m:oMath>
        <m:r>
          <w:rPr>
            <w:rFonts w:ascii="Cambria Math" w:hAnsi="Cambria Math"/>
          </w:rPr>
          <m:t>a2</m:t>
        </m:r>
      </m:oMath>
      <w:r>
        <w:t xml:space="preserve"> (tbl. 4) should be significant and negative as well. As the value of </w:t>
      </w:r>
      <m:oMath>
        <m:r>
          <w:rPr>
            <w:rFonts w:ascii="Cambria Math" w:hAnsi="Cambria Math"/>
          </w:rPr>
          <m:t>a2</m:t>
        </m:r>
      </m:oMath>
      <w:r>
        <w:t xml:space="preserve"> was insignificant, no evidence exists in support of hypothesis 2a.</w:t>
      </w:r>
    </w:p>
    <w:p w14:paraId="3460B537" w14:textId="77777777" w:rsidR="0060466F" w:rsidRDefault="00000000">
      <w:pPr>
        <w:pStyle w:val="BodyText"/>
      </w:pPr>
      <w:r>
        <w:t xml:space="preserve">Part b of hypothesis 2 suggests that a degree of discrepancy between individual need and supply should exist, and the surface should be convex (high edges; low middle) along the line of incongruence. The surface in the main model (fig. 2) instead is concave, and the test value of </w:t>
      </w:r>
      <m:oMath>
        <m:r>
          <w:rPr>
            <w:rFonts w:ascii="Cambria Math" w:hAnsi="Cambria Math"/>
          </w:rPr>
          <m:t>a4</m:t>
        </m:r>
      </m:oMath>
      <w:r>
        <w:t xml:space="preserve"> (tbl. 4) is insignificant. Consequently, no evidence supports hypothesis 2b.</w:t>
      </w:r>
    </w:p>
    <w:p w14:paraId="7D14CF26" w14:textId="77777777" w:rsidR="0060466F" w:rsidRDefault="00000000">
      <w:pPr>
        <w:pStyle w:val="BlockText"/>
      </w:pPr>
      <w:r>
        <w:t>Hypothesis 3: Psychological safety is positively related to intrapreneurial behaviour</w:t>
      </w:r>
    </w:p>
    <w:p w14:paraId="225BF2A5" w14:textId="77777777" w:rsidR="0060466F" w:rsidRDefault="00000000">
      <w:pPr>
        <w:pStyle w:val="FirstParagraph"/>
      </w:pPr>
      <w:r>
        <w:rPr>
          <w:i/>
          <w:iCs/>
        </w:rPr>
        <w:t>Hypothesis 3:</w:t>
      </w:r>
      <w:r>
        <w:t xml:space="preserve"> This hypothesis argues that psychological safety positively relates to intrapreneurial behaviour. An individual regression analysis for the relation between psychological safety and intrapreneurial behaviour was run to test this hypothesis. It showed an insignificant effect of .05 (</w:t>
      </w:r>
      <m:oMath>
        <m:r>
          <w:rPr>
            <w:rFonts w:ascii="Cambria Math" w:hAnsi="Cambria Math"/>
          </w:rPr>
          <m:t>χ</m:t>
        </m:r>
      </m:oMath>
      <w:r>
        <w:t xml:space="preserve">2 = 0.0006, F (267) = 0.154, </w:t>
      </w:r>
      <m:oMath>
        <m:r>
          <w:rPr>
            <w:rFonts w:ascii="Cambria Math" w:hAnsi="Cambria Math"/>
          </w:rPr>
          <m:t>ρ</m:t>
        </m:r>
      </m:oMath>
      <w:r>
        <w:t xml:space="preserve"> &lt; 0.695) for they daily measurements. Thus, hypothesis 3 lacks supporting evidence.</w:t>
      </w:r>
    </w:p>
    <w:p w14:paraId="3C7877F0" w14:textId="77777777" w:rsidR="0060466F" w:rsidRDefault="00000000">
      <w:pPr>
        <w:pStyle w:val="BlockText"/>
      </w:pPr>
      <w:r>
        <w:t>Hypothesis 4a: The positive relation of needs-supplies fit on autonomy will be stronger when psychological safety is high compared to when it is low</w:t>
      </w:r>
    </w:p>
    <w:p w14:paraId="749DFD6A" w14:textId="77777777" w:rsidR="0060466F" w:rsidRDefault="00000000">
      <w:pPr>
        <w:pStyle w:val="BlockText"/>
      </w:pPr>
      <w:r>
        <w:t>Hypothesis 4b: The positive relation of needs-supplies misfit on autonomy will be stronger when psychological safety is high compared to when it is low</w:t>
      </w:r>
    </w:p>
    <w:p w14:paraId="6C0FB36E" w14:textId="77777777" w:rsidR="0060466F" w:rsidRDefault="00000000">
      <w:pPr>
        <w:pStyle w:val="FirstParagraph"/>
      </w:pPr>
      <w:r>
        <w:rPr>
          <w:i/>
          <w:iCs/>
        </w:rPr>
        <w:t>Hypothesis 4:</w:t>
      </w:r>
      <w:r>
        <w:t xml:space="preserve"> Hypotheses 4a and 4b both suggest that high levels of psychological safety are beneficial, regardless of whether a (mis)fit of autonomy needs and supply exists. To test these hypothesis surface models (fig. 3) and surface test values (</w:t>
      </w:r>
      <w:proofErr w:type="spellStart"/>
      <w:r>
        <w:t>tbl</w:t>
      </w:r>
      <w:proofErr w:type="spellEnd"/>
      <w:r>
        <w:t xml:space="preserve">. 4) were calculated for both low and high levels of psychological safety. Only for low levels of psychological environment significant values were found. The significant negative value of </w:t>
      </w:r>
      <m:oMath>
        <m:r>
          <w:rPr>
            <w:rFonts w:ascii="Cambria Math" w:hAnsi="Cambria Math"/>
          </w:rPr>
          <m:t>a4</m:t>
        </m:r>
      </m:oMath>
      <w:r>
        <w:t xml:space="preserve"> - the curvature test along line of incongruence - mathematically represents a concave surface as shown in the figure. The significant negative value of </w:t>
      </w:r>
      <m:oMath>
        <m:r>
          <w:rPr>
            <w:rFonts w:ascii="Cambria Math" w:hAnsi="Cambria Math"/>
          </w:rPr>
          <m:t>a3</m:t>
        </m:r>
      </m:oMath>
      <w:r>
        <w:t xml:space="preserve"> represents the directionality of the discrepancy. Along the line of incongruence an excess (supply &gt; need) of autonomy is impacting intrapreneurial behaviour more than a deficiency of autonomy.</w:t>
      </w:r>
    </w:p>
    <w:p w14:paraId="316380C4" w14:textId="77777777" w:rsidR="0060466F" w:rsidRDefault="00000000">
      <w:pPr>
        <w:pStyle w:val="BodyText"/>
      </w:pPr>
      <w:r>
        <w:t>No significant results were found for environments with high psychological safety. Therefore, comparing the environments with low and high psychological safety would not lead to meaningful insights and hypothesis 4a and 4b are not supported.</w:t>
      </w:r>
    </w:p>
    <w:p w14:paraId="514FB824" w14:textId="77777777" w:rsidR="0060466F" w:rsidRDefault="00000000">
      <w:pPr>
        <w:pStyle w:val="Heading2"/>
      </w:pPr>
      <w:bookmarkStart w:id="79" w:name="supplementary-analysis"/>
      <w:bookmarkStart w:id="80" w:name="_Toc122030752"/>
      <w:bookmarkEnd w:id="77"/>
      <w:r>
        <w:t>4.4 Supplementary analysis</w:t>
      </w:r>
      <w:bookmarkEnd w:id="80"/>
    </w:p>
    <w:p w14:paraId="7A582E37" w14:textId="77777777" w:rsidR="0060466F" w:rsidRDefault="00000000">
      <w:pPr>
        <w:pStyle w:val="FirstParagraph"/>
      </w:pPr>
      <w:r>
        <w:t xml:space="preserve">The main analysis was not able to find a revealed no significant relation between psychological safety and intrapreneurial behaviour. This relation was tested by using the three-item construct of intrapreneurial behaviour, a construct with a relatively weak Cronbach’s </w:t>
      </w:r>
      <m:oMath>
        <m:r>
          <w:rPr>
            <w:rFonts w:ascii="Cambria Math" w:hAnsi="Cambria Math"/>
          </w:rPr>
          <m:t>α</m:t>
        </m:r>
      </m:oMath>
      <w:r>
        <w:t xml:space="preserve"> of .65. The nine-item construc</w:t>
      </w:r>
      <w:proofErr w:type="spellStart"/>
      <w:r>
        <w:t>ts</w:t>
      </w:r>
      <w:proofErr w:type="spellEnd"/>
      <w:r>
        <w:t xml:space="preserve"> used in both T1 surveys had higher reliability scores. Therefore, control tests were run for psychological safety using on the T1 survey of </w:t>
      </w:r>
      <w:r>
        <w:lastRenderedPageBreak/>
        <w:t>the team members and on that for the supervisors. Both these tests also yielded insignificant results as well. The self-reported found an effect of .13 (</w:t>
      </w:r>
      <m:oMath>
        <m:r>
          <w:rPr>
            <w:rFonts w:ascii="Cambria Math" w:hAnsi="Cambria Math"/>
          </w:rPr>
          <m:t>χ</m:t>
        </m:r>
      </m:oMath>
      <w:r>
        <w:t xml:space="preserve">2 = 0.0021, F (260) = 0.564, </w:t>
      </w:r>
      <m:oMath>
        <m:r>
          <w:rPr>
            <w:rFonts w:ascii="Cambria Math" w:hAnsi="Cambria Math"/>
          </w:rPr>
          <m:t>ρ</m:t>
        </m:r>
      </m:oMath>
      <w:r>
        <w:t xml:space="preserve"> &lt; 0.453) and the supervisor survey had a value of -.19 (</w:t>
      </w:r>
      <m:oMath>
        <m:r>
          <w:rPr>
            <w:rFonts w:ascii="Cambria Math" w:hAnsi="Cambria Math"/>
          </w:rPr>
          <m:t>χ</m:t>
        </m:r>
      </m:oMath>
      <w:r>
        <w:t xml:space="preserve">2 = 0.0029, F (267) = 0.785, </w:t>
      </w:r>
      <m:oMath>
        <m:r>
          <w:rPr>
            <w:rFonts w:ascii="Cambria Math" w:hAnsi="Cambria Math"/>
          </w:rPr>
          <m:t>ρ</m:t>
        </m:r>
      </m:oMath>
      <w:r>
        <w:t xml:space="preserve"> &lt; 0.376). This lack of evidence further supports the rejection of hypothesis 3.</w:t>
      </w:r>
    </w:p>
    <w:p w14:paraId="23F1FED3" w14:textId="77777777" w:rsidR="0060466F" w:rsidRDefault="00000000">
      <w:pPr>
        <w:pStyle w:val="Heading1"/>
      </w:pPr>
      <w:bookmarkStart w:id="81" w:name="X9fc0ffc373773262eb2a2f14326732e9354c60a"/>
      <w:bookmarkStart w:id="82" w:name="_Toc122030753"/>
      <w:bookmarkEnd w:id="66"/>
      <w:bookmarkEnd w:id="79"/>
      <w:r>
        <w:t>5 Conclusion, discussion, and recommendations</w:t>
      </w:r>
      <w:bookmarkEnd w:id="82"/>
    </w:p>
    <w:p w14:paraId="15C9AE76" w14:textId="77777777" w:rsidR="0060466F" w:rsidRDefault="00000000">
      <w:pPr>
        <w:pStyle w:val="Heading2"/>
      </w:pPr>
      <w:bookmarkStart w:id="83" w:name="conclusion"/>
      <w:bookmarkStart w:id="84" w:name="_Toc122030754"/>
      <w:r>
        <w:t>5.1 Conclusion</w:t>
      </w:r>
      <w:bookmarkEnd w:id="84"/>
    </w:p>
    <w:p w14:paraId="7536951E" w14:textId="77777777" w:rsidR="0060466F" w:rsidRDefault="00000000">
      <w:pPr>
        <w:pStyle w:val="FirstParagraph"/>
      </w:pPr>
      <w:r>
        <w:t>As organisations are continuously striving for innovation, managers are searching for ways to boost their innovative capabilities throughout their organisation. Intrapreneurship, a bottom-up process of recognising and exploiting opportunities, is a way to promote innovative behaviour. Intrapreneurship is well-researched, but many questions about it remain unanswered. This research attempts to shed light on the relation between autonomy (mis)fit and intrapreneurial behaviour, which is a relationship that can potentially be influenced by levels of team-level psychological safety. The relationship between psychological safety and autonomy (mis)fit and intrapreneurial behaviour was therefore examined. Two dominant views are prevalent in the academic literature. The affective-consistency view argues that fit has to exist between autonomy needs and supply to foster intrapreneurial behaviour. The self-regulatory view presents an opposing view. This view argues that a misfit is required to foster intrapreneurial behaviour.</w:t>
      </w:r>
    </w:p>
    <w:p w14:paraId="4A039F34" w14:textId="77777777" w:rsidR="0060466F" w:rsidRDefault="00000000">
      <w:pPr>
        <w:pStyle w:val="BodyText"/>
      </w:pPr>
      <w:r>
        <w:t>This research used polynomial regressions and the response surface methodology to examine the PE-fit of autonomy on intrapreneurial behaviour. It offers a thorough understanding of the effects between the two predictor variables and the outcome. Two models were created to test and understand these effects.</w:t>
      </w:r>
    </w:p>
    <w:p w14:paraId="07FF58BF" w14:textId="77777777" w:rsidR="0060466F" w:rsidRDefault="00000000">
      <w:pPr>
        <w:pStyle w:val="BodyText"/>
      </w:pPr>
      <w:r>
        <w:t xml:space="preserve">The main model tested the effect of autonomy need (person) and autonomy supply (environment) on intrapreneurial behaviour (outcome). The results of the polynomial regression analysis did not yielded any no significant results. Importantly, the interaction between needs and supply notably does not showed no a distinct relationship between with intrapreneurial behaviour. The lack of a distinct relationship does not speak in favour of the affective-consistency view, which argues that fit is required to obtain the desired outcome of intrapreneurial behaviour. The lack of mathematical proof along the line of perfect fit (a1 - slope, </w:t>
      </w:r>
      <w:proofErr w:type="spellStart"/>
      <w:r>
        <w:t>tbl</w:t>
      </w:r>
      <w:proofErr w:type="spellEnd"/>
      <w:r>
        <w:t>. 4) aids in questioning the validity for the affective-consistency view in the context of autonomy fit and intrapreneurial behaviour.</w:t>
      </w:r>
    </w:p>
    <w:p w14:paraId="69FC5C78" w14:textId="77777777" w:rsidR="0060466F" w:rsidRDefault="00000000">
      <w:pPr>
        <w:pStyle w:val="BodyText"/>
      </w:pPr>
      <w:r>
        <w:t>Characteristics of psychological safety are similar to antecedents of intrapreneurial behaviour at first glance. This research examined the potential existence of a direct relationship between psychological safety and intrapreneurial behaviour. This relationship was not found. Although a direct relationship does not exist, psychological safety could still have a moderating effect between autonomy (mis)fit and psychological safety. Conclusive statements could not be found. For environments with high psychological safety, no significant results were found.</w:t>
      </w:r>
    </w:p>
    <w:p w14:paraId="11745392" w14:textId="77777777" w:rsidR="0060466F" w:rsidRDefault="00000000">
      <w:pPr>
        <w:pStyle w:val="BodyText"/>
      </w:pPr>
      <w:r>
        <w:lastRenderedPageBreak/>
        <w:t>For environments with low psychological safety, a large excess of autonomy was found to lead to low intrapreneurial behaviour (fig. 3). Especially when the individual need for autonomy is at its lowest, any excess of autonomy has negative consequences on intrapreneurial behaviour.</w:t>
      </w:r>
    </w:p>
    <w:p w14:paraId="36B6B1B3" w14:textId="77777777" w:rsidR="0060466F" w:rsidRDefault="00000000">
      <w:pPr>
        <w:pStyle w:val="Heading2"/>
      </w:pPr>
      <w:bookmarkStart w:id="85" w:name="discussion"/>
      <w:bookmarkStart w:id="86" w:name="_Toc122030755"/>
      <w:bookmarkEnd w:id="83"/>
      <w:r>
        <w:t>5.2 Discussion</w:t>
      </w:r>
      <w:bookmarkEnd w:id="86"/>
    </w:p>
    <w:p w14:paraId="19CBF992" w14:textId="77777777" w:rsidR="0060466F" w:rsidRDefault="00000000">
      <w:pPr>
        <w:pStyle w:val="Heading3"/>
      </w:pPr>
      <w:bookmarkStart w:id="87" w:name="X267d65b9eaa0100a12554d3c0372dff4555e167"/>
      <w:bookmarkStart w:id="88" w:name="_Toc122030756"/>
      <w:r>
        <w:t>5.2.1 The role of autonomy on intrapreneurial behaviour</w:t>
      </w:r>
      <w:bookmarkEnd w:id="88"/>
    </w:p>
    <w:p w14:paraId="41320BD6" w14:textId="77777777" w:rsidR="0060466F" w:rsidRDefault="00000000">
      <w:pPr>
        <w:pStyle w:val="FirstParagraph"/>
      </w:pPr>
      <w:r>
        <w:t>Autonomy is a work characteristic that is increasingly being used to leverage digital technologies and innovation (</w:t>
      </w:r>
      <w:proofErr w:type="spellStart"/>
      <w:r>
        <w:fldChar w:fldCharType="begin"/>
      </w:r>
      <w:r>
        <w:instrText>HYPERLINK \l "ref-mueckeHowDoesJob2019" \h</w:instrText>
      </w:r>
      <w:r>
        <w:fldChar w:fldCharType="separate"/>
      </w:r>
      <w:r>
        <w:rPr>
          <w:rStyle w:val="Hyperlink"/>
        </w:rPr>
        <w:t>Muecke</w:t>
      </w:r>
      <w:proofErr w:type="spellEnd"/>
      <w:r>
        <w:rPr>
          <w:rStyle w:val="Hyperlink"/>
        </w:rPr>
        <w:t xml:space="preserve"> &amp; </w:t>
      </w:r>
      <w:proofErr w:type="spellStart"/>
      <w:r>
        <w:rPr>
          <w:rStyle w:val="Hyperlink"/>
        </w:rPr>
        <w:t>Iseke</w:t>
      </w:r>
      <w:proofErr w:type="spellEnd"/>
      <w:r>
        <w:rPr>
          <w:rStyle w:val="Hyperlink"/>
        </w:rPr>
        <w:t>, 2019</w:t>
      </w:r>
      <w:r>
        <w:rPr>
          <w:rStyle w:val="Hyperlink"/>
        </w:rPr>
        <w:fldChar w:fldCharType="end"/>
      </w:r>
      <w:r>
        <w:t xml:space="preserve">; </w:t>
      </w:r>
      <w:hyperlink w:anchor="ref-stiglbauer2018">
        <w:proofErr w:type="spellStart"/>
        <w:r>
          <w:rPr>
            <w:rStyle w:val="Hyperlink"/>
          </w:rPr>
          <w:t>Stiglbauer</w:t>
        </w:r>
        <w:proofErr w:type="spellEnd"/>
        <w:r>
          <w:rPr>
            <w:rStyle w:val="Hyperlink"/>
          </w:rPr>
          <w:t xml:space="preserve"> &amp; Kovacs, 2018</w:t>
        </w:r>
      </w:hyperlink>
      <w:r>
        <w:t>). Since autonomy is an influential factor on intrapreneurial behaviour (</w:t>
      </w:r>
      <w:hyperlink w:anchor="ref-deJong2015">
        <w:r>
          <w:rPr>
            <w:rStyle w:val="Hyperlink"/>
          </w:rPr>
          <w:t>De Jong et al., 2015</w:t>
        </w:r>
      </w:hyperlink>
      <w:r>
        <w:t xml:space="preserve">; </w:t>
      </w:r>
      <w:hyperlink w:anchor="ref-neessen2019">
        <w:proofErr w:type="spellStart"/>
        <w:r>
          <w:rPr>
            <w:rStyle w:val="Hyperlink"/>
          </w:rPr>
          <w:t>Neessen</w:t>
        </w:r>
        <w:proofErr w:type="spellEnd"/>
        <w:r>
          <w:rPr>
            <w:rStyle w:val="Hyperlink"/>
          </w:rPr>
          <w:t xml:space="preserve"> et al., 2019</w:t>
        </w:r>
      </w:hyperlink>
      <w:r>
        <w:t>) this research examined this relationship. The Person-Environment fit theory - and more specifically, the needs-supplies fit - has been used as a lens to investigate the relationships between the main variables of this study. The Person-Environment fit is generally defined as the compatibility between individuals and their environment (</w:t>
      </w:r>
      <w:hyperlink w:anchor="ref-vanVianen2018">
        <w:r>
          <w:rPr>
            <w:rStyle w:val="Hyperlink"/>
          </w:rPr>
          <w:t xml:space="preserve">van </w:t>
        </w:r>
        <w:proofErr w:type="spellStart"/>
        <w:r>
          <w:rPr>
            <w:rStyle w:val="Hyperlink"/>
          </w:rPr>
          <w:t>Vianen</w:t>
        </w:r>
        <w:proofErr w:type="spellEnd"/>
        <w:r>
          <w:rPr>
            <w:rStyle w:val="Hyperlink"/>
          </w:rPr>
          <w:t>, 2018</w:t>
        </w:r>
      </w:hyperlink>
      <w:r>
        <w:t>).</w:t>
      </w:r>
    </w:p>
    <w:p w14:paraId="37FCFA9E" w14:textId="77777777" w:rsidR="0060466F" w:rsidRDefault="00000000">
      <w:pPr>
        <w:pStyle w:val="BodyText"/>
      </w:pPr>
      <w:r>
        <w:t>This study found no significant relation between autonomy (mis)fit and intrapreneurial behaviour. In other words, no significant relation was found between our two predictor variables and the outcome variable, intrapreneurial behaviour. This is, for example, shown by the lack of significance in the interaction between needs and supplies (</w:t>
      </w:r>
      <w:proofErr w:type="spellStart"/>
      <w:r>
        <w:t>tbl</w:t>
      </w:r>
      <w:proofErr w:type="spellEnd"/>
      <w:r>
        <w:t xml:space="preserve">. 3). Given the meta reviews of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xml:space="preserve">) and </w:t>
      </w:r>
      <w:hyperlink w:anchor="ref-blanka2019">
        <w:proofErr w:type="spellStart"/>
        <w:r>
          <w:rPr>
            <w:rStyle w:val="Hyperlink"/>
          </w:rPr>
          <w:t>Blanka</w:t>
        </w:r>
        <w:proofErr w:type="spellEnd"/>
      </w:hyperlink>
      <w:r>
        <w:t xml:space="preserve"> (</w:t>
      </w:r>
      <w:hyperlink w:anchor="ref-blanka2019">
        <w:r>
          <w:rPr>
            <w:rStyle w:val="Hyperlink"/>
          </w:rPr>
          <w:t>2019</w:t>
        </w:r>
      </w:hyperlink>
      <w:r>
        <w:t>), one might find this result peculiar. Three elements can explain it.</w:t>
      </w:r>
    </w:p>
    <w:p w14:paraId="7F274C1F" w14:textId="77777777" w:rsidR="0060466F" w:rsidRDefault="00000000">
      <w:pPr>
        <w:pStyle w:val="BodyText"/>
      </w:pPr>
      <w:r>
        <w:t xml:space="preserve">First and foremost, the meta reviews describe autonomy from a supply perspective. For example, </w:t>
      </w:r>
      <w:hyperlink w:anchor="ref-neessen2019">
        <w:proofErr w:type="spellStart"/>
        <w:r>
          <w:rPr>
            <w:rStyle w:val="Hyperlink"/>
          </w:rPr>
          <w:t>Neessen</w:t>
        </w:r>
        <w:proofErr w:type="spellEnd"/>
        <w:r>
          <w:rPr>
            <w:rStyle w:val="Hyperlink"/>
          </w:rPr>
          <w:t xml:space="preserve"> et al.</w:t>
        </w:r>
      </w:hyperlink>
      <w:r>
        <w:t xml:space="preserve"> (</w:t>
      </w:r>
      <w:hyperlink w:anchor="ref-neessen2019">
        <w:r>
          <w:rPr>
            <w:rStyle w:val="Hyperlink"/>
          </w:rPr>
          <w:t>2019</w:t>
        </w:r>
      </w:hyperlink>
      <w:r>
        <w:t>) states: “… giving employees autonomy in their work is one of the other dimensions that influence the intrapreneur. Giving the employee the freedom to design his/her work and to decentralise the decision-making process results in more intrapreneurial activities” (p. 15). In contrast, this research views the relationship between autonomy and intrapreneurial behaviour through a person-environment fit lens. The person-environment fit suggests that behaviours, and other outcomes, result from the relationship between person and environment. Therefore, a different lens was applied to the relationship between autonomy and intrapreneurial behaviour than previous research.</w:t>
      </w:r>
    </w:p>
    <w:p w14:paraId="21A04177" w14:textId="77777777" w:rsidR="0060466F" w:rsidRDefault="00000000">
      <w:pPr>
        <w:pStyle w:val="BodyText"/>
      </w:pPr>
      <w:hyperlink w:anchor="ref-edwards2006">
        <w:r>
          <w:rPr>
            <w:rStyle w:val="Hyperlink"/>
          </w:rPr>
          <w:t>Edwards et al.</w:t>
        </w:r>
      </w:hyperlink>
      <w:r>
        <w:t xml:space="preserve"> (</w:t>
      </w:r>
      <w:hyperlink w:anchor="ref-edwards2006">
        <w:r>
          <w:rPr>
            <w:rStyle w:val="Hyperlink"/>
          </w:rPr>
          <w:t>2006</w:t>
        </w:r>
      </w:hyperlink>
      <w:r>
        <w:t>) state the importance of applying a different lens. Edwards et al. recognise three approaches to the person-environment fit: (a) the atomistic, which separates the person and the environment; (b) the molecular, which looks at the discrepancy between person and environment; and (c) the molar, which focuses on the perceived match or fit between the person and environment. Figure 4 visualises these three approaches.</w:t>
      </w:r>
    </w:p>
    <w:p w14:paraId="1BFC43FB" w14:textId="77777777" w:rsidR="0060466F" w:rsidRDefault="00000000">
      <w:pPr>
        <w:pStyle w:val="BodyText"/>
      </w:pPr>
      <w:r>
        <w:t xml:space="preserve">The meta reviews tested autonomy using a molar approach. For example, </w:t>
      </w:r>
      <w:hyperlink w:anchor="ref-deJong2011">
        <w:r>
          <w:rPr>
            <w:rStyle w:val="Hyperlink"/>
          </w:rPr>
          <w:t>De Jong et al</w:t>
        </w:r>
      </w:hyperlink>
      <w:r>
        <w:t xml:space="preserve"> (</w:t>
      </w:r>
      <w:hyperlink w:anchor="ref-deJong2011">
        <w:r>
          <w:rPr>
            <w:rStyle w:val="Hyperlink"/>
          </w:rPr>
          <w:t>2011</w:t>
        </w:r>
      </w:hyperlink>
      <w:r>
        <w:t>) sees job autonomy as a design variable and implicitly sees it as a (mis)fit between person and environment. Rigtering and Weitzel (2013) similarly examined individuals’ autonomy to make their own decisions and control their own job as factors for intrapreneurial behaviour.</w:t>
      </w:r>
    </w:p>
    <w:p w14:paraId="37C8AE2E" w14:textId="77777777" w:rsidR="0060466F" w:rsidRDefault="00000000">
      <w:pPr>
        <w:pStyle w:val="CaptionedFigure"/>
      </w:pPr>
      <w:bookmarkStart w:id="89" w:name="fig:edwards-pe-fit"/>
      <w:r>
        <w:rPr>
          <w:noProof/>
        </w:rPr>
        <w:lastRenderedPageBreak/>
        <w:drawing>
          <wp:inline distT="0" distB="0" distL="0" distR="0" wp14:anchorId="467E904A" wp14:editId="00723988">
            <wp:extent cx="5334000" cy="1816386"/>
            <wp:effectExtent l="0" t="0" r="0" b="0"/>
            <wp:docPr id="4" name="Picture" descr="Figure 4: Phenomenology of Person-Environment fit (Edwards et al., 2006)"/>
            <wp:cNvGraphicFramePr/>
            <a:graphic xmlns:a="http://schemas.openxmlformats.org/drawingml/2006/main">
              <a:graphicData uri="http://schemas.openxmlformats.org/drawingml/2006/picture">
                <pic:pic xmlns:pic="http://schemas.openxmlformats.org/drawingml/2006/picture">
                  <pic:nvPicPr>
                    <pic:cNvPr id="0" name="Picture" descr="./thesis/figures/edwards-phenomonology-pe-fit.png"/>
                    <pic:cNvPicPr>
                      <a:picLocks noChangeAspect="1" noChangeArrowheads="1"/>
                    </pic:cNvPicPr>
                  </pic:nvPicPr>
                  <pic:blipFill>
                    <a:blip r:embed="rId10"/>
                    <a:stretch>
                      <a:fillRect/>
                    </a:stretch>
                  </pic:blipFill>
                  <pic:spPr bwMode="auto">
                    <a:xfrm>
                      <a:off x="0" y="0"/>
                      <a:ext cx="5334000" cy="1816386"/>
                    </a:xfrm>
                    <a:prstGeom prst="rect">
                      <a:avLst/>
                    </a:prstGeom>
                    <a:noFill/>
                    <a:ln w="9525">
                      <a:noFill/>
                      <a:headEnd/>
                      <a:tailEnd/>
                    </a:ln>
                  </pic:spPr>
                </pic:pic>
              </a:graphicData>
            </a:graphic>
          </wp:inline>
        </w:drawing>
      </w:r>
      <w:bookmarkEnd w:id="89"/>
    </w:p>
    <w:p w14:paraId="28CEE4D1" w14:textId="77777777" w:rsidR="0060466F" w:rsidRDefault="00000000">
      <w:pPr>
        <w:pStyle w:val="ImageCaption"/>
      </w:pPr>
      <w:r>
        <w:t>Figure 4: Phenomenology of Person-Environment fit (</w:t>
      </w:r>
      <w:hyperlink w:anchor="ref-edwards2006">
        <w:r>
          <w:rPr>
            <w:rStyle w:val="Hyperlink"/>
          </w:rPr>
          <w:t>Edwards et al., 2006</w:t>
        </w:r>
      </w:hyperlink>
      <w:r>
        <w:t>)</w:t>
      </w:r>
    </w:p>
    <w:p w14:paraId="242CF20E" w14:textId="77777777" w:rsidR="0060466F" w:rsidRDefault="00000000">
      <w:pPr>
        <w:pStyle w:val="BodyText"/>
      </w:pPr>
      <w:r>
        <w:t xml:space="preserve">This study followed an atomistic approach. It evaluated the needs and supply of autonomy as separate entities, which is similar to the approaches of Yu and Davis (2016) and </w:t>
      </w:r>
      <w:hyperlink w:anchor="ref-vogel2016">
        <w:r>
          <w:rPr>
            <w:rStyle w:val="Hyperlink"/>
          </w:rPr>
          <w:t>Vogel et al.</w:t>
        </w:r>
      </w:hyperlink>
      <w:r>
        <w:t xml:space="preserve"> (</w:t>
      </w:r>
      <w:hyperlink w:anchor="ref-vogel2016">
        <w:r>
          <w:rPr>
            <w:rStyle w:val="Hyperlink"/>
          </w:rPr>
          <w:t>2016</w:t>
        </w:r>
      </w:hyperlink>
      <w:r>
        <w:t>). Given the atomistic approach of this study autonomy in its relation with intrapreneurial behaviour can be reviewed more thoroughly. The findings of this study suggest autonomy should not be viewed as a needs-supplies fit in relationship to intrapreneurial behaviour. Rather, both variables should be seen as distinct variables. A conclusion supported by an insignificant result on the interaction term of individual need and organisation supply (Table 3).</w:t>
      </w:r>
    </w:p>
    <w:p w14:paraId="6B4ECB8A" w14:textId="77777777" w:rsidR="0060466F" w:rsidRDefault="00000000">
      <w:pPr>
        <w:pStyle w:val="BodyText"/>
      </w:pPr>
      <w:r>
        <w:t>It raises the question whether the affective-consistency view and the self-regulatory view are in fact competing views. The affective-consistency view seems to be centred around the molar approach, whereas the self-regulatory view uses the atomistic approach. Rather than competing, the two views might be looking at the same relationship at different levels. With the risk of interpreting relationships, its origins, and consequences differently.</w:t>
      </w:r>
    </w:p>
    <w:p w14:paraId="48E35FC6" w14:textId="77777777" w:rsidR="0060466F" w:rsidRDefault="00000000">
      <w:pPr>
        <w:pStyle w:val="BodyText"/>
      </w:pPr>
      <w:r>
        <w:t xml:space="preserve">Finally, this study tested autonomy in a broad sense of the concept. The items of </w:t>
      </w:r>
      <w:hyperlink w:anchor="ref-spreitzer1995">
        <w:proofErr w:type="spellStart"/>
        <w:r>
          <w:rPr>
            <w:rStyle w:val="Hyperlink"/>
          </w:rPr>
          <w:t>Spreitzer</w:t>
        </w:r>
        <w:proofErr w:type="spellEnd"/>
      </w:hyperlink>
      <w:r>
        <w:t xml:space="preserve"> (</w:t>
      </w:r>
      <w:hyperlink w:anchor="ref-spreitzer1995">
        <w:r>
          <w:rPr>
            <w:rStyle w:val="Hyperlink"/>
          </w:rPr>
          <w:t>1995</w:t>
        </w:r>
      </w:hyperlink>
      <w:r>
        <w:t>) test for job autonomy, decision making, and freedom. Autonomy, as combination of these three items, did not show a significant relation with intrapreneurial behaviour. Not in the case of individual autonomy need, as organisational autonomy supply.</w:t>
      </w:r>
    </w:p>
    <w:p w14:paraId="55DE0579" w14:textId="77777777" w:rsidR="0060466F" w:rsidRDefault="00000000">
      <w:pPr>
        <w:pStyle w:val="Heading3"/>
      </w:pPr>
      <w:bookmarkStart w:id="90" w:name="psychological-safety-as-moderator"/>
      <w:bookmarkStart w:id="91" w:name="_Toc122030757"/>
      <w:bookmarkEnd w:id="87"/>
      <w:r>
        <w:t>5.2.2 Psychological safety as moderator</w:t>
      </w:r>
      <w:bookmarkEnd w:id="91"/>
    </w:p>
    <w:p w14:paraId="4184C4EE" w14:textId="77777777" w:rsidR="0060466F" w:rsidRDefault="00000000">
      <w:pPr>
        <w:pStyle w:val="FirstParagraph"/>
      </w:pPr>
      <w:r>
        <w:t>Today’s work is accomplished in collaboration (</w:t>
      </w:r>
      <w:hyperlink w:anchor="ref-edmondsonLei2014">
        <w:r>
          <w:rPr>
            <w:rStyle w:val="Hyperlink"/>
          </w:rPr>
          <w:t>Edmondson &amp; Lei, 2014</w:t>
        </w:r>
      </w:hyperlink>
      <w:r>
        <w:t xml:space="preserve">; </w:t>
      </w:r>
      <w:hyperlink w:anchor="ref-frazier2017">
        <w:r>
          <w:rPr>
            <w:rStyle w:val="Hyperlink"/>
          </w:rPr>
          <w:t>Frazier et al., 2017</w:t>
        </w:r>
      </w:hyperlink>
      <w:r>
        <w:t xml:space="preserve">; </w:t>
      </w:r>
      <w:hyperlink w:anchor="ref-newman2017">
        <w:r>
          <w:rPr>
            <w:rStyle w:val="Hyperlink"/>
          </w:rPr>
          <w:t>Newman et al., 2017</w:t>
        </w:r>
      </w:hyperlink>
      <w:r>
        <w:t>). Psychological safety is an important factor affecting how people collaborate to achieve a shared outcome (</w:t>
      </w:r>
      <w:hyperlink w:anchor="ref-edmondsonLei2014">
        <w:r>
          <w:rPr>
            <w:rStyle w:val="Hyperlink"/>
          </w:rPr>
          <w:t>Edmondson &amp; Lei, 2014</w:t>
        </w:r>
      </w:hyperlink>
      <w:r>
        <w:t>). Psychological safety makes members feel safe enough to engage in interpersonal risk-taking, a key characteristic of intrapreneurial behaviour (</w:t>
      </w:r>
      <w:proofErr w:type="spellStart"/>
      <w:r>
        <w:fldChar w:fldCharType="begin"/>
      </w:r>
      <w:r>
        <w:instrText>HYPERLINK \l "ref-neessen2019" \h</w:instrText>
      </w:r>
      <w:r>
        <w:fldChar w:fldCharType="separate"/>
      </w:r>
      <w:r>
        <w:rPr>
          <w:rStyle w:val="Hyperlink"/>
        </w:rPr>
        <w:t>Neessen</w:t>
      </w:r>
      <w:proofErr w:type="spellEnd"/>
      <w:r>
        <w:rPr>
          <w:rStyle w:val="Hyperlink"/>
        </w:rPr>
        <w:t xml:space="preserve"> et al., 2019</w:t>
      </w:r>
      <w:r>
        <w:rPr>
          <w:rStyle w:val="Hyperlink"/>
        </w:rPr>
        <w:fldChar w:fldCharType="end"/>
      </w:r>
      <w:r>
        <w:t>).</w:t>
      </w:r>
    </w:p>
    <w:p w14:paraId="1D83AD5D" w14:textId="77777777" w:rsidR="0060466F" w:rsidRDefault="00000000">
      <w:pPr>
        <w:pStyle w:val="BodyText"/>
      </w:pPr>
      <w:r>
        <w:t xml:space="preserve">This study found no significant relationship between psychological safety and intrapreneurial behaviour. This finding was repeatedly found by comparing psychological safety with the daily measurements, the self-reported T1 measurements, and the supervisor reported T1 measurements. The lack of a significant relationship contradicts recently published research. </w:t>
      </w:r>
      <w:hyperlink w:anchor="ref-mahmoud2021">
        <w:r>
          <w:rPr>
            <w:rStyle w:val="Hyperlink"/>
          </w:rPr>
          <w:t>Mahmoud et al.</w:t>
        </w:r>
      </w:hyperlink>
      <w:r>
        <w:t xml:space="preserve"> (</w:t>
      </w:r>
      <w:hyperlink w:anchor="ref-mahmoud2021">
        <w:r>
          <w:rPr>
            <w:rStyle w:val="Hyperlink"/>
          </w:rPr>
          <w:t>2021</w:t>
        </w:r>
      </w:hyperlink>
      <w:r>
        <w:t xml:space="preserve">) found a significant relationship between psychological safety and intrapreneurial behaviour. Their research investigated this relationship in Nigeria among middle-managers. Differences might be explained due to </w:t>
      </w:r>
      <w:r>
        <w:lastRenderedPageBreak/>
        <w:t>role or culture. For example, Edmondson and Lei (2014) note that: “employees in certain cultures may be particularly hesitant to ask questions, provide feedback, or openly disagree with their superiors” (p. 8). The low impact of psychological safety on outcomes is not uncommon. The review of Edmondson and Lei (2014) summarises that the impact of psychological safety was low when individuals had more confidence in the knowledge shared. When work was certain and less dependent on learning, the impact of psychological safety was lower. Boundary conditions potentially play a role in the impact that psychological safety can have.</w:t>
      </w:r>
    </w:p>
    <w:p w14:paraId="5F9E8686" w14:textId="77777777" w:rsidR="0060466F" w:rsidRDefault="00000000">
      <w:pPr>
        <w:pStyle w:val="BodyText"/>
      </w:pPr>
      <w:r>
        <w:t>Although no direct relation between psychological safety and intrapreneurial behaviour was found, there was a significant moderating effect. In an environments of low psychological safety, an individual supplied with high levels (excess) of autonomy, while not having a desire for autonomy, will show little intrapreneurial behaviour. This contradicts the dominant belief that an excess of misfit will do less harm than a deficient misfit (</w:t>
      </w:r>
      <w:hyperlink w:anchor="ref-vanVianen2018">
        <w:r>
          <w:rPr>
            <w:rStyle w:val="Hyperlink"/>
          </w:rPr>
          <w:t xml:space="preserve">van </w:t>
        </w:r>
        <w:proofErr w:type="spellStart"/>
        <w:r>
          <w:rPr>
            <w:rStyle w:val="Hyperlink"/>
          </w:rPr>
          <w:t>Vianen</w:t>
        </w:r>
        <w:proofErr w:type="spellEnd"/>
        <w:r>
          <w:rPr>
            <w:rStyle w:val="Hyperlink"/>
          </w:rPr>
          <w:t>, 2018</w:t>
        </w:r>
      </w:hyperlink>
      <w:r>
        <w:t>). In environments with low psychological safety, an excess clearly leads to lower intrapreneurial behaviour. In fact, a slightly deficient misfit was found to lead to the highest level of intrapreneurial behaviour when experienced in an environment with low psychological safety. Thus, the effect of this deficient misfit supports the self-regulatory view.</w:t>
      </w:r>
    </w:p>
    <w:p w14:paraId="5F9BB64B" w14:textId="77777777" w:rsidR="0060466F" w:rsidRDefault="00000000">
      <w:pPr>
        <w:pStyle w:val="BodyText"/>
      </w:pPr>
      <w:r>
        <w:t>Other research has also found that a slight misfit results in positive behaviour (</w:t>
      </w:r>
      <w:hyperlink w:anchor="ref-simmering2003">
        <w:r>
          <w:rPr>
            <w:rStyle w:val="Hyperlink"/>
          </w:rPr>
          <w:t>Simmering et al., 2003</w:t>
        </w:r>
      </w:hyperlink>
      <w:r>
        <w:t xml:space="preserve">; </w:t>
      </w:r>
      <w:hyperlink w:anchor="ref-yu2016">
        <w:r>
          <w:rPr>
            <w:rStyle w:val="Hyperlink"/>
          </w:rPr>
          <w:t>Yu &amp; Davis, 2016</w:t>
        </w:r>
      </w:hyperlink>
      <w:r>
        <w:t>). A negative effect of excess was not found in these studies. This raises the question, is there a compounding effect of the two negative elements on intrapreneurial behaviour? A chicken or egg question might exist in this case. Does the lack of desire for autonomy originates due to the low psychological safety or does the lack of desire result in one perceiving the environment as psychologically unsafe. In any case, providing an excess of autonomy to an individual negatively affects their intrapreneurial behaviour when they are in an environment with low psychological safety.</w:t>
      </w:r>
    </w:p>
    <w:p w14:paraId="73AD3F7F" w14:textId="77777777" w:rsidR="0060466F" w:rsidRDefault="00000000">
      <w:pPr>
        <w:pStyle w:val="Heading3"/>
      </w:pPr>
      <w:bookmarkStart w:id="92" w:name="X193521bfc3a73b343c5e6d77c28c1ffacd76b4a"/>
      <w:bookmarkStart w:id="93" w:name="_Toc122030758"/>
      <w:bookmarkEnd w:id="90"/>
      <w:r>
        <w:t>5.2.3 Affective-consistent or self-regulation; who is the winner?</w:t>
      </w:r>
      <w:bookmarkEnd w:id="93"/>
    </w:p>
    <w:p w14:paraId="5869ECB0" w14:textId="77777777" w:rsidR="0060466F" w:rsidRDefault="00000000">
      <w:pPr>
        <w:pStyle w:val="FirstParagraph"/>
      </w:pPr>
      <w:r>
        <w:t>Two competing views were being tested in this research. The lack of support for hypothesis 1 goes against Negative findings for the affective-consistency view is the lack of support for hypothesis 1. If the view is correct, the analysis would have shown a significant a1 and a2 value and a linear surface along the line of perfect agreement. The absence of these findings do not speak in favour for go against the affective-consistency view but supports . Which also adds positively for the self-regulatory view. Although no significant findings have been were found in the main model, the low psychologically safe environment did yielded significant results. The positive effects of deficient misfit on intrapreneurial behaviour are positive signs for support the self-regulation view.</w:t>
      </w:r>
    </w:p>
    <w:p w14:paraId="72A9F806" w14:textId="77777777" w:rsidR="0060466F" w:rsidRDefault="00000000">
      <w:pPr>
        <w:pStyle w:val="BodyText"/>
      </w:pPr>
      <w:r>
        <w:t>Considering all the found results –- and the limitations of this research –- no conclusive statement can be made regarding on which view is better explains how to foster for intrapreneurial behaviour. More research is therefore required for better insights and significant findings. The analysis and findings of this research can be used as a beacon for further directions and recommendations, both in practice and in research</w:t>
      </w:r>
    </w:p>
    <w:p w14:paraId="7D9CE115" w14:textId="77777777" w:rsidR="0060466F" w:rsidRDefault="00000000">
      <w:pPr>
        <w:pStyle w:val="Heading2"/>
      </w:pPr>
      <w:bookmarkStart w:id="94" w:name="recommendations-for-practice"/>
      <w:bookmarkStart w:id="95" w:name="_Toc122030759"/>
      <w:bookmarkEnd w:id="85"/>
      <w:bookmarkEnd w:id="92"/>
      <w:r>
        <w:lastRenderedPageBreak/>
        <w:t>5.3 Recommendations for practice</w:t>
      </w:r>
      <w:bookmarkEnd w:id="95"/>
    </w:p>
    <w:p w14:paraId="0673D9D8" w14:textId="77777777" w:rsidR="0060466F" w:rsidRDefault="00000000">
      <w:pPr>
        <w:pStyle w:val="FirstParagraph"/>
      </w:pPr>
      <w:r>
        <w:t>Organisations that are under constant pressure to innovate can benefit from intrapreneurship in their organisation. Intrapreneurship can influence an organisation’s ability to develop new products or services or to renew itself. This research has not revealed significant relationships between autonomy (mis)fit and intrapreneurial behaviour and psychological safety and intrapreneurial behaviour.</w:t>
      </w:r>
    </w:p>
    <w:p w14:paraId="2578E6A6" w14:textId="77777777" w:rsidR="0060466F" w:rsidRDefault="00000000">
      <w:pPr>
        <w:pStyle w:val="BodyText"/>
      </w:pPr>
      <w:r>
        <w:t>However, the study’s findings suggest that individual autonomy needs and the organisational supply of autonomy should be seen as individual components. Allowing organisations to change their hiring and selection strategy. Searching for candidates with close-to-perfect fit leads to a narrow group of possible candidates. This would suggest that most people are in a situation of misfit and a form of discomfort. The significant finding regarding environments with low psychological safety shows that a small deficient misfit leads to higher levels of intrapreneurial behaviour. Instead of striving for a needs-supplies fit during candidate selection, organisations should rather emphasise training and support systems to help employees handle misfit.</w:t>
      </w:r>
    </w:p>
    <w:p w14:paraId="2A35241B" w14:textId="77777777" w:rsidR="0060466F" w:rsidRDefault="00000000">
      <w:pPr>
        <w:pStyle w:val="BodyText"/>
      </w:pPr>
      <w:r>
        <w:t xml:space="preserve">This study found that an excess of autonomy, when little is desired, in environments with low psychological safety leads to a lack of intrapreneurial behaviour. When an organisations experiences low levels of intrapreneurial behaviour, an analysis of psychological safety should be executed, for example, via anonymous surveys using the seven-items of </w:t>
      </w:r>
      <w:hyperlink w:anchor="ref-edmondson1999">
        <w:r>
          <w:rPr>
            <w:rStyle w:val="Hyperlink"/>
          </w:rPr>
          <w:t>Edmondson</w:t>
        </w:r>
      </w:hyperlink>
      <w:r>
        <w:t xml:space="preserve"> (</w:t>
      </w:r>
      <w:hyperlink w:anchor="ref-edmondson1999">
        <w:r>
          <w:rPr>
            <w:rStyle w:val="Hyperlink"/>
          </w:rPr>
          <w:t>1999</w:t>
        </w:r>
      </w:hyperlink>
      <w:r>
        <w:t>). If this yields low scores, the organisation should consider reducing autonomy. By expecting less of the team, a decline of safety could be halted. Organisations that regularly conduct employee satisfaction surveys (e.g., eNPS) could easily add this set of questions to their survey and take corresponding actions.</w:t>
      </w:r>
    </w:p>
    <w:p w14:paraId="53B6E351" w14:textId="77777777" w:rsidR="0060466F" w:rsidRDefault="00000000">
      <w:pPr>
        <w:pStyle w:val="Heading2"/>
      </w:pPr>
      <w:bookmarkStart w:id="96" w:name="recommendations-for-research"/>
      <w:bookmarkStart w:id="97" w:name="_Toc122030760"/>
      <w:bookmarkEnd w:id="94"/>
      <w:r>
        <w:t>5.4 Recommendations for research</w:t>
      </w:r>
      <w:bookmarkEnd w:id="97"/>
    </w:p>
    <w:p w14:paraId="2A3B8D84" w14:textId="77777777" w:rsidR="0060466F" w:rsidRDefault="00000000">
      <w:pPr>
        <w:pStyle w:val="FirstParagraph"/>
      </w:pPr>
      <w:r>
        <w:t>This research has contributed to the academic field but also has some limitations. This study found no supporting evidence for the proposed hypotheses. Consequently, this study primarily raises new questions and does not provide definitive answers. Data for this study was collected using a diary study (12 points) and a single supervisor survey. Although this allowed for the triangulation of the data, the data was predominantly gathered using self-reports. Self-reports can lead to the common-method bias. Meaning, that answers are reported in a consistent manner (</w:t>
      </w:r>
      <w:hyperlink w:anchor="ref-podsakoff2003">
        <w:r>
          <w:rPr>
            <w:rStyle w:val="Hyperlink"/>
          </w:rPr>
          <w:t>Podsakoff et al., 2003</w:t>
        </w:r>
      </w:hyperlink>
      <w:r>
        <w:t>). Teams that participated in the survey did not participate as a whole. Only a few individuals from each team filled in one or more surveys, which increases the risk of self-selection issues. Future research could avoid these limitations by reducing the number of timepoints, thereby reducing the effort for all team members to participate.</w:t>
      </w:r>
    </w:p>
    <w:p w14:paraId="49B0DACB" w14:textId="77777777" w:rsidR="0060466F" w:rsidRDefault="00000000">
      <w:pPr>
        <w:pStyle w:val="BodyText"/>
      </w:pPr>
      <w:r>
        <w:t xml:space="preserve">The relationship between autonomy and intrapreneurial behaviour withholds many related questions. Likewise, many questions for future research exist regarding the influence of psychological safety. Are the self-regulatory view and the affective-consistency view competing views, or are they concerned with different things? The three approaches regarding Person-Environment fit of </w:t>
      </w:r>
      <w:hyperlink w:anchor="ref-edwards2006">
        <w:r>
          <w:rPr>
            <w:rStyle w:val="Hyperlink"/>
          </w:rPr>
          <w:t>Edwards et al.</w:t>
        </w:r>
      </w:hyperlink>
      <w:r>
        <w:t xml:space="preserve"> (</w:t>
      </w:r>
      <w:hyperlink w:anchor="ref-edwards2006">
        <w:r>
          <w:rPr>
            <w:rStyle w:val="Hyperlink"/>
          </w:rPr>
          <w:t>2006</w:t>
        </w:r>
      </w:hyperlink>
      <w:r>
        <w:t xml:space="preserve">) offer a wealth of opportunities to explore this question. Future research that combines the atomistic and molar approach </w:t>
      </w:r>
      <w:r>
        <w:lastRenderedPageBreak/>
        <w:t>could provide insight into what the effects of both approaches on intrapreneurial behaviour are. The atomistic approach may tend to measure different aspects compared to the molar approach. This might provide answers with regards to the views of self-regulation and affective-consistency.</w:t>
      </w:r>
    </w:p>
    <w:p w14:paraId="20C66F6C" w14:textId="77777777" w:rsidR="0060466F" w:rsidRDefault="00000000">
      <w:pPr>
        <w:pStyle w:val="BodyText"/>
      </w:pPr>
      <w:r>
        <w:t>This study found no direct relationship between psychological safety and intrapreneurial behaviour. Additional research should further investigate the possible existence of this relationship. There might be potential influencing factors, such as culture or organisational role. Contextual elements such as certainty of work or learning behaviour could influence the relation between the two constructs as well. A large set of questions and possibilities must still be researched and analysed in future research.</w:t>
      </w:r>
    </w:p>
    <w:p w14:paraId="77AD3542" w14:textId="77777777" w:rsidR="0060466F" w:rsidRDefault="00000000">
      <w:pPr>
        <w:pStyle w:val="BodyText"/>
      </w:pPr>
      <w:r>
        <w:t>A high supply of autonomy, when none is desired, leads to low intrapreneurial behaviour in environments with low psychological safety. Further research could determine the directionality. Does the low level of desired autonomy originate from low levels of psychological safety or do other factors play a role here? There might be a circular relationship. Too much autonomy leads to higher levels of feeling unsafe, where the excess is high and intrapreneurial behaviour declines. A better understanding of this directionality is also useful for organisations. If it origins from low psychological safety, organisations have ample opportunities to better the situation. For example, they may use trainings and support systems. If other factors are at play, it might affect hiring and selection strategies and consequently reduce the potential pool of candidates.</w:t>
      </w:r>
    </w:p>
    <w:p w14:paraId="4AE11991" w14:textId="77777777" w:rsidR="0060466F" w:rsidRDefault="00000000">
      <w:pPr>
        <w:pStyle w:val="Heading1"/>
      </w:pPr>
      <w:bookmarkStart w:id="98" w:name="bibliography"/>
      <w:bookmarkStart w:id="99" w:name="_Toc122030761"/>
      <w:bookmarkEnd w:id="81"/>
      <w:bookmarkEnd w:id="96"/>
      <w:r>
        <w:t>Bibliography</w:t>
      </w:r>
      <w:bookmarkEnd w:id="99"/>
    </w:p>
    <w:p w14:paraId="389E9B6E" w14:textId="77777777" w:rsidR="0060466F" w:rsidRDefault="00000000">
      <w:pPr>
        <w:pStyle w:val="Bibliography"/>
      </w:pPr>
      <w:bookmarkStart w:id="100" w:name="ref-bakker2014"/>
      <w:bookmarkStart w:id="101" w:name="refs"/>
      <w:r>
        <w:t xml:space="preserve">Bakker, A. B. (2014). Daily Fluctuations in Work Engagement: An Overview and Current Directions. </w:t>
      </w:r>
      <w:r>
        <w:rPr>
          <w:i/>
          <w:iCs/>
        </w:rPr>
        <w:t>European Psychologist</w:t>
      </w:r>
      <w:r>
        <w:t xml:space="preserve">, </w:t>
      </w:r>
      <w:r>
        <w:rPr>
          <w:i/>
          <w:iCs/>
        </w:rPr>
        <w:t>19</w:t>
      </w:r>
      <w:r>
        <w:t xml:space="preserve">(4), 227–236. </w:t>
      </w:r>
      <w:hyperlink r:id="rId11">
        <w:r>
          <w:rPr>
            <w:rStyle w:val="Hyperlink"/>
          </w:rPr>
          <w:t>https://doi.org/10.1027/1016-9040/a000160</w:t>
        </w:r>
      </w:hyperlink>
    </w:p>
    <w:p w14:paraId="37BD96F0" w14:textId="77777777" w:rsidR="0060466F" w:rsidRDefault="00000000">
      <w:pPr>
        <w:pStyle w:val="Bibliography"/>
      </w:pPr>
      <w:bookmarkStart w:id="102" w:name="ref-blanka2019"/>
      <w:bookmarkEnd w:id="100"/>
      <w:r>
        <w:t xml:space="preserve">Blanka, C. (2019). An individual-level perspective on intrapreneurship: A review and ways forward. </w:t>
      </w:r>
      <w:r>
        <w:rPr>
          <w:i/>
          <w:iCs/>
        </w:rPr>
        <w:t>Review of Managerial Science</w:t>
      </w:r>
      <w:r>
        <w:t xml:space="preserve">, </w:t>
      </w:r>
      <w:r>
        <w:rPr>
          <w:i/>
          <w:iCs/>
        </w:rPr>
        <w:t>13</w:t>
      </w:r>
      <w:r>
        <w:t xml:space="preserve">(5), 919–961. </w:t>
      </w:r>
      <w:hyperlink r:id="rId12">
        <w:r>
          <w:rPr>
            <w:rStyle w:val="Hyperlink"/>
          </w:rPr>
          <w:t>https://doi.org/10.1007/s11846-018-0277-0</w:t>
        </w:r>
      </w:hyperlink>
    </w:p>
    <w:p w14:paraId="7F545611" w14:textId="77777777" w:rsidR="0060466F" w:rsidRDefault="00000000">
      <w:pPr>
        <w:pStyle w:val="Bibliography"/>
      </w:pPr>
      <w:bookmarkStart w:id="103" w:name="ref-bowen2016"/>
      <w:bookmarkEnd w:id="102"/>
      <w:r>
        <w:t xml:space="preserve">Bowen, D. E. (2016). The changing role of employees in service theory and practice: An interdisciplinary view. </w:t>
      </w:r>
      <w:r>
        <w:rPr>
          <w:i/>
          <w:iCs/>
        </w:rPr>
        <w:t>Human Resource Management Review</w:t>
      </w:r>
      <w:r>
        <w:t xml:space="preserve">, </w:t>
      </w:r>
      <w:r>
        <w:rPr>
          <w:i/>
          <w:iCs/>
        </w:rPr>
        <w:t>26</w:t>
      </w:r>
      <w:r>
        <w:t xml:space="preserve">(1), 4–13. </w:t>
      </w:r>
      <w:hyperlink r:id="rId13">
        <w:r>
          <w:rPr>
            <w:rStyle w:val="Hyperlink"/>
          </w:rPr>
          <w:t>https://doi.org/10.1016/j.hrmr.2015.09.002</w:t>
        </w:r>
      </w:hyperlink>
    </w:p>
    <w:p w14:paraId="6176C50E" w14:textId="77777777" w:rsidR="0060466F" w:rsidRDefault="00000000">
      <w:pPr>
        <w:pStyle w:val="Bibliography"/>
      </w:pPr>
      <w:bookmarkStart w:id="104" w:name="ref-braganza2009"/>
      <w:bookmarkEnd w:id="103"/>
      <w:r>
        <w:t xml:space="preserve">Braganza, A., Awazu, Y., &amp; Desouza, K. C. (2009). Sustaining Innovation is Challenge for Incumbents. </w:t>
      </w:r>
      <w:r>
        <w:rPr>
          <w:i/>
          <w:iCs/>
        </w:rPr>
        <w:t>Research-Technology Management</w:t>
      </w:r>
      <w:r>
        <w:t xml:space="preserve">, </w:t>
      </w:r>
      <w:r>
        <w:rPr>
          <w:i/>
          <w:iCs/>
        </w:rPr>
        <w:t>52</w:t>
      </w:r>
      <w:r>
        <w:t xml:space="preserve">(4), 46–56. </w:t>
      </w:r>
      <w:hyperlink r:id="rId14">
        <w:r>
          <w:rPr>
            <w:rStyle w:val="Hyperlink"/>
          </w:rPr>
          <w:t>https://doi.org/10.1080/08956308.2009.11657579</w:t>
        </w:r>
      </w:hyperlink>
    </w:p>
    <w:p w14:paraId="2472A618" w14:textId="77777777" w:rsidR="0060466F" w:rsidRDefault="00000000">
      <w:pPr>
        <w:pStyle w:val="Bibliography"/>
      </w:pPr>
      <w:bookmarkStart w:id="105" w:name="ref-choo2007"/>
      <w:bookmarkEnd w:id="104"/>
      <w:r>
        <w:t xml:space="preserve">Choo, A. S., Linderman, K. W., &amp; Schroeder, R. G. (2007). Method and Psychological Effects on Learning Behaviors and Knowledge Creation in Quality Improvement Projects. </w:t>
      </w:r>
      <w:r>
        <w:rPr>
          <w:i/>
          <w:iCs/>
        </w:rPr>
        <w:t>Management Science</w:t>
      </w:r>
      <w:r>
        <w:t xml:space="preserve">, </w:t>
      </w:r>
      <w:r>
        <w:rPr>
          <w:i/>
          <w:iCs/>
        </w:rPr>
        <w:t>53</w:t>
      </w:r>
      <w:r>
        <w:t xml:space="preserve">(3), 437–450. </w:t>
      </w:r>
      <w:hyperlink r:id="rId15">
        <w:r>
          <w:rPr>
            <w:rStyle w:val="Hyperlink"/>
          </w:rPr>
          <w:t>https://doi.org/10.1287/mnsc.1060.0635</w:t>
        </w:r>
      </w:hyperlink>
    </w:p>
    <w:p w14:paraId="5D5AB1CC" w14:textId="77777777" w:rsidR="0060466F" w:rsidRDefault="00000000">
      <w:pPr>
        <w:pStyle w:val="Bibliography"/>
      </w:pPr>
      <w:bookmarkStart w:id="106" w:name="ref-cohen2014"/>
      <w:bookmarkEnd w:id="105"/>
      <w:r>
        <w:t xml:space="preserve">Cohen, P., Cohen, P., West, S. G., &amp; Aiken, L. S. (2014). </w:t>
      </w:r>
      <w:r>
        <w:rPr>
          <w:i/>
          <w:iCs/>
        </w:rPr>
        <w:t>Applied Multiple Regression/Correlation Analysis for the Behavioral Sciences</w:t>
      </w:r>
      <w:r>
        <w:t xml:space="preserve"> (Second). Psychology Press. </w:t>
      </w:r>
      <w:hyperlink r:id="rId16">
        <w:r>
          <w:rPr>
            <w:rStyle w:val="Hyperlink"/>
          </w:rPr>
          <w:t>https://doi.org/10.4324/9781410606266</w:t>
        </w:r>
      </w:hyperlink>
    </w:p>
    <w:p w14:paraId="7B63B918" w14:textId="77777777" w:rsidR="0060466F" w:rsidRDefault="00000000">
      <w:pPr>
        <w:pStyle w:val="Bibliography"/>
      </w:pPr>
      <w:bookmarkStart w:id="107" w:name="ref-deJong2011"/>
      <w:bookmarkEnd w:id="106"/>
      <w:r>
        <w:lastRenderedPageBreak/>
        <w:t xml:space="preserve">De Jong et al. (2011). </w:t>
      </w:r>
      <w:r>
        <w:rPr>
          <w:i/>
          <w:iCs/>
        </w:rPr>
        <w:t>Corporate entrepreneurship at the individual level: Measurement and determinants</w:t>
      </w:r>
      <w:r>
        <w:t>. EIM research reports.</w:t>
      </w:r>
    </w:p>
    <w:p w14:paraId="3BC0D3B1" w14:textId="77777777" w:rsidR="0060466F" w:rsidRDefault="00000000">
      <w:pPr>
        <w:pStyle w:val="Bibliography"/>
      </w:pPr>
      <w:bookmarkStart w:id="108" w:name="ref-deJong2015"/>
      <w:bookmarkEnd w:id="107"/>
      <w:r w:rsidRPr="00B211DA">
        <w:rPr>
          <w:lang w:val="nl-NL"/>
        </w:rPr>
        <w:t xml:space="preserve">De Jong, J. P. J., Parker, S. K., </w:t>
      </w:r>
      <w:proofErr w:type="spellStart"/>
      <w:r w:rsidRPr="00B211DA">
        <w:rPr>
          <w:lang w:val="nl-NL"/>
        </w:rPr>
        <w:t>Wennekers</w:t>
      </w:r>
      <w:proofErr w:type="spellEnd"/>
      <w:r w:rsidRPr="00B211DA">
        <w:rPr>
          <w:lang w:val="nl-NL"/>
        </w:rPr>
        <w:t xml:space="preserve">, S., &amp; </w:t>
      </w:r>
      <w:proofErr w:type="spellStart"/>
      <w:r w:rsidRPr="00B211DA">
        <w:rPr>
          <w:lang w:val="nl-NL"/>
        </w:rPr>
        <w:t>Wu</w:t>
      </w:r>
      <w:proofErr w:type="spellEnd"/>
      <w:r w:rsidRPr="00B211DA">
        <w:rPr>
          <w:lang w:val="nl-NL"/>
        </w:rPr>
        <w:t xml:space="preserve">, C.-H. (2015). </w:t>
      </w:r>
      <w:r>
        <w:t xml:space="preserve">Entrepreneurial </w:t>
      </w:r>
      <w:proofErr w:type="spellStart"/>
      <w:r>
        <w:t>Behavior</w:t>
      </w:r>
      <w:proofErr w:type="spellEnd"/>
      <w:r>
        <w:t xml:space="preserve"> in Organizations: Does Job Design Matter? </w:t>
      </w:r>
      <w:r>
        <w:rPr>
          <w:i/>
          <w:iCs/>
        </w:rPr>
        <w:t>Entrepreneurship Theory and Practice</w:t>
      </w:r>
      <w:r>
        <w:t xml:space="preserve">, </w:t>
      </w:r>
      <w:r>
        <w:rPr>
          <w:i/>
          <w:iCs/>
        </w:rPr>
        <w:t>39</w:t>
      </w:r>
      <w:r>
        <w:t xml:space="preserve">(4), 981–995. </w:t>
      </w:r>
      <w:hyperlink r:id="rId17">
        <w:r>
          <w:rPr>
            <w:rStyle w:val="Hyperlink"/>
          </w:rPr>
          <w:t>https://doi.org/10.1111/etap.12084</w:t>
        </w:r>
      </w:hyperlink>
    </w:p>
    <w:p w14:paraId="6F85FE72" w14:textId="77777777" w:rsidR="0060466F" w:rsidRDefault="00000000">
      <w:pPr>
        <w:pStyle w:val="Bibliography"/>
      </w:pPr>
      <w:bookmarkStart w:id="109" w:name="ref-deStobbeleir2020"/>
      <w:bookmarkEnd w:id="108"/>
      <w:r>
        <w:t xml:space="preserve">De Stobbeleir, K., Ashford, S., &amp; Zhang, C. (2020). Shifting focus: Antecedents and outcomes of proactive feedback seeking from peers. </w:t>
      </w:r>
      <w:r>
        <w:rPr>
          <w:i/>
          <w:iCs/>
        </w:rPr>
        <w:t>Human Relations</w:t>
      </w:r>
      <w:r>
        <w:t xml:space="preserve">, </w:t>
      </w:r>
      <w:r>
        <w:rPr>
          <w:i/>
          <w:iCs/>
        </w:rPr>
        <w:t>73</w:t>
      </w:r>
      <w:r>
        <w:t xml:space="preserve">(3), 303–325. </w:t>
      </w:r>
      <w:hyperlink r:id="rId18">
        <w:r>
          <w:rPr>
            <w:rStyle w:val="Hyperlink"/>
          </w:rPr>
          <w:t>https://doi.org/10.1177/0018726719828448</w:t>
        </w:r>
      </w:hyperlink>
    </w:p>
    <w:p w14:paraId="027F50C2" w14:textId="77777777" w:rsidR="0060466F" w:rsidRDefault="00000000">
      <w:pPr>
        <w:pStyle w:val="Bibliography"/>
      </w:pPr>
      <w:bookmarkStart w:id="110" w:name="ref-edmondson1999"/>
      <w:bookmarkEnd w:id="109"/>
      <w:r>
        <w:t xml:space="preserve">Edmondson, A. (1999). Psychological Safety and Learning Behavior in Work Teams. </w:t>
      </w:r>
      <w:r>
        <w:rPr>
          <w:i/>
          <w:iCs/>
        </w:rPr>
        <w:t>Administrative Science Quarterly</w:t>
      </w:r>
      <w:r>
        <w:t xml:space="preserve">, </w:t>
      </w:r>
      <w:r>
        <w:rPr>
          <w:i/>
          <w:iCs/>
        </w:rPr>
        <w:t>44</w:t>
      </w:r>
      <w:r>
        <w:t xml:space="preserve">(2), 350–383. </w:t>
      </w:r>
      <w:hyperlink r:id="rId19">
        <w:r>
          <w:rPr>
            <w:rStyle w:val="Hyperlink"/>
          </w:rPr>
          <w:t>https://doi.org/10.2307/2666999</w:t>
        </w:r>
      </w:hyperlink>
    </w:p>
    <w:p w14:paraId="6949C0F8" w14:textId="77777777" w:rsidR="0060466F" w:rsidRDefault="00000000">
      <w:pPr>
        <w:pStyle w:val="Bibliography"/>
      </w:pPr>
      <w:bookmarkStart w:id="111" w:name="ref-edmondsonLei2014"/>
      <w:bookmarkEnd w:id="110"/>
      <w:r>
        <w:t xml:space="preserve">Edmondson, A., &amp; Lei, Z. (2014). Psychological Safety: The History, Renaissance, and Future of an Interpersonal Construct. </w:t>
      </w:r>
      <w:r>
        <w:rPr>
          <w:i/>
          <w:iCs/>
        </w:rPr>
        <w:t>Annual Review of Organizational Psychology and Organizational Behavior</w:t>
      </w:r>
      <w:r>
        <w:t xml:space="preserve">, </w:t>
      </w:r>
      <w:r>
        <w:rPr>
          <w:i/>
          <w:iCs/>
        </w:rPr>
        <w:t>1</w:t>
      </w:r>
      <w:r>
        <w:t xml:space="preserve">(1), 23–43. </w:t>
      </w:r>
      <w:hyperlink r:id="rId20">
        <w:r>
          <w:rPr>
            <w:rStyle w:val="Hyperlink"/>
          </w:rPr>
          <w:t>https://doi.org/10.1146/annurev-orgpsych-031413-091305</w:t>
        </w:r>
      </w:hyperlink>
    </w:p>
    <w:p w14:paraId="4D7CE787" w14:textId="77777777" w:rsidR="0060466F" w:rsidRDefault="00000000">
      <w:pPr>
        <w:pStyle w:val="Bibliography"/>
      </w:pPr>
      <w:bookmarkStart w:id="112" w:name="ref-edwards1992"/>
      <w:bookmarkEnd w:id="111"/>
      <w:r>
        <w:t xml:space="preserve">Edwards, J. R. (1992). A Cybernetic Theory of Stress, Coping, and Well-Being in Organizations. </w:t>
      </w:r>
      <w:r>
        <w:rPr>
          <w:i/>
          <w:iCs/>
        </w:rPr>
        <w:t>Academy of Management Review</w:t>
      </w:r>
      <w:r>
        <w:t xml:space="preserve">, </w:t>
      </w:r>
      <w:r>
        <w:rPr>
          <w:i/>
          <w:iCs/>
        </w:rPr>
        <w:t>17</w:t>
      </w:r>
      <w:r>
        <w:t xml:space="preserve">(2), 238–274. </w:t>
      </w:r>
      <w:hyperlink r:id="rId21">
        <w:r>
          <w:rPr>
            <w:rStyle w:val="Hyperlink"/>
          </w:rPr>
          <w:t>https://doi.org/10.5465/amr.1992.4279536</w:t>
        </w:r>
      </w:hyperlink>
    </w:p>
    <w:p w14:paraId="4BCAF312" w14:textId="77777777" w:rsidR="0060466F" w:rsidRDefault="00000000">
      <w:pPr>
        <w:pStyle w:val="Bibliography"/>
      </w:pPr>
      <w:bookmarkStart w:id="113" w:name="ref-edwards2009"/>
      <w:bookmarkEnd w:id="112"/>
      <w:r>
        <w:t xml:space="preserve">Edwards, J. R., &amp; Cable, D. M. (2009). The value of value congruence. </w:t>
      </w:r>
      <w:r>
        <w:rPr>
          <w:i/>
          <w:iCs/>
        </w:rPr>
        <w:t>Journal of Applied Psychology</w:t>
      </w:r>
      <w:r>
        <w:t xml:space="preserve">, </w:t>
      </w:r>
      <w:r>
        <w:rPr>
          <w:i/>
          <w:iCs/>
        </w:rPr>
        <w:t>94</w:t>
      </w:r>
      <w:r>
        <w:t xml:space="preserve">(3), 654–677. </w:t>
      </w:r>
      <w:hyperlink r:id="rId22">
        <w:r>
          <w:rPr>
            <w:rStyle w:val="Hyperlink"/>
          </w:rPr>
          <w:t>https://doi.org/10.1037/a0014891</w:t>
        </w:r>
      </w:hyperlink>
    </w:p>
    <w:p w14:paraId="43DBC8E3" w14:textId="77777777" w:rsidR="0060466F" w:rsidRDefault="00000000">
      <w:pPr>
        <w:pStyle w:val="Bibliography"/>
      </w:pPr>
      <w:bookmarkStart w:id="114" w:name="ref-edwards2006"/>
      <w:bookmarkEnd w:id="113"/>
      <w:r>
        <w:t xml:space="preserve">Edwards, J. R., Cable, D. M., Williamson, I. O., Lambert, L. S., &amp; Shipp, A. J. (2006). The phenomenology of fit: Linking the person and environment to the subjective experience of person-environment fit. </w:t>
      </w:r>
      <w:r>
        <w:rPr>
          <w:i/>
          <w:iCs/>
        </w:rPr>
        <w:t>Journal of Applied Psychology</w:t>
      </w:r>
      <w:r>
        <w:t xml:space="preserve">, </w:t>
      </w:r>
      <w:r>
        <w:rPr>
          <w:i/>
          <w:iCs/>
        </w:rPr>
        <w:t>91</w:t>
      </w:r>
      <w:r>
        <w:t xml:space="preserve">(4), 802–827. </w:t>
      </w:r>
      <w:hyperlink r:id="rId23">
        <w:r>
          <w:rPr>
            <w:rStyle w:val="Hyperlink"/>
          </w:rPr>
          <w:t>https://doi.org/10.1037/0021-9010.91.4.802</w:t>
        </w:r>
      </w:hyperlink>
    </w:p>
    <w:p w14:paraId="61B69404" w14:textId="77777777" w:rsidR="0060466F" w:rsidRDefault="00000000">
      <w:pPr>
        <w:pStyle w:val="Bibliography"/>
      </w:pPr>
      <w:bookmarkStart w:id="115" w:name="ref-edwards1993"/>
      <w:bookmarkEnd w:id="114"/>
      <w:r>
        <w:t xml:space="preserve">Edwards, J. R., &amp; Parry, M. E. (1993). On the Use of Polynomial Regression Equations as an Alternative to Difference Scores in Organizational Research. </w:t>
      </w:r>
      <w:r>
        <w:rPr>
          <w:i/>
          <w:iCs/>
        </w:rPr>
        <w:t>Academy of Management Journal</w:t>
      </w:r>
      <w:r>
        <w:t xml:space="preserve">, </w:t>
      </w:r>
      <w:r>
        <w:rPr>
          <w:i/>
          <w:iCs/>
        </w:rPr>
        <w:t>36</w:t>
      </w:r>
      <w:r>
        <w:t>(6), 1577–1613.</w:t>
      </w:r>
    </w:p>
    <w:p w14:paraId="34593858" w14:textId="77777777" w:rsidR="0060466F" w:rsidRDefault="00000000">
      <w:pPr>
        <w:pStyle w:val="Bibliography"/>
      </w:pPr>
      <w:bookmarkStart w:id="116" w:name="ref-elert2020"/>
      <w:bookmarkEnd w:id="115"/>
      <w:r>
        <w:t xml:space="preserve">Elert, N., &amp; Stenkula, M. (2020). Intrapreneurship: Productive and Non-Productive. </w:t>
      </w:r>
      <w:r>
        <w:rPr>
          <w:i/>
          <w:iCs/>
        </w:rPr>
        <w:t>Entrepreneurship Theory and Practice</w:t>
      </w:r>
      <w:r>
        <w:t xml:space="preserve">, 104225872096418. </w:t>
      </w:r>
      <w:hyperlink r:id="rId24">
        <w:r>
          <w:rPr>
            <w:rStyle w:val="Hyperlink"/>
          </w:rPr>
          <w:t>https://doi.org/10.1177/1042258720964181</w:t>
        </w:r>
      </w:hyperlink>
    </w:p>
    <w:p w14:paraId="5DD3481B" w14:textId="77777777" w:rsidR="0060466F" w:rsidRPr="00B211DA" w:rsidRDefault="00000000">
      <w:pPr>
        <w:pStyle w:val="Bibliography"/>
        <w:rPr>
          <w:lang w:val="nl-NL"/>
        </w:rPr>
      </w:pPr>
      <w:bookmarkStart w:id="117" w:name="ref-frazier2017"/>
      <w:bookmarkEnd w:id="116"/>
      <w:r>
        <w:t xml:space="preserve">Frazier, M. L., Fainshmidt, S., Klinger, R. L., Pezeshkan, A., &amp; Vracheva, V. (2017). Psychological Safety: A Meta-Analytic Review and Extension. </w:t>
      </w:r>
      <w:r>
        <w:rPr>
          <w:i/>
          <w:iCs/>
        </w:rPr>
        <w:t>Personnel Psychology</w:t>
      </w:r>
      <w:r>
        <w:t xml:space="preserve">, </w:t>
      </w:r>
      <w:r>
        <w:rPr>
          <w:i/>
          <w:iCs/>
        </w:rPr>
        <w:t>70</w:t>
      </w:r>
      <w:r>
        <w:t xml:space="preserve">(1), 113–165. </w:t>
      </w:r>
      <w:hyperlink r:id="rId25">
        <w:r w:rsidRPr="00B211DA">
          <w:rPr>
            <w:rStyle w:val="Hyperlink"/>
            <w:lang w:val="nl-NL"/>
          </w:rPr>
          <w:t>https://doi.org/10.1111/peps.12183</w:t>
        </w:r>
      </w:hyperlink>
    </w:p>
    <w:p w14:paraId="0D82203C" w14:textId="77777777" w:rsidR="0060466F" w:rsidRPr="00B211DA" w:rsidRDefault="00000000">
      <w:pPr>
        <w:pStyle w:val="Bibliography"/>
        <w:rPr>
          <w:lang w:val="nl-NL"/>
        </w:rPr>
      </w:pPr>
      <w:bookmarkStart w:id="118" w:name="ref-gawke2019"/>
      <w:bookmarkEnd w:id="117"/>
      <w:proofErr w:type="spellStart"/>
      <w:r w:rsidRPr="00B211DA">
        <w:rPr>
          <w:lang w:val="nl-NL"/>
        </w:rPr>
        <w:t>Gawke</w:t>
      </w:r>
      <w:proofErr w:type="spellEnd"/>
      <w:r w:rsidRPr="00B211DA">
        <w:rPr>
          <w:lang w:val="nl-NL"/>
        </w:rPr>
        <w:t xml:space="preserve">, J. C., </w:t>
      </w:r>
      <w:proofErr w:type="spellStart"/>
      <w:r w:rsidRPr="00B211DA">
        <w:rPr>
          <w:lang w:val="nl-NL"/>
        </w:rPr>
        <w:t>Gorgievski</w:t>
      </w:r>
      <w:proofErr w:type="spellEnd"/>
      <w:r w:rsidRPr="00B211DA">
        <w:rPr>
          <w:lang w:val="nl-NL"/>
        </w:rPr>
        <w:t xml:space="preserve">, M. J., &amp; Bakker, A. B. (2019). </w:t>
      </w:r>
      <w:r>
        <w:t xml:space="preserve">Measuring intrapreneurship at the individual level: Development and validation of the Employee Intrapreneurship Scale (EIS). </w:t>
      </w:r>
      <w:r w:rsidRPr="00B211DA">
        <w:rPr>
          <w:i/>
          <w:iCs/>
          <w:lang w:val="nl-NL"/>
        </w:rPr>
        <w:t>European Management Journal</w:t>
      </w:r>
      <w:r w:rsidRPr="00B211DA">
        <w:rPr>
          <w:lang w:val="nl-NL"/>
        </w:rPr>
        <w:t xml:space="preserve">, </w:t>
      </w:r>
      <w:r w:rsidRPr="00B211DA">
        <w:rPr>
          <w:i/>
          <w:iCs/>
          <w:lang w:val="nl-NL"/>
        </w:rPr>
        <w:t>37</w:t>
      </w:r>
      <w:r w:rsidRPr="00B211DA">
        <w:rPr>
          <w:lang w:val="nl-NL"/>
        </w:rPr>
        <w:t xml:space="preserve">(6), 806–817. </w:t>
      </w:r>
      <w:hyperlink r:id="rId26">
        <w:r w:rsidRPr="00B211DA">
          <w:rPr>
            <w:rStyle w:val="Hyperlink"/>
            <w:lang w:val="nl-NL"/>
          </w:rPr>
          <w:t>https://doi.org/10.1016/j.emj.2019.03.001</w:t>
        </w:r>
      </w:hyperlink>
    </w:p>
    <w:p w14:paraId="541B4AE7" w14:textId="77777777" w:rsidR="0060466F" w:rsidRDefault="00000000">
      <w:pPr>
        <w:pStyle w:val="Bibliography"/>
      </w:pPr>
      <w:bookmarkStart w:id="119" w:name="ref-gerards2021"/>
      <w:bookmarkEnd w:id="118"/>
      <w:r w:rsidRPr="00B211DA">
        <w:rPr>
          <w:lang w:val="nl-NL"/>
        </w:rPr>
        <w:lastRenderedPageBreak/>
        <w:t xml:space="preserve">Gerards, R., van Wetten, S., &amp; van Sambeek, C. (2021). </w:t>
      </w:r>
      <w:r>
        <w:t xml:space="preserve">New ways of working and intrapreneurial behaviour: The mediating role of transformational leadership and social interaction. </w:t>
      </w:r>
      <w:r>
        <w:rPr>
          <w:i/>
          <w:iCs/>
        </w:rPr>
        <w:t>Review of Managerial Science</w:t>
      </w:r>
      <w:r>
        <w:t xml:space="preserve">, </w:t>
      </w:r>
      <w:r>
        <w:rPr>
          <w:i/>
          <w:iCs/>
        </w:rPr>
        <w:t>15</w:t>
      </w:r>
      <w:r>
        <w:t xml:space="preserve">(7), 2075–2110. </w:t>
      </w:r>
      <w:hyperlink r:id="rId27">
        <w:r>
          <w:rPr>
            <w:rStyle w:val="Hyperlink"/>
          </w:rPr>
          <w:t>https://doi.org/10.1007/s11846-020-00412-1</w:t>
        </w:r>
      </w:hyperlink>
    </w:p>
    <w:p w14:paraId="36156718" w14:textId="77777777" w:rsidR="0060466F" w:rsidRDefault="00000000">
      <w:pPr>
        <w:pStyle w:val="Bibliography"/>
      </w:pPr>
      <w:bookmarkStart w:id="120" w:name="ref-hair2021"/>
      <w:bookmarkEnd w:id="119"/>
      <w:r>
        <w:t xml:space="preserve">Hair, J. F., Hult, G. T. M., Ringle, C. M., Sarstedt, M., Danks, N. P., &amp; Ray, S. (2021). Evaluation of Reflective Measurement Models. In J. F. Hair Jr., G. T. M. Hult, C. M. Ringle, M. Sarstedt, N. P. Danks, &amp; S. Ray (Eds.), </w:t>
      </w:r>
      <w:r>
        <w:rPr>
          <w:i/>
          <w:iCs/>
        </w:rPr>
        <w:t>Partial Least Squares Structural Equation Modeling (PLS-SEM) Using R: A Workbook</w:t>
      </w:r>
      <w:r>
        <w:t xml:space="preserve"> (pp. 75–90). Springer International Publishing. </w:t>
      </w:r>
      <w:hyperlink r:id="rId28">
        <w:r>
          <w:rPr>
            <w:rStyle w:val="Hyperlink"/>
          </w:rPr>
          <w:t>https://doi.org/10.1007/978-3-030-80519-7_4</w:t>
        </w:r>
      </w:hyperlink>
    </w:p>
    <w:p w14:paraId="6E20E220" w14:textId="77777777" w:rsidR="0060466F" w:rsidRDefault="00000000">
      <w:pPr>
        <w:pStyle w:val="Bibliography"/>
      </w:pPr>
      <w:bookmarkStart w:id="121" w:name="ref-jong2021"/>
      <w:bookmarkEnd w:id="120"/>
      <w:r>
        <w:t xml:space="preserve">Jong, J., &amp; Ford, M. (2021). An Exploration of the Relationship Between Autonomy Congruence, Perceived Supervisor Individualized Consideration, and Employee Outcomes. </w:t>
      </w:r>
      <w:r>
        <w:rPr>
          <w:i/>
          <w:iCs/>
        </w:rPr>
        <w:t>Review of Public Personnel Administration</w:t>
      </w:r>
      <w:r>
        <w:t xml:space="preserve">, </w:t>
      </w:r>
      <w:r>
        <w:rPr>
          <w:i/>
          <w:iCs/>
        </w:rPr>
        <w:t>41</w:t>
      </w:r>
      <w:r>
        <w:t xml:space="preserve">(3), 566–592. </w:t>
      </w:r>
      <w:hyperlink r:id="rId29">
        <w:r>
          <w:rPr>
            <w:rStyle w:val="Hyperlink"/>
          </w:rPr>
          <w:t>https://doi.org/10.1177/0734371X20917185</w:t>
        </w:r>
      </w:hyperlink>
    </w:p>
    <w:p w14:paraId="7E8FE0BB" w14:textId="77777777" w:rsidR="0060466F" w:rsidRDefault="00000000">
      <w:pPr>
        <w:pStyle w:val="Bibliography"/>
      </w:pPr>
      <w:bookmarkStart w:id="122" w:name="ref-jung2003"/>
      <w:bookmarkEnd w:id="121"/>
      <w:r>
        <w:t xml:space="preserve">Jung, D. I., Chow, C., &amp; Wu, A. (2003). The role of transformational leadership in enhancing organizational innovation: Hypotheses and some preliminary findings. </w:t>
      </w:r>
      <w:r>
        <w:rPr>
          <w:i/>
          <w:iCs/>
        </w:rPr>
        <w:t>The Leadership Quarterly</w:t>
      </w:r>
      <w:r>
        <w:t xml:space="preserve">, </w:t>
      </w:r>
      <w:r>
        <w:rPr>
          <w:i/>
          <w:iCs/>
        </w:rPr>
        <w:t>14</w:t>
      </w:r>
      <w:r>
        <w:t xml:space="preserve">(4-5), 525–544. </w:t>
      </w:r>
      <w:hyperlink r:id="rId30">
        <w:r>
          <w:rPr>
            <w:rStyle w:val="Hyperlink"/>
          </w:rPr>
          <w:t>https://doi.org/10.1016/S1048-9843(03)00050-X</w:t>
        </w:r>
      </w:hyperlink>
    </w:p>
    <w:p w14:paraId="70AD508E" w14:textId="77777777" w:rsidR="0060466F" w:rsidRDefault="00000000">
      <w:pPr>
        <w:pStyle w:val="Bibliography"/>
      </w:pPr>
      <w:bookmarkStart w:id="123" w:name="ref-kristof2005"/>
      <w:bookmarkEnd w:id="122"/>
      <w:r>
        <w:t xml:space="preserve">Kristof-Brown, A. L., Zimmerman, R. D., &amp; Johnson, E. C. (2005). Consequences Of Individuals’ Fit At Work: A Meta-Analysis Of Person-Job, Person-Organization, Person-Group, And Person-Supervisor Fit. </w:t>
      </w:r>
      <w:r>
        <w:rPr>
          <w:i/>
          <w:iCs/>
        </w:rPr>
        <w:t>Personnel Psychology</w:t>
      </w:r>
      <w:r>
        <w:t xml:space="preserve">, </w:t>
      </w:r>
      <w:r>
        <w:rPr>
          <w:i/>
          <w:iCs/>
        </w:rPr>
        <w:t>58</w:t>
      </w:r>
      <w:r>
        <w:t xml:space="preserve">(2), 281–342. </w:t>
      </w:r>
      <w:hyperlink r:id="rId31">
        <w:r>
          <w:rPr>
            <w:rStyle w:val="Hyperlink"/>
          </w:rPr>
          <w:t>https://doi.org/10.1111/j.1744-6570.2005.00672.x</w:t>
        </w:r>
      </w:hyperlink>
    </w:p>
    <w:p w14:paraId="43F843B5" w14:textId="77777777" w:rsidR="0060466F" w:rsidRDefault="00000000">
      <w:pPr>
        <w:pStyle w:val="Bibliography"/>
      </w:pPr>
      <w:bookmarkStart w:id="124" w:name="ref-lambert2003"/>
      <w:bookmarkEnd w:id="123"/>
      <w:r>
        <w:t xml:space="preserve">Lambert, L. S., Edwards, J. R., &amp; Cable, D. M. (2003). Breach And Fulfillment Of The Psychological Contract: A Comparison Of Traditional And Expanded Views. </w:t>
      </w:r>
      <w:r>
        <w:rPr>
          <w:i/>
          <w:iCs/>
        </w:rPr>
        <w:t>Personnel Psychology</w:t>
      </w:r>
      <w:r>
        <w:t xml:space="preserve">, </w:t>
      </w:r>
      <w:r>
        <w:rPr>
          <w:i/>
          <w:iCs/>
        </w:rPr>
        <w:t>56</w:t>
      </w:r>
      <w:r>
        <w:t xml:space="preserve">(4), 895–934. </w:t>
      </w:r>
      <w:hyperlink r:id="rId32">
        <w:r>
          <w:rPr>
            <w:rStyle w:val="Hyperlink"/>
          </w:rPr>
          <w:t>https://doi.org/10.1111/j.1744-6570.2003.tb00244.x</w:t>
        </w:r>
      </w:hyperlink>
    </w:p>
    <w:p w14:paraId="264A54CA" w14:textId="77777777" w:rsidR="0060466F" w:rsidRDefault="00000000">
      <w:pPr>
        <w:pStyle w:val="Bibliography"/>
      </w:pPr>
      <w:bookmarkStart w:id="125" w:name="ref-mahmoud2021"/>
      <w:bookmarkEnd w:id="124"/>
      <w:r>
        <w:t xml:space="preserve">Mahmoud, M. A., Ahmad, S., &amp; Poespowidjojo, D. A. L. (2021). Psychological safety and individual performance: The mediating effect of intrapreneurial behavior. </w:t>
      </w:r>
      <w:r>
        <w:rPr>
          <w:i/>
          <w:iCs/>
        </w:rPr>
        <w:t>International Journal of Productivity and Performance Management</w:t>
      </w:r>
      <w:r>
        <w:t xml:space="preserve">. </w:t>
      </w:r>
      <w:hyperlink r:id="rId33">
        <w:r>
          <w:rPr>
            <w:rStyle w:val="Hyperlink"/>
          </w:rPr>
          <w:t>https://doi.org/10.1108/IJPPM-10-2020-0538</w:t>
        </w:r>
      </w:hyperlink>
    </w:p>
    <w:p w14:paraId="0CA3A1A7" w14:textId="77777777" w:rsidR="0060466F" w:rsidRPr="00B211DA" w:rsidRDefault="00000000">
      <w:pPr>
        <w:pStyle w:val="Bibliography"/>
        <w:rPr>
          <w:lang w:val="nl-NL"/>
        </w:rPr>
      </w:pPr>
      <w:bookmarkStart w:id="126" w:name="ref-mueckeHowDoesJob2019"/>
      <w:bookmarkEnd w:id="125"/>
      <w:r>
        <w:t xml:space="preserve">Muecke, S., &amp; Iseke, A. (2019). How Does Job Autonomy Influence Job Performance? A Meta-analytic Test of Theoretical Mechanisms. </w:t>
      </w:r>
      <w:r>
        <w:rPr>
          <w:i/>
          <w:iCs/>
        </w:rPr>
        <w:t>Academy of Management Proceedings</w:t>
      </w:r>
      <w:r>
        <w:t xml:space="preserve">, </w:t>
      </w:r>
      <w:r>
        <w:rPr>
          <w:i/>
          <w:iCs/>
        </w:rPr>
        <w:t>2019</w:t>
      </w:r>
      <w:r>
        <w:t xml:space="preserve">(1), 14632. </w:t>
      </w:r>
      <w:hyperlink r:id="rId34">
        <w:r w:rsidRPr="00B211DA">
          <w:rPr>
            <w:rStyle w:val="Hyperlink"/>
            <w:lang w:val="nl-NL"/>
          </w:rPr>
          <w:t>https://doi.org/10.5465/AMBPP.2019.145</w:t>
        </w:r>
      </w:hyperlink>
    </w:p>
    <w:p w14:paraId="7C7D3617" w14:textId="77777777" w:rsidR="0060466F" w:rsidRDefault="00000000">
      <w:pPr>
        <w:pStyle w:val="Bibliography"/>
      </w:pPr>
      <w:bookmarkStart w:id="127" w:name="ref-neessen2019"/>
      <w:bookmarkEnd w:id="126"/>
      <w:proofErr w:type="spellStart"/>
      <w:r w:rsidRPr="00B211DA">
        <w:rPr>
          <w:lang w:val="nl-NL"/>
        </w:rPr>
        <w:t>Neessen</w:t>
      </w:r>
      <w:proofErr w:type="spellEnd"/>
      <w:r w:rsidRPr="00B211DA">
        <w:rPr>
          <w:lang w:val="nl-NL"/>
        </w:rPr>
        <w:t xml:space="preserve">, P. C. M., </w:t>
      </w:r>
      <w:proofErr w:type="spellStart"/>
      <w:r w:rsidRPr="00B211DA">
        <w:rPr>
          <w:lang w:val="nl-NL"/>
        </w:rPr>
        <w:t>Caniëls</w:t>
      </w:r>
      <w:proofErr w:type="spellEnd"/>
      <w:r w:rsidRPr="00B211DA">
        <w:rPr>
          <w:lang w:val="nl-NL"/>
        </w:rPr>
        <w:t xml:space="preserve">, M. C. J., Vos, B., &amp; de Jong, J. P. (2019). </w:t>
      </w:r>
      <w:r>
        <w:t xml:space="preserve">The intrapreneurial employee: Toward an integrated model of intrapreneurship and research agenda. </w:t>
      </w:r>
      <w:r>
        <w:rPr>
          <w:i/>
          <w:iCs/>
        </w:rPr>
        <w:t>International Entrepreneurship and Management Journal</w:t>
      </w:r>
      <w:r>
        <w:t xml:space="preserve">, </w:t>
      </w:r>
      <w:r>
        <w:rPr>
          <w:i/>
          <w:iCs/>
        </w:rPr>
        <w:t>15</w:t>
      </w:r>
      <w:r>
        <w:t xml:space="preserve">(2), 545–571. </w:t>
      </w:r>
      <w:hyperlink r:id="rId35">
        <w:r>
          <w:rPr>
            <w:rStyle w:val="Hyperlink"/>
          </w:rPr>
          <w:t>https://doi.org/10.1007/s11365-018-0552-1</w:t>
        </w:r>
      </w:hyperlink>
    </w:p>
    <w:p w14:paraId="6A9119EC" w14:textId="77777777" w:rsidR="0060466F" w:rsidRDefault="00000000">
      <w:pPr>
        <w:pStyle w:val="Bibliography"/>
      </w:pPr>
      <w:bookmarkStart w:id="128" w:name="ref-netemeyer2003"/>
      <w:bookmarkEnd w:id="127"/>
      <w:r>
        <w:t xml:space="preserve">Netemeyer, R. G., Bearden, W. O., &amp; Sharma, S. (2003). </w:t>
      </w:r>
      <w:r>
        <w:rPr>
          <w:i/>
          <w:iCs/>
        </w:rPr>
        <w:t>Scaling Procedures: Issues and Applications</w:t>
      </w:r>
      <w:r>
        <w:t>. SAGE Publications.</w:t>
      </w:r>
    </w:p>
    <w:p w14:paraId="5B9C5F74" w14:textId="77777777" w:rsidR="0060466F" w:rsidRDefault="00000000">
      <w:pPr>
        <w:pStyle w:val="Bibliography"/>
      </w:pPr>
      <w:bookmarkStart w:id="129" w:name="ref-newman2017"/>
      <w:bookmarkEnd w:id="128"/>
      <w:r>
        <w:lastRenderedPageBreak/>
        <w:t xml:space="preserve">Newman, A., Donohue, R., &amp; Eva, N. (2017). Psychological safety: A systematic review of the literature. </w:t>
      </w:r>
      <w:r>
        <w:rPr>
          <w:i/>
          <w:iCs/>
        </w:rPr>
        <w:t>Human Resource Management Review</w:t>
      </w:r>
      <w:r>
        <w:t xml:space="preserve">, </w:t>
      </w:r>
      <w:r>
        <w:rPr>
          <w:i/>
          <w:iCs/>
        </w:rPr>
        <w:t>27</w:t>
      </w:r>
      <w:r>
        <w:t xml:space="preserve">(3), 521–535. </w:t>
      </w:r>
      <w:hyperlink r:id="rId36">
        <w:r>
          <w:rPr>
            <w:rStyle w:val="Hyperlink"/>
          </w:rPr>
          <w:t>https://doi.org/10.1016/j.hrmr.2017.01.001</w:t>
        </w:r>
      </w:hyperlink>
    </w:p>
    <w:p w14:paraId="1906D47D" w14:textId="77777777" w:rsidR="0060466F" w:rsidRDefault="00000000">
      <w:pPr>
        <w:pStyle w:val="Bibliography"/>
      </w:pPr>
      <w:bookmarkStart w:id="130" w:name="ref-ohly2009"/>
      <w:bookmarkEnd w:id="129"/>
      <w:r>
        <w:t xml:space="preserve">Ohly, S., &amp; Fritz, C. (2010). Work Characteristics, Challenge Appraisal, Creativity, And Proactive Behavior: A Multi-Level Study Of Challenging Work. </w:t>
      </w:r>
      <w:r>
        <w:rPr>
          <w:i/>
          <w:iCs/>
        </w:rPr>
        <w:t>Journal of Organizational Behavior</w:t>
      </w:r>
      <w:r>
        <w:t xml:space="preserve">, </w:t>
      </w:r>
      <w:r>
        <w:rPr>
          <w:i/>
          <w:iCs/>
        </w:rPr>
        <w:t>31</w:t>
      </w:r>
      <w:r>
        <w:t xml:space="preserve">(4), 543–565. </w:t>
      </w:r>
      <w:hyperlink r:id="rId37">
        <w:r>
          <w:rPr>
            <w:rStyle w:val="Hyperlink"/>
          </w:rPr>
          <w:t>https://doi.org/10.1002/job.633</w:t>
        </w:r>
      </w:hyperlink>
    </w:p>
    <w:p w14:paraId="36126FBD" w14:textId="77777777" w:rsidR="0060466F" w:rsidRDefault="00000000">
      <w:pPr>
        <w:pStyle w:val="Bibliography"/>
      </w:pPr>
      <w:bookmarkStart w:id="131" w:name="ref-ohly2010"/>
      <w:bookmarkEnd w:id="130"/>
      <w:r>
        <w:t xml:space="preserve">Ohly, S., Sonnentag, S., Niessen, C., &amp; Zapf, D. (2010). Diary Studies in Organizational Research: An Introduction and Some Practical Recommendations. </w:t>
      </w:r>
      <w:r>
        <w:rPr>
          <w:i/>
          <w:iCs/>
        </w:rPr>
        <w:t>Journal of Personnel Psychology</w:t>
      </w:r>
      <w:r>
        <w:t xml:space="preserve">, </w:t>
      </w:r>
      <w:r>
        <w:rPr>
          <w:i/>
          <w:iCs/>
        </w:rPr>
        <w:t>9</w:t>
      </w:r>
      <w:r>
        <w:t xml:space="preserve">(2), 79–93. </w:t>
      </w:r>
      <w:hyperlink r:id="rId38">
        <w:r>
          <w:rPr>
            <w:rStyle w:val="Hyperlink"/>
          </w:rPr>
          <w:t>https://doi.org/10.1027/1866-5888/a000009</w:t>
        </w:r>
      </w:hyperlink>
    </w:p>
    <w:p w14:paraId="7C558591" w14:textId="77777777" w:rsidR="0060466F" w:rsidRDefault="00000000">
      <w:pPr>
        <w:pStyle w:val="Bibliography"/>
      </w:pPr>
      <w:bookmarkStart w:id="132" w:name="ref-orth2017"/>
      <w:bookmarkEnd w:id="131"/>
      <w:r>
        <w:t xml:space="preserve">Orth, M., &amp; Volmer, J. (2017). Daily within-person effects of job autonomy and work engagement on innovative behaviour: The cross-level moderating role of creative self-efficacy. </w:t>
      </w:r>
      <w:r>
        <w:rPr>
          <w:i/>
          <w:iCs/>
        </w:rPr>
        <w:t>European Journal of Work and Organizational Psychology</w:t>
      </w:r>
      <w:r>
        <w:t xml:space="preserve">, </w:t>
      </w:r>
      <w:r>
        <w:rPr>
          <w:i/>
          <w:iCs/>
        </w:rPr>
        <w:t>26</w:t>
      </w:r>
      <w:r>
        <w:t xml:space="preserve">(4), 601–612. </w:t>
      </w:r>
      <w:hyperlink r:id="rId39">
        <w:r>
          <w:rPr>
            <w:rStyle w:val="Hyperlink"/>
          </w:rPr>
          <w:t>https://doi.org/10.1080/1359432X.2017.1332042</w:t>
        </w:r>
      </w:hyperlink>
    </w:p>
    <w:p w14:paraId="77F1F8B2" w14:textId="77777777" w:rsidR="0060466F" w:rsidRDefault="00000000">
      <w:pPr>
        <w:pStyle w:val="Bibliography"/>
      </w:pPr>
      <w:bookmarkStart w:id="133" w:name="ref-pee2017"/>
      <w:bookmarkEnd w:id="132"/>
      <w:r>
        <w:t xml:space="preserve">Pee, L. G., &amp; Min, J. (2017). Employees’ online knowledge sharing: The effects of person-environment fit. </w:t>
      </w:r>
      <w:r>
        <w:rPr>
          <w:i/>
          <w:iCs/>
        </w:rPr>
        <w:t>Journal of Knowledge Management</w:t>
      </w:r>
      <w:r>
        <w:t xml:space="preserve">, </w:t>
      </w:r>
      <w:r>
        <w:rPr>
          <w:i/>
          <w:iCs/>
        </w:rPr>
        <w:t>21</w:t>
      </w:r>
      <w:r>
        <w:t xml:space="preserve">(2), 432–453. </w:t>
      </w:r>
      <w:hyperlink r:id="rId40">
        <w:r>
          <w:rPr>
            <w:rStyle w:val="Hyperlink"/>
          </w:rPr>
          <w:t>https://doi.org/10.1108/JKM-10-2016-0437</w:t>
        </w:r>
      </w:hyperlink>
    </w:p>
    <w:p w14:paraId="18DEA998" w14:textId="77777777" w:rsidR="0060466F" w:rsidRDefault="00000000">
      <w:pPr>
        <w:pStyle w:val="Bibliography"/>
      </w:pPr>
      <w:bookmarkStart w:id="134" w:name="ref-peters1982"/>
      <w:bookmarkEnd w:id="133"/>
      <w:r>
        <w:t xml:space="preserve">Peters, T. J., &amp; Waterman, R. H. (1984). In search of excellence. </w:t>
      </w:r>
      <w:r>
        <w:rPr>
          <w:i/>
          <w:iCs/>
        </w:rPr>
        <w:t>Nursing Administration Quarterly</w:t>
      </w:r>
      <w:r>
        <w:t xml:space="preserve">, </w:t>
      </w:r>
      <w:r>
        <w:rPr>
          <w:i/>
          <w:iCs/>
        </w:rPr>
        <w:t>8</w:t>
      </w:r>
      <w:r>
        <w:t>(3), 85–86.</w:t>
      </w:r>
    </w:p>
    <w:p w14:paraId="311CF979" w14:textId="77777777" w:rsidR="0060466F" w:rsidRDefault="00000000">
      <w:pPr>
        <w:pStyle w:val="Bibliography"/>
      </w:pPr>
      <w:bookmarkStart w:id="135" w:name="ref-podsakoff2003"/>
      <w:bookmarkEnd w:id="134"/>
      <w:proofErr w:type="spellStart"/>
      <w:r w:rsidRPr="00B211DA">
        <w:rPr>
          <w:lang w:val="nl-NL"/>
        </w:rPr>
        <w:t>Podsakoff</w:t>
      </w:r>
      <w:proofErr w:type="spellEnd"/>
      <w:r w:rsidRPr="00B211DA">
        <w:rPr>
          <w:lang w:val="nl-NL"/>
        </w:rPr>
        <w:t xml:space="preserve">, P. M., </w:t>
      </w:r>
      <w:proofErr w:type="spellStart"/>
      <w:r w:rsidRPr="00B211DA">
        <w:rPr>
          <w:lang w:val="nl-NL"/>
        </w:rPr>
        <w:t>MacKenzie</w:t>
      </w:r>
      <w:proofErr w:type="spellEnd"/>
      <w:r w:rsidRPr="00B211DA">
        <w:rPr>
          <w:lang w:val="nl-NL"/>
        </w:rPr>
        <w:t xml:space="preserve">, S. B., Lee, J.-Y., &amp; </w:t>
      </w:r>
      <w:proofErr w:type="spellStart"/>
      <w:r w:rsidRPr="00B211DA">
        <w:rPr>
          <w:lang w:val="nl-NL"/>
        </w:rPr>
        <w:t>Podsakoff</w:t>
      </w:r>
      <w:proofErr w:type="spellEnd"/>
      <w:r w:rsidRPr="00B211DA">
        <w:rPr>
          <w:lang w:val="nl-NL"/>
        </w:rPr>
        <w:t xml:space="preserve">, N. P. (2003). </w:t>
      </w:r>
      <w:r>
        <w:t xml:space="preserve">Common method biases in behavioral research: A critical review of the literature and recommended remedies. </w:t>
      </w:r>
      <w:r>
        <w:rPr>
          <w:i/>
          <w:iCs/>
        </w:rPr>
        <w:t>Journal of Applied Psychology</w:t>
      </w:r>
      <w:r>
        <w:t xml:space="preserve">, </w:t>
      </w:r>
      <w:r>
        <w:rPr>
          <w:i/>
          <w:iCs/>
        </w:rPr>
        <w:t>88</w:t>
      </w:r>
      <w:r>
        <w:t xml:space="preserve">, 879–903. </w:t>
      </w:r>
      <w:hyperlink r:id="rId41">
        <w:r>
          <w:rPr>
            <w:rStyle w:val="Hyperlink"/>
          </w:rPr>
          <w:t>https://doi.org/10.1037/0021-9010.88.5.879</w:t>
        </w:r>
      </w:hyperlink>
    </w:p>
    <w:p w14:paraId="3F9B54D9" w14:textId="77777777" w:rsidR="0060466F" w:rsidRDefault="00000000">
      <w:pPr>
        <w:pStyle w:val="Bibliography"/>
      </w:pPr>
      <w:bookmarkStart w:id="136" w:name="ref-rigtering2013"/>
      <w:bookmarkEnd w:id="135"/>
      <w:r>
        <w:t xml:space="preserve">Rigtering, J. P. C., &amp; Weitzel, U. (2013). Work context and employee behaviour as antecedents for intrapreneurship. </w:t>
      </w:r>
      <w:r>
        <w:rPr>
          <w:i/>
          <w:iCs/>
        </w:rPr>
        <w:t>International Entrepreneurship and Management Journal</w:t>
      </w:r>
      <w:r>
        <w:t xml:space="preserve">, </w:t>
      </w:r>
      <w:r>
        <w:rPr>
          <w:i/>
          <w:iCs/>
        </w:rPr>
        <w:t>9</w:t>
      </w:r>
      <w:r>
        <w:t xml:space="preserve">(3), 337–360. </w:t>
      </w:r>
      <w:hyperlink r:id="rId42">
        <w:r>
          <w:rPr>
            <w:rStyle w:val="Hyperlink"/>
          </w:rPr>
          <w:t>https://doi.org/10.1007/s11365-013-0258-3</w:t>
        </w:r>
      </w:hyperlink>
    </w:p>
    <w:p w14:paraId="4512E405" w14:textId="77777777" w:rsidR="0060466F" w:rsidRDefault="00000000">
      <w:pPr>
        <w:pStyle w:val="Bibliography"/>
      </w:pPr>
      <w:bookmarkStart w:id="137" w:name="ref-ross1992"/>
      <w:bookmarkEnd w:id="136"/>
      <w:r>
        <w:t xml:space="preserve">Ross, C. E., &amp; Reskin, B. F. (1992). Education, control at work, and job satisfaction. </w:t>
      </w:r>
      <w:r>
        <w:rPr>
          <w:i/>
          <w:iCs/>
        </w:rPr>
        <w:t>Social Science Research</w:t>
      </w:r>
      <w:r>
        <w:t xml:space="preserve">, </w:t>
      </w:r>
      <w:r>
        <w:rPr>
          <w:i/>
          <w:iCs/>
        </w:rPr>
        <w:t>21</w:t>
      </w:r>
      <w:r>
        <w:t xml:space="preserve">(2), 134–148. </w:t>
      </w:r>
      <w:hyperlink r:id="rId43">
        <w:r>
          <w:rPr>
            <w:rStyle w:val="Hyperlink"/>
          </w:rPr>
          <w:t>https://doi.org/10.1016/0049-089X(92)90012-6</w:t>
        </w:r>
      </w:hyperlink>
    </w:p>
    <w:p w14:paraId="00C26FD5" w14:textId="77777777" w:rsidR="0060466F" w:rsidRDefault="00000000">
      <w:pPr>
        <w:pStyle w:val="Bibliography"/>
      </w:pPr>
      <w:bookmarkStart w:id="138" w:name="ref-safdar2017"/>
      <w:bookmarkEnd w:id="137"/>
      <w:r>
        <w:t xml:space="preserve">Safdar, U., Badir, Y. F., &amp; Afsar, B. (2017). Who can I ask? How psychological safety affects knowledge sourcing among new product development team members. </w:t>
      </w:r>
      <w:r>
        <w:rPr>
          <w:i/>
          <w:iCs/>
        </w:rPr>
        <w:t>The Journal of High Technology Management Research</w:t>
      </w:r>
      <w:r>
        <w:t xml:space="preserve">, </w:t>
      </w:r>
      <w:r>
        <w:rPr>
          <w:i/>
          <w:iCs/>
        </w:rPr>
        <w:t>28</w:t>
      </w:r>
      <w:r>
        <w:t xml:space="preserve">(1), 79–92. </w:t>
      </w:r>
      <w:hyperlink r:id="rId44">
        <w:r>
          <w:rPr>
            <w:rStyle w:val="Hyperlink"/>
          </w:rPr>
          <w:t>https://doi.org/10.1016/j.hitech.2017.04.006</w:t>
        </w:r>
      </w:hyperlink>
    </w:p>
    <w:p w14:paraId="3E48F3F4" w14:textId="77777777" w:rsidR="0060466F" w:rsidRDefault="00000000">
      <w:pPr>
        <w:pStyle w:val="Bibliography"/>
      </w:pPr>
      <w:bookmarkStart w:id="139" w:name="ref-sanner2015"/>
      <w:bookmarkEnd w:id="138"/>
      <w:r>
        <w:t xml:space="preserve">Sanner, B., &amp; Bunderson, J. S. (2015). When feeling safe isn’t enough: Contextualizing models of safety and learning in teams. </w:t>
      </w:r>
      <w:r>
        <w:rPr>
          <w:i/>
          <w:iCs/>
        </w:rPr>
        <w:t>Organizational Psychology Review</w:t>
      </w:r>
      <w:r>
        <w:t xml:space="preserve">, </w:t>
      </w:r>
      <w:r>
        <w:rPr>
          <w:i/>
          <w:iCs/>
        </w:rPr>
        <w:t>5</w:t>
      </w:r>
      <w:r>
        <w:t xml:space="preserve">(3), 224–243. </w:t>
      </w:r>
      <w:hyperlink r:id="rId45">
        <w:r>
          <w:rPr>
            <w:rStyle w:val="Hyperlink"/>
          </w:rPr>
          <w:t>https://doi.org/10.1177/2041386614565145</w:t>
        </w:r>
      </w:hyperlink>
    </w:p>
    <w:p w14:paraId="0FC3AC9D" w14:textId="77777777" w:rsidR="0060466F" w:rsidRDefault="00000000">
      <w:pPr>
        <w:pStyle w:val="Bibliography"/>
      </w:pPr>
      <w:bookmarkStart w:id="140" w:name="ref-scherbaum2009"/>
      <w:bookmarkEnd w:id="139"/>
      <w:r>
        <w:t xml:space="preserve">Scherbaum, C. A., &amp; Ferreter, J. M. (2009). Estimating Statistical Power and Required Sample Sizes for Organizational Research Using Multilevel Modeling. </w:t>
      </w:r>
      <w:r>
        <w:rPr>
          <w:i/>
          <w:iCs/>
        </w:rPr>
        <w:t>Organizational Research Methods</w:t>
      </w:r>
      <w:r>
        <w:t xml:space="preserve">, </w:t>
      </w:r>
      <w:r>
        <w:rPr>
          <w:i/>
          <w:iCs/>
        </w:rPr>
        <w:t>12</w:t>
      </w:r>
      <w:r>
        <w:t xml:space="preserve">(2), 347–367. </w:t>
      </w:r>
      <w:hyperlink r:id="rId46">
        <w:r>
          <w:rPr>
            <w:rStyle w:val="Hyperlink"/>
          </w:rPr>
          <w:t>https://doi.org/10.1177/1094428107308906</w:t>
        </w:r>
      </w:hyperlink>
    </w:p>
    <w:p w14:paraId="60C1C139" w14:textId="77777777" w:rsidR="0060466F" w:rsidRPr="00B211DA" w:rsidRDefault="00000000">
      <w:pPr>
        <w:pStyle w:val="Bibliography"/>
        <w:rPr>
          <w:lang w:val="nl-NL"/>
        </w:rPr>
      </w:pPr>
      <w:bookmarkStart w:id="141" w:name="ref-schneider1987"/>
      <w:bookmarkEnd w:id="140"/>
      <w:r>
        <w:lastRenderedPageBreak/>
        <w:t xml:space="preserve">Schneider, B. (1987). The people make the place. </w:t>
      </w:r>
      <w:proofErr w:type="spellStart"/>
      <w:r w:rsidRPr="00B211DA">
        <w:rPr>
          <w:i/>
          <w:iCs/>
          <w:lang w:val="nl-NL"/>
        </w:rPr>
        <w:t>Personnel</w:t>
      </w:r>
      <w:proofErr w:type="spellEnd"/>
      <w:r w:rsidRPr="00B211DA">
        <w:rPr>
          <w:i/>
          <w:iCs/>
          <w:lang w:val="nl-NL"/>
        </w:rPr>
        <w:t xml:space="preserve"> </w:t>
      </w:r>
      <w:proofErr w:type="spellStart"/>
      <w:r w:rsidRPr="00B211DA">
        <w:rPr>
          <w:i/>
          <w:iCs/>
          <w:lang w:val="nl-NL"/>
        </w:rPr>
        <w:t>Psychology</w:t>
      </w:r>
      <w:proofErr w:type="spellEnd"/>
      <w:r w:rsidRPr="00B211DA">
        <w:rPr>
          <w:lang w:val="nl-NL"/>
        </w:rPr>
        <w:t xml:space="preserve">, </w:t>
      </w:r>
      <w:r w:rsidRPr="00B211DA">
        <w:rPr>
          <w:i/>
          <w:iCs/>
          <w:lang w:val="nl-NL"/>
        </w:rPr>
        <w:t>40</w:t>
      </w:r>
      <w:r w:rsidRPr="00B211DA">
        <w:rPr>
          <w:lang w:val="nl-NL"/>
        </w:rPr>
        <w:t xml:space="preserve">(3), 437–453. </w:t>
      </w:r>
      <w:hyperlink r:id="rId47">
        <w:r w:rsidRPr="00B211DA">
          <w:rPr>
            <w:rStyle w:val="Hyperlink"/>
            <w:lang w:val="nl-NL"/>
          </w:rPr>
          <w:t>https://doi.org/10.1111/j.1744-6570.1987.tb00609.x</w:t>
        </w:r>
      </w:hyperlink>
    </w:p>
    <w:p w14:paraId="041E9EC6" w14:textId="77777777" w:rsidR="0060466F" w:rsidRDefault="00000000">
      <w:pPr>
        <w:pStyle w:val="Bibliography"/>
      </w:pPr>
      <w:bookmarkStart w:id="142" w:name="ref-scrumGuide"/>
      <w:bookmarkEnd w:id="141"/>
      <w:r>
        <w:t xml:space="preserve">Schwaber, K., &amp; Sutherland, J. (2020). Scrum Guide | Scrum Guides. In </w:t>
      </w:r>
      <w:r>
        <w:rPr>
          <w:i/>
          <w:iCs/>
        </w:rPr>
        <w:t>The 2020 Scrum Guide</w:t>
      </w:r>
      <w:r>
        <w:t>. https://scrumguides.org/scrum-guide.html.</w:t>
      </w:r>
    </w:p>
    <w:p w14:paraId="25BDB719" w14:textId="77777777" w:rsidR="0060466F" w:rsidRDefault="00000000">
      <w:pPr>
        <w:pStyle w:val="Bibliography"/>
      </w:pPr>
      <w:bookmarkStart w:id="143" w:name="ref-shanock2010"/>
      <w:bookmarkEnd w:id="142"/>
      <w:r>
        <w:t xml:space="preserve">Shanock, L. R., Baran, B. E., Gentry, W. A., Pattison, S. C., &amp; Heggestad, E. D. (2010). Polynomial Regression with Response Surface Analysis: A Powerful Approach for Examining Moderation and Overcoming Limitations of Difference Scores. </w:t>
      </w:r>
      <w:r>
        <w:rPr>
          <w:i/>
          <w:iCs/>
        </w:rPr>
        <w:t>Journal of Business and Psychology</w:t>
      </w:r>
      <w:r>
        <w:t xml:space="preserve">, </w:t>
      </w:r>
      <w:r>
        <w:rPr>
          <w:i/>
          <w:iCs/>
        </w:rPr>
        <w:t>25</w:t>
      </w:r>
      <w:r>
        <w:t xml:space="preserve">(4), 543–554. </w:t>
      </w:r>
      <w:hyperlink r:id="rId48">
        <w:r>
          <w:rPr>
            <w:rStyle w:val="Hyperlink"/>
          </w:rPr>
          <w:t>https://doi.org/10.1007/s10869-010-9183-4</w:t>
        </w:r>
      </w:hyperlink>
    </w:p>
    <w:p w14:paraId="7A25F127" w14:textId="77777777" w:rsidR="0060466F" w:rsidRPr="00B211DA" w:rsidRDefault="00000000">
      <w:pPr>
        <w:pStyle w:val="Bibliography"/>
        <w:rPr>
          <w:lang w:val="nl-NL"/>
        </w:rPr>
      </w:pPr>
      <w:bookmarkStart w:id="144" w:name="ref-simmering2003"/>
      <w:bookmarkEnd w:id="143"/>
      <w:r>
        <w:t xml:space="preserve">Simmering, M. J., Colquitt, J. A., Noe, R. A., &amp; Porter, C. O. L. H. (2003). Conscientiousness, autonomy fit, and development: A longitudinal study. </w:t>
      </w:r>
      <w:r>
        <w:rPr>
          <w:i/>
          <w:iCs/>
        </w:rPr>
        <w:t>Journal of Applied Psychology</w:t>
      </w:r>
      <w:r>
        <w:t xml:space="preserve">, </w:t>
      </w:r>
      <w:r>
        <w:rPr>
          <w:i/>
          <w:iCs/>
        </w:rPr>
        <w:t>88</w:t>
      </w:r>
      <w:r>
        <w:t xml:space="preserve">(5), 954–963. </w:t>
      </w:r>
      <w:hyperlink r:id="rId49">
        <w:r w:rsidRPr="00B211DA">
          <w:rPr>
            <w:rStyle w:val="Hyperlink"/>
            <w:lang w:val="nl-NL"/>
          </w:rPr>
          <w:t>https://doi.org/10.1037/0021-9010.88.5.954</w:t>
        </w:r>
      </w:hyperlink>
    </w:p>
    <w:p w14:paraId="1CA1526A" w14:textId="77777777" w:rsidR="0060466F" w:rsidRDefault="00000000">
      <w:pPr>
        <w:pStyle w:val="Bibliography"/>
      </w:pPr>
      <w:bookmarkStart w:id="145" w:name="ref-sorlie2022"/>
      <w:bookmarkEnd w:id="144"/>
      <w:proofErr w:type="spellStart"/>
      <w:r w:rsidRPr="00B211DA">
        <w:rPr>
          <w:lang w:val="nl-NL"/>
        </w:rPr>
        <w:t>Sørlie</w:t>
      </w:r>
      <w:proofErr w:type="spellEnd"/>
      <w:r w:rsidRPr="00B211DA">
        <w:rPr>
          <w:lang w:val="nl-NL"/>
        </w:rPr>
        <w:t xml:space="preserve">, H. O., </w:t>
      </w:r>
      <w:proofErr w:type="spellStart"/>
      <w:r w:rsidRPr="00B211DA">
        <w:rPr>
          <w:lang w:val="nl-NL"/>
        </w:rPr>
        <w:t>Hetland</w:t>
      </w:r>
      <w:proofErr w:type="spellEnd"/>
      <w:r w:rsidRPr="00B211DA">
        <w:rPr>
          <w:lang w:val="nl-NL"/>
        </w:rPr>
        <w:t xml:space="preserve">, J., Bakker, A. B., </w:t>
      </w:r>
      <w:proofErr w:type="spellStart"/>
      <w:r w:rsidRPr="00B211DA">
        <w:rPr>
          <w:lang w:val="nl-NL"/>
        </w:rPr>
        <w:t>Espevik</w:t>
      </w:r>
      <w:proofErr w:type="spellEnd"/>
      <w:r w:rsidRPr="00B211DA">
        <w:rPr>
          <w:lang w:val="nl-NL"/>
        </w:rPr>
        <w:t xml:space="preserve">, R., &amp; Olsen, O. K. (2022). </w:t>
      </w:r>
      <w:r>
        <w:t xml:space="preserve">Daily autonomy and job performance: Does person-organization fit act as a key resource? </w:t>
      </w:r>
      <w:r>
        <w:rPr>
          <w:i/>
          <w:iCs/>
        </w:rPr>
        <w:t>Journal of Vocational Behavior</w:t>
      </w:r>
      <w:r>
        <w:t xml:space="preserve">, </w:t>
      </w:r>
      <w:r>
        <w:rPr>
          <w:i/>
          <w:iCs/>
        </w:rPr>
        <w:t>133</w:t>
      </w:r>
      <w:r>
        <w:t xml:space="preserve">, 103691. </w:t>
      </w:r>
      <w:hyperlink r:id="rId50">
        <w:r>
          <w:rPr>
            <w:rStyle w:val="Hyperlink"/>
          </w:rPr>
          <w:t>https://doi.org/10.1016/j.jvb.2022.103691</w:t>
        </w:r>
      </w:hyperlink>
    </w:p>
    <w:p w14:paraId="73E3800D" w14:textId="77777777" w:rsidR="0060466F" w:rsidRPr="00B211DA" w:rsidRDefault="00000000">
      <w:pPr>
        <w:pStyle w:val="Bibliography"/>
        <w:rPr>
          <w:lang w:val="nl-NL"/>
        </w:rPr>
      </w:pPr>
      <w:bookmarkStart w:id="146" w:name="ref-spreitzer1995"/>
      <w:bookmarkEnd w:id="145"/>
      <w:r>
        <w:t xml:space="preserve">Spreitzer, G. M. (1995). Psychological Empowerment In The Workplace: Dimensions, Measurement, And Validation. </w:t>
      </w:r>
      <w:r w:rsidRPr="00B211DA">
        <w:rPr>
          <w:i/>
          <w:iCs/>
          <w:lang w:val="nl-NL"/>
        </w:rPr>
        <w:t>Academy of Management Journal</w:t>
      </w:r>
      <w:r w:rsidRPr="00B211DA">
        <w:rPr>
          <w:lang w:val="nl-NL"/>
        </w:rPr>
        <w:t>, 25.</w:t>
      </w:r>
    </w:p>
    <w:p w14:paraId="79B460DD" w14:textId="77777777" w:rsidR="0060466F" w:rsidRDefault="00000000">
      <w:pPr>
        <w:pStyle w:val="Bibliography"/>
      </w:pPr>
      <w:bookmarkStart w:id="147" w:name="ref-stam2012"/>
      <w:bookmarkEnd w:id="146"/>
      <w:r w:rsidRPr="00B211DA">
        <w:rPr>
          <w:lang w:val="nl-NL"/>
        </w:rPr>
        <w:t xml:space="preserve">Stam, E., Bosma, N., Van </w:t>
      </w:r>
      <w:proofErr w:type="spellStart"/>
      <w:r w:rsidRPr="00B211DA">
        <w:rPr>
          <w:lang w:val="nl-NL"/>
        </w:rPr>
        <w:t>Witteloostuijn</w:t>
      </w:r>
      <w:proofErr w:type="spellEnd"/>
      <w:r w:rsidRPr="00B211DA">
        <w:rPr>
          <w:lang w:val="nl-NL"/>
        </w:rPr>
        <w:t xml:space="preserve">, A., De Jong, J., Bogaert, S., Edwards, N., &amp; Jaspers, F. (2012). </w:t>
      </w:r>
      <w:r>
        <w:t xml:space="preserve">Ambitious entrepreneurship. </w:t>
      </w:r>
      <w:r>
        <w:rPr>
          <w:i/>
          <w:iCs/>
        </w:rPr>
        <w:t>A Review of the Academic Literature and New Directions for Public Policy, Report for the Advisory Council for Science and Technology Policy (AWT) and the Flemish Council for Science and Innovation (VRWI)</w:t>
      </w:r>
      <w:r>
        <w:t>.</w:t>
      </w:r>
    </w:p>
    <w:p w14:paraId="17F4FF17" w14:textId="77777777" w:rsidR="0060466F" w:rsidRDefault="00000000">
      <w:pPr>
        <w:pStyle w:val="Bibliography"/>
      </w:pPr>
      <w:bookmarkStart w:id="148" w:name="ref-stiglbauer2018"/>
      <w:bookmarkEnd w:id="147"/>
      <w:r>
        <w:t xml:space="preserve">Stiglbauer, B., &amp; Kovacs, C. (2018). The more, the better? Curvilinear effects of job autonomy on well-being from vitamin model and PE-fit theory perspectives. </w:t>
      </w:r>
      <w:r>
        <w:rPr>
          <w:i/>
          <w:iCs/>
        </w:rPr>
        <w:t>Journal of Occupational Health Psychology</w:t>
      </w:r>
      <w:r>
        <w:t xml:space="preserve">, </w:t>
      </w:r>
      <w:r>
        <w:rPr>
          <w:i/>
          <w:iCs/>
        </w:rPr>
        <w:t>23</w:t>
      </w:r>
      <w:r>
        <w:t xml:space="preserve">(4), 520–536. </w:t>
      </w:r>
      <w:hyperlink r:id="rId51">
        <w:r>
          <w:rPr>
            <w:rStyle w:val="Hyperlink"/>
          </w:rPr>
          <w:t>https://doi.org/10.1037/ocp0000107</w:t>
        </w:r>
      </w:hyperlink>
    </w:p>
    <w:p w14:paraId="2CEAD220" w14:textId="77777777" w:rsidR="0060466F" w:rsidRDefault="00000000">
      <w:pPr>
        <w:pStyle w:val="Bibliography"/>
      </w:pPr>
      <w:bookmarkStart w:id="149" w:name="ref-tushman1986"/>
      <w:bookmarkEnd w:id="148"/>
      <w:r>
        <w:t xml:space="preserve">Tushman, M., &amp; Nadler, D. (1986). Organizing for Innovation. </w:t>
      </w:r>
      <w:r>
        <w:rPr>
          <w:i/>
          <w:iCs/>
        </w:rPr>
        <w:t>California Management Review</w:t>
      </w:r>
      <w:r>
        <w:t xml:space="preserve">, </w:t>
      </w:r>
      <w:r>
        <w:rPr>
          <w:i/>
          <w:iCs/>
        </w:rPr>
        <w:t>XXVII</w:t>
      </w:r>
      <w:r>
        <w:t>(3), 20.</w:t>
      </w:r>
    </w:p>
    <w:p w14:paraId="478BD504" w14:textId="77777777" w:rsidR="0060466F" w:rsidRDefault="00000000">
      <w:pPr>
        <w:pStyle w:val="Bibliography"/>
      </w:pPr>
      <w:bookmarkStart w:id="150" w:name="ref-vanVianen2018"/>
      <w:bookmarkEnd w:id="149"/>
      <w:r w:rsidRPr="00B211DA">
        <w:rPr>
          <w:lang w:val="nl-NL"/>
        </w:rPr>
        <w:t xml:space="preserve">van Vianen, A. E. M. (2018). </w:t>
      </w:r>
      <w:r>
        <w:t xml:space="preserve">Person: A Review of Its Basic Tenets. </w:t>
      </w:r>
      <w:r>
        <w:rPr>
          <w:i/>
          <w:iCs/>
        </w:rPr>
        <w:t>Annual Review of Organizational Psychology and Organizational Behavior</w:t>
      </w:r>
      <w:r>
        <w:t xml:space="preserve">, </w:t>
      </w:r>
      <w:r>
        <w:rPr>
          <w:i/>
          <w:iCs/>
        </w:rPr>
        <w:t>5</w:t>
      </w:r>
      <w:r>
        <w:t xml:space="preserve">(1), 75–101. </w:t>
      </w:r>
      <w:hyperlink r:id="rId52">
        <w:r>
          <w:rPr>
            <w:rStyle w:val="Hyperlink"/>
          </w:rPr>
          <w:t>https://doi.org/10.1146/annurev-orgpsych-032117-104702</w:t>
        </w:r>
      </w:hyperlink>
    </w:p>
    <w:p w14:paraId="5A77C78E" w14:textId="77777777" w:rsidR="0060466F" w:rsidRDefault="00000000">
      <w:pPr>
        <w:pStyle w:val="Bibliography"/>
      </w:pPr>
      <w:bookmarkStart w:id="151" w:name="ref-vleugels2018"/>
      <w:bookmarkEnd w:id="150"/>
      <w:r w:rsidRPr="00B211DA">
        <w:rPr>
          <w:lang w:val="nl-NL"/>
        </w:rPr>
        <w:t xml:space="preserve">Vleugels, W., De Cooman, R., Verbruggen, M., &amp; Solinger, O. (2018). </w:t>
      </w:r>
      <w:r>
        <w:t xml:space="preserve">Understanding dynamic change in perceptions of person-environment fit: An exploration of competing theoretical perspectives. </w:t>
      </w:r>
      <w:r>
        <w:rPr>
          <w:i/>
          <w:iCs/>
        </w:rPr>
        <w:t>Journal of Organizational Behavior</w:t>
      </w:r>
      <w:r>
        <w:t xml:space="preserve">, </w:t>
      </w:r>
      <w:r>
        <w:rPr>
          <w:i/>
          <w:iCs/>
        </w:rPr>
        <w:t>39</w:t>
      </w:r>
      <w:r>
        <w:t xml:space="preserve">(9), 1066–1080. </w:t>
      </w:r>
      <w:hyperlink r:id="rId53">
        <w:r>
          <w:rPr>
            <w:rStyle w:val="Hyperlink"/>
          </w:rPr>
          <w:t>https://doi.org/10.1002/job.2294</w:t>
        </w:r>
      </w:hyperlink>
    </w:p>
    <w:p w14:paraId="402F68E7" w14:textId="77777777" w:rsidR="0060466F" w:rsidRDefault="00000000">
      <w:pPr>
        <w:pStyle w:val="Bibliography"/>
      </w:pPr>
      <w:bookmarkStart w:id="152" w:name="ref-vleugels2022"/>
      <w:bookmarkEnd w:id="151"/>
      <w:r>
        <w:t xml:space="preserve">Vleugels, W., Verbruggen, M., De Cooman, R., &amp; Billsberry, J. (2022). A systematic review of temporal person-environment fit research: Trends, developments, obstacles, and opportunities for future research. </w:t>
      </w:r>
      <w:r>
        <w:rPr>
          <w:i/>
          <w:iCs/>
        </w:rPr>
        <w:t>Journal of Organizational Behavior</w:t>
      </w:r>
      <w:r>
        <w:t xml:space="preserve">, job.2607. </w:t>
      </w:r>
      <w:hyperlink r:id="rId54">
        <w:r>
          <w:rPr>
            <w:rStyle w:val="Hyperlink"/>
          </w:rPr>
          <w:t>https://doi.org/10.1002/job.2607</w:t>
        </w:r>
      </w:hyperlink>
    </w:p>
    <w:p w14:paraId="75D84958" w14:textId="77777777" w:rsidR="0060466F" w:rsidRDefault="00000000">
      <w:pPr>
        <w:pStyle w:val="Bibliography"/>
      </w:pPr>
      <w:bookmarkStart w:id="153" w:name="ref-vogel2016"/>
      <w:bookmarkEnd w:id="152"/>
      <w:r>
        <w:lastRenderedPageBreak/>
        <w:t xml:space="preserve">Vogel, R. M., Rodell, J. B., &amp; Lynch, J. W. (2016). Engaged and Productive Misfits: How Job Crafting and Leisure Activity Mitigate the Negative Effects of Value Incongruence. </w:t>
      </w:r>
      <w:r>
        <w:rPr>
          <w:i/>
          <w:iCs/>
        </w:rPr>
        <w:t>Academy of Management Journal</w:t>
      </w:r>
      <w:r>
        <w:t xml:space="preserve">, </w:t>
      </w:r>
      <w:r>
        <w:rPr>
          <w:i/>
          <w:iCs/>
        </w:rPr>
        <w:t>59</w:t>
      </w:r>
      <w:r>
        <w:t xml:space="preserve">(5), 1561–1584. </w:t>
      </w:r>
      <w:hyperlink r:id="rId55">
        <w:r>
          <w:rPr>
            <w:rStyle w:val="Hyperlink"/>
          </w:rPr>
          <w:t>https://doi.org/10.5465/amj.2014.0850</w:t>
        </w:r>
      </w:hyperlink>
    </w:p>
    <w:p w14:paraId="0582B699" w14:textId="77777777" w:rsidR="0060466F" w:rsidRDefault="00000000">
      <w:pPr>
        <w:pStyle w:val="Bibliography"/>
      </w:pPr>
      <w:bookmarkStart w:id="154" w:name="ref-yu2009"/>
      <w:bookmarkEnd w:id="153"/>
      <w:r>
        <w:t xml:space="preserve">Yu, K. Y. T. (2009). Affective influences in personenvironment fit theory: Exploring the role of affect as both cause and outcome of P-E fit. </w:t>
      </w:r>
      <w:r>
        <w:rPr>
          <w:i/>
          <w:iCs/>
        </w:rPr>
        <w:t>Journal of Applied Psychology</w:t>
      </w:r>
      <w:r>
        <w:t xml:space="preserve">, </w:t>
      </w:r>
      <w:r>
        <w:rPr>
          <w:i/>
          <w:iCs/>
        </w:rPr>
        <w:t>94</w:t>
      </w:r>
      <w:r>
        <w:t xml:space="preserve">(5), 1210–1226. </w:t>
      </w:r>
      <w:hyperlink r:id="rId56">
        <w:r>
          <w:rPr>
            <w:rStyle w:val="Hyperlink"/>
          </w:rPr>
          <w:t>https://doi.org/10.1037/a0016403</w:t>
        </w:r>
      </w:hyperlink>
    </w:p>
    <w:p w14:paraId="02A3C85A" w14:textId="77777777" w:rsidR="0060466F" w:rsidRDefault="00000000">
      <w:pPr>
        <w:pStyle w:val="Bibliography"/>
      </w:pPr>
      <w:bookmarkStart w:id="155" w:name="ref-yu2016"/>
      <w:bookmarkEnd w:id="154"/>
      <w:r>
        <w:t xml:space="preserve">Yu, K. Y. T., &amp; Davis, H. M. (2016). Autonomy’s impact on newcomer proactive behaviour and socialization: A needs-supplies fit perspective. </w:t>
      </w:r>
      <w:r>
        <w:rPr>
          <w:i/>
          <w:iCs/>
        </w:rPr>
        <w:t>Journal of Occupational and Organizational Psychology</w:t>
      </w:r>
      <w:r>
        <w:t xml:space="preserve">, </w:t>
      </w:r>
      <w:r>
        <w:rPr>
          <w:i/>
          <w:iCs/>
        </w:rPr>
        <w:t>89</w:t>
      </w:r>
      <w:r>
        <w:t xml:space="preserve">(1), 172–197. </w:t>
      </w:r>
      <w:hyperlink r:id="rId57">
        <w:r>
          <w:rPr>
            <w:rStyle w:val="Hyperlink"/>
          </w:rPr>
          <w:t>https://doi.org/10.1111/joop.12116</w:t>
        </w:r>
      </w:hyperlink>
    </w:p>
    <w:p w14:paraId="6049E415" w14:textId="77777777" w:rsidR="0060466F" w:rsidRDefault="00000000">
      <w:pPr>
        <w:pStyle w:val="Bibliography"/>
      </w:pPr>
      <w:bookmarkStart w:id="156" w:name="ref-yukl2001"/>
      <w:bookmarkEnd w:id="155"/>
      <w:r>
        <w:t xml:space="preserve">Yukl, G. (2001). </w:t>
      </w:r>
      <w:r>
        <w:rPr>
          <w:i/>
          <w:iCs/>
        </w:rPr>
        <w:t>Leadership in Organizations,</w:t>
      </w:r>
      <w:r>
        <w:t>. Prentice-Hall, New Jersey.</w:t>
      </w:r>
    </w:p>
    <w:p w14:paraId="0DBFED19" w14:textId="77777777" w:rsidR="0060466F" w:rsidRDefault="00000000">
      <w:pPr>
        <w:pStyle w:val="Bibliography"/>
      </w:pPr>
      <w:bookmarkStart w:id="157" w:name="ref-zacher2014"/>
      <w:bookmarkEnd w:id="156"/>
      <w:r>
        <w:t xml:space="preserve">Zacher, H., &amp; Wilden, R. G. (2014). A daily diary study on ambidextrous leadership and self-reported employee innovation. </w:t>
      </w:r>
      <w:r>
        <w:rPr>
          <w:i/>
          <w:iCs/>
        </w:rPr>
        <w:t>Journal of Occupational and Organizational Psychology</w:t>
      </w:r>
      <w:r>
        <w:t xml:space="preserve">, </w:t>
      </w:r>
      <w:r>
        <w:rPr>
          <w:i/>
          <w:iCs/>
        </w:rPr>
        <w:t>87</w:t>
      </w:r>
      <w:r>
        <w:t xml:space="preserve">(4), 813–820. </w:t>
      </w:r>
      <w:hyperlink r:id="rId58">
        <w:r>
          <w:rPr>
            <w:rStyle w:val="Hyperlink"/>
          </w:rPr>
          <w:t>https://doi.org/10.1111/joop.12070</w:t>
        </w:r>
      </w:hyperlink>
    </w:p>
    <w:p w14:paraId="16F79F0B" w14:textId="77777777" w:rsidR="0060466F" w:rsidRDefault="00000000">
      <w:pPr>
        <w:pStyle w:val="Bibliography"/>
      </w:pPr>
      <w:bookmarkStart w:id="158" w:name="ref-zhou2020"/>
      <w:bookmarkEnd w:id="157"/>
      <w:r>
        <w:t xml:space="preserve">Zhou. (2020). The ‘Too-Much-of-a-Good-Thing’ Effect of Job Autonomy and Its Explanation Mechanism. </w:t>
      </w:r>
      <w:r>
        <w:rPr>
          <w:i/>
          <w:iCs/>
        </w:rPr>
        <w:t>Psychology</w:t>
      </w:r>
      <w:r>
        <w:t xml:space="preserve">, </w:t>
      </w:r>
      <w:r>
        <w:rPr>
          <w:i/>
          <w:iCs/>
        </w:rPr>
        <w:t>11</w:t>
      </w:r>
      <w:r>
        <w:t xml:space="preserve">(02), 299–313. </w:t>
      </w:r>
      <w:hyperlink r:id="rId59">
        <w:r>
          <w:rPr>
            <w:rStyle w:val="Hyperlink"/>
          </w:rPr>
          <w:t>https://doi.org/10.4236/psych.2020.112019</w:t>
        </w:r>
      </w:hyperlink>
    </w:p>
    <w:p w14:paraId="349D1CFF" w14:textId="77777777" w:rsidR="0060466F" w:rsidRDefault="00000000">
      <w:pPr>
        <w:pStyle w:val="Bibliography"/>
      </w:pPr>
      <w:bookmarkStart w:id="159" w:name="ref-zhou2001"/>
      <w:bookmarkEnd w:id="158"/>
      <w:r>
        <w:t xml:space="preserve">Zhou, J., &amp; George, J. M. (2001). When Job Dissatisfaction Leads To Creativity: Encouraging The Expression Of Voice. </w:t>
      </w:r>
      <w:r>
        <w:rPr>
          <w:i/>
          <w:iCs/>
        </w:rPr>
        <w:t>Academy of Management Journal</w:t>
      </w:r>
      <w:r>
        <w:t xml:space="preserve">, </w:t>
      </w:r>
      <w:r>
        <w:rPr>
          <w:i/>
          <w:iCs/>
        </w:rPr>
        <w:t>44</w:t>
      </w:r>
      <w:r>
        <w:t xml:space="preserve">(4), 682–696. </w:t>
      </w:r>
      <w:hyperlink r:id="rId60">
        <w:r>
          <w:rPr>
            <w:rStyle w:val="Hyperlink"/>
          </w:rPr>
          <w:t>https://doi.org/10.2307/3069410</w:t>
        </w:r>
      </w:hyperlink>
    </w:p>
    <w:p w14:paraId="0A6E3EBA" w14:textId="77777777" w:rsidR="0060466F" w:rsidRDefault="00000000">
      <w:pPr>
        <w:pStyle w:val="Heading1"/>
      </w:pPr>
      <w:bookmarkStart w:id="160" w:name="appendix-a-measures"/>
      <w:bookmarkStart w:id="161" w:name="_Toc122030762"/>
      <w:bookmarkEnd w:id="98"/>
      <w:bookmarkEnd w:id="101"/>
      <w:bookmarkEnd w:id="159"/>
      <w:r>
        <w:t>Appendix A: Measures</w:t>
      </w:r>
      <w:bookmarkEnd w:id="161"/>
    </w:p>
    <w:p w14:paraId="4269221D" w14:textId="77777777" w:rsidR="0060466F" w:rsidRPr="00B211DA" w:rsidRDefault="00000000">
      <w:pPr>
        <w:pStyle w:val="Heading2"/>
        <w:rPr>
          <w:lang w:val="nl-NL"/>
        </w:rPr>
      </w:pPr>
      <w:bookmarkStart w:id="162" w:name="intrapreneurial-behaviour-dejong2011"/>
      <w:bookmarkStart w:id="163" w:name="_Toc122030763"/>
      <w:proofErr w:type="spellStart"/>
      <w:r w:rsidRPr="00B211DA">
        <w:rPr>
          <w:lang w:val="nl-NL"/>
        </w:rPr>
        <w:t>Intrapreneurial</w:t>
      </w:r>
      <w:proofErr w:type="spellEnd"/>
      <w:r w:rsidRPr="00B211DA">
        <w:rPr>
          <w:lang w:val="nl-NL"/>
        </w:rPr>
        <w:t xml:space="preserve"> </w:t>
      </w:r>
      <w:proofErr w:type="spellStart"/>
      <w:r w:rsidRPr="00B211DA">
        <w:rPr>
          <w:lang w:val="nl-NL"/>
        </w:rPr>
        <w:t>behaviour</w:t>
      </w:r>
      <w:proofErr w:type="spellEnd"/>
      <w:r w:rsidRPr="00B211DA">
        <w:rPr>
          <w:lang w:val="nl-NL"/>
        </w:rPr>
        <w:t xml:space="preserve"> (</w:t>
      </w:r>
      <w:hyperlink w:anchor="ref-deJong2011">
        <w:r w:rsidRPr="00B211DA">
          <w:rPr>
            <w:rStyle w:val="Hyperlink"/>
            <w:lang w:val="nl-NL"/>
          </w:rPr>
          <w:t>De Jong et al, 2011</w:t>
        </w:r>
      </w:hyperlink>
      <w:r w:rsidRPr="00B211DA">
        <w:rPr>
          <w:lang w:val="nl-NL"/>
        </w:rPr>
        <w:t>)</w:t>
      </w:r>
      <w:bookmarkEnd w:id="163"/>
    </w:p>
    <w:tbl>
      <w:tblPr>
        <w:tblStyle w:val="Table"/>
        <w:tblW w:w="5000" w:type="pct"/>
        <w:tblLook w:val="0020" w:firstRow="1" w:lastRow="0" w:firstColumn="0" w:lastColumn="0" w:noHBand="0" w:noVBand="0"/>
      </w:tblPr>
      <w:tblGrid>
        <w:gridCol w:w="888"/>
        <w:gridCol w:w="8688"/>
      </w:tblGrid>
      <w:tr w:rsidR="0060466F" w14:paraId="01C20160"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564E8362" w14:textId="77777777" w:rsidR="0060466F" w:rsidRDefault="00000000">
            <w:pPr>
              <w:pStyle w:val="Compact"/>
            </w:pPr>
            <w:r>
              <w:t>Code   </w:t>
            </w:r>
          </w:p>
        </w:tc>
        <w:tc>
          <w:tcPr>
            <w:tcW w:w="0" w:type="auto"/>
          </w:tcPr>
          <w:p w14:paraId="1D132012" w14:textId="77777777" w:rsidR="0060466F" w:rsidRDefault="00000000">
            <w:pPr>
              <w:pStyle w:val="Compact"/>
            </w:pPr>
            <w:r>
              <w:t>Question (1-7 Likert scale)</w:t>
            </w:r>
          </w:p>
        </w:tc>
      </w:tr>
      <w:tr w:rsidR="0060466F" w14:paraId="4C7B241A" w14:textId="77777777">
        <w:tc>
          <w:tcPr>
            <w:tcW w:w="0" w:type="auto"/>
          </w:tcPr>
          <w:p w14:paraId="0ABB6126" w14:textId="77777777" w:rsidR="0060466F" w:rsidRDefault="00000000">
            <w:pPr>
              <w:pStyle w:val="Compact"/>
            </w:pPr>
            <w:r>
              <w:t>IBI1</w:t>
            </w:r>
          </w:p>
        </w:tc>
        <w:tc>
          <w:tcPr>
            <w:tcW w:w="0" w:type="auto"/>
          </w:tcPr>
          <w:p w14:paraId="518A94CC" w14:textId="77777777" w:rsidR="0060466F" w:rsidRDefault="00000000">
            <w:pPr>
              <w:pStyle w:val="Compact"/>
            </w:pPr>
            <w:r>
              <w:t>…generate creative ideas</w:t>
            </w:r>
          </w:p>
        </w:tc>
      </w:tr>
      <w:tr w:rsidR="0060466F" w14:paraId="78769192" w14:textId="77777777">
        <w:tc>
          <w:tcPr>
            <w:tcW w:w="0" w:type="auto"/>
          </w:tcPr>
          <w:p w14:paraId="2B24C75F" w14:textId="77777777" w:rsidR="0060466F" w:rsidRDefault="00000000">
            <w:pPr>
              <w:pStyle w:val="Compact"/>
            </w:pPr>
            <w:r>
              <w:t>IBI2</w:t>
            </w:r>
          </w:p>
        </w:tc>
        <w:tc>
          <w:tcPr>
            <w:tcW w:w="0" w:type="auto"/>
          </w:tcPr>
          <w:p w14:paraId="3D015DC1" w14:textId="77777777" w:rsidR="0060466F" w:rsidRDefault="00000000">
            <w:pPr>
              <w:pStyle w:val="Compact"/>
            </w:pPr>
            <w:r>
              <w:t>…search out new techniques, technologies and or product ideas</w:t>
            </w:r>
          </w:p>
        </w:tc>
      </w:tr>
      <w:tr w:rsidR="0060466F" w14:paraId="06BA7D69" w14:textId="77777777">
        <w:tc>
          <w:tcPr>
            <w:tcW w:w="0" w:type="auto"/>
          </w:tcPr>
          <w:p w14:paraId="77BB93C8" w14:textId="77777777" w:rsidR="0060466F" w:rsidRDefault="00000000">
            <w:pPr>
              <w:pStyle w:val="Compact"/>
            </w:pPr>
            <w:r>
              <w:t>IBI3</w:t>
            </w:r>
          </w:p>
        </w:tc>
        <w:tc>
          <w:tcPr>
            <w:tcW w:w="0" w:type="auto"/>
          </w:tcPr>
          <w:p w14:paraId="722168B3" w14:textId="77777777" w:rsidR="0060466F" w:rsidRDefault="00000000">
            <w:pPr>
              <w:pStyle w:val="Compact"/>
            </w:pPr>
            <w:r>
              <w:t>…promotes and champions ideas to others</w:t>
            </w:r>
          </w:p>
        </w:tc>
      </w:tr>
      <w:tr w:rsidR="0060466F" w14:paraId="445B14F1" w14:textId="77777777">
        <w:tc>
          <w:tcPr>
            <w:tcW w:w="0" w:type="auto"/>
          </w:tcPr>
          <w:p w14:paraId="3B69EBA7" w14:textId="77777777" w:rsidR="0060466F" w:rsidRDefault="00000000">
            <w:pPr>
              <w:pStyle w:val="Compact"/>
            </w:pPr>
            <w:r>
              <w:t>IBP1</w:t>
            </w:r>
          </w:p>
        </w:tc>
        <w:tc>
          <w:tcPr>
            <w:tcW w:w="0" w:type="auto"/>
          </w:tcPr>
          <w:p w14:paraId="69823C95" w14:textId="77777777" w:rsidR="0060466F" w:rsidRDefault="00000000">
            <w:pPr>
              <w:pStyle w:val="Compact"/>
            </w:pPr>
            <w:r>
              <w:t>…identifies long term opportunities and threats for the company</w:t>
            </w:r>
          </w:p>
        </w:tc>
      </w:tr>
      <w:tr w:rsidR="0060466F" w14:paraId="09F6A685" w14:textId="77777777">
        <w:tc>
          <w:tcPr>
            <w:tcW w:w="0" w:type="auto"/>
          </w:tcPr>
          <w:p w14:paraId="753F4235" w14:textId="77777777" w:rsidR="0060466F" w:rsidRDefault="00000000">
            <w:pPr>
              <w:pStyle w:val="Compact"/>
            </w:pPr>
            <w:r>
              <w:t>IBP2</w:t>
            </w:r>
          </w:p>
        </w:tc>
        <w:tc>
          <w:tcPr>
            <w:tcW w:w="0" w:type="auto"/>
          </w:tcPr>
          <w:p w14:paraId="16DBD13C" w14:textId="77777777" w:rsidR="0060466F" w:rsidRDefault="00000000">
            <w:pPr>
              <w:pStyle w:val="Compact"/>
            </w:pPr>
            <w:r>
              <w:t>…is known as a successful issue seller</w:t>
            </w:r>
          </w:p>
        </w:tc>
      </w:tr>
      <w:tr w:rsidR="0060466F" w14:paraId="5A217945" w14:textId="77777777">
        <w:tc>
          <w:tcPr>
            <w:tcW w:w="0" w:type="auto"/>
          </w:tcPr>
          <w:p w14:paraId="565EE6E0" w14:textId="77777777" w:rsidR="0060466F" w:rsidRDefault="00000000">
            <w:pPr>
              <w:pStyle w:val="Compact"/>
            </w:pPr>
            <w:r>
              <w:t>IBP3</w:t>
            </w:r>
          </w:p>
        </w:tc>
        <w:tc>
          <w:tcPr>
            <w:tcW w:w="0" w:type="auto"/>
          </w:tcPr>
          <w:p w14:paraId="11CBFFD0" w14:textId="77777777" w:rsidR="0060466F" w:rsidRDefault="00000000">
            <w:pPr>
              <w:pStyle w:val="Compact"/>
            </w:pPr>
            <w:r>
              <w:t>…puts effort in pursuing new business opportunities</w:t>
            </w:r>
          </w:p>
        </w:tc>
      </w:tr>
      <w:tr w:rsidR="0060466F" w14:paraId="6AC9EE12" w14:textId="77777777">
        <w:tc>
          <w:tcPr>
            <w:tcW w:w="0" w:type="auto"/>
          </w:tcPr>
          <w:p w14:paraId="51363A6F" w14:textId="77777777" w:rsidR="0060466F" w:rsidRDefault="00000000">
            <w:pPr>
              <w:pStyle w:val="Compact"/>
            </w:pPr>
            <w:r>
              <w:t>IBR1</w:t>
            </w:r>
          </w:p>
        </w:tc>
        <w:tc>
          <w:tcPr>
            <w:tcW w:w="0" w:type="auto"/>
          </w:tcPr>
          <w:p w14:paraId="286CA385" w14:textId="77777777" w:rsidR="0060466F" w:rsidRDefault="00000000">
            <w:pPr>
              <w:pStyle w:val="Compact"/>
            </w:pPr>
            <w:r>
              <w:t>…takes risks in his/her job</w:t>
            </w:r>
          </w:p>
        </w:tc>
      </w:tr>
      <w:tr w:rsidR="0060466F" w14:paraId="797CC8E4" w14:textId="77777777">
        <w:tc>
          <w:tcPr>
            <w:tcW w:w="0" w:type="auto"/>
          </w:tcPr>
          <w:p w14:paraId="5FBF10B0" w14:textId="77777777" w:rsidR="0060466F" w:rsidRDefault="00000000">
            <w:pPr>
              <w:pStyle w:val="Compact"/>
            </w:pPr>
            <w:r>
              <w:t>IBR2</w:t>
            </w:r>
          </w:p>
        </w:tc>
        <w:tc>
          <w:tcPr>
            <w:tcW w:w="0" w:type="auto"/>
          </w:tcPr>
          <w:p w14:paraId="3FF01C5C" w14:textId="77777777" w:rsidR="0060466F" w:rsidRDefault="00000000">
            <w:pPr>
              <w:pStyle w:val="Compact"/>
            </w:pPr>
            <w:r>
              <w:t>…when large interests are at stake, goes for the ‘big win’ even when things could go seriously wrong</w:t>
            </w:r>
          </w:p>
        </w:tc>
      </w:tr>
      <w:tr w:rsidR="0060466F" w14:paraId="176EDE8C" w14:textId="77777777">
        <w:tc>
          <w:tcPr>
            <w:tcW w:w="0" w:type="auto"/>
          </w:tcPr>
          <w:p w14:paraId="4333BA01" w14:textId="77777777" w:rsidR="0060466F" w:rsidRDefault="00000000">
            <w:pPr>
              <w:pStyle w:val="Compact"/>
            </w:pPr>
            <w:r>
              <w:t>IBR3</w:t>
            </w:r>
          </w:p>
        </w:tc>
        <w:tc>
          <w:tcPr>
            <w:tcW w:w="0" w:type="auto"/>
          </w:tcPr>
          <w:p w14:paraId="327396D9" w14:textId="77777777" w:rsidR="0060466F" w:rsidRDefault="00000000">
            <w:pPr>
              <w:pStyle w:val="Compact"/>
            </w:pPr>
            <w:r>
              <w:t>…first acts and then asks for approval, even if he/she knows that would annoy other people</w:t>
            </w:r>
          </w:p>
        </w:tc>
      </w:tr>
    </w:tbl>
    <w:p w14:paraId="135C60ED" w14:textId="77777777" w:rsidR="0060466F" w:rsidRDefault="00000000">
      <w:pPr>
        <w:pStyle w:val="Heading2"/>
      </w:pPr>
      <w:bookmarkStart w:id="164" w:name="daily-intrapreneurial-behaviour"/>
      <w:bookmarkStart w:id="165" w:name="_Toc122030764"/>
      <w:bookmarkEnd w:id="162"/>
      <w:r>
        <w:t>Daily intrapreneurial behaviour</w:t>
      </w:r>
      <w:bookmarkEnd w:id="165"/>
    </w:p>
    <w:tbl>
      <w:tblPr>
        <w:tblStyle w:val="Table"/>
        <w:tblW w:w="5000" w:type="pct"/>
        <w:tblLook w:val="0020" w:firstRow="1" w:lastRow="0" w:firstColumn="0" w:lastColumn="0" w:noHBand="0" w:noVBand="0"/>
      </w:tblPr>
      <w:tblGrid>
        <w:gridCol w:w="888"/>
        <w:gridCol w:w="8688"/>
      </w:tblGrid>
      <w:tr w:rsidR="0060466F" w14:paraId="0DD4B359"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59FF2330" w14:textId="77777777" w:rsidR="0060466F" w:rsidRDefault="00000000">
            <w:pPr>
              <w:pStyle w:val="Compact"/>
            </w:pPr>
            <w:r>
              <w:t>Code   </w:t>
            </w:r>
          </w:p>
        </w:tc>
        <w:tc>
          <w:tcPr>
            <w:tcW w:w="0" w:type="auto"/>
          </w:tcPr>
          <w:p w14:paraId="2BF5C008" w14:textId="77777777" w:rsidR="0060466F" w:rsidRDefault="00000000">
            <w:pPr>
              <w:pStyle w:val="Compact"/>
            </w:pPr>
            <w:r>
              <w:t>Question (1-7 Likert scale)</w:t>
            </w:r>
          </w:p>
        </w:tc>
      </w:tr>
      <w:tr w:rsidR="0060466F" w14:paraId="32A93E98" w14:textId="77777777">
        <w:tc>
          <w:tcPr>
            <w:tcW w:w="0" w:type="auto"/>
          </w:tcPr>
          <w:p w14:paraId="33F118E7" w14:textId="77777777" w:rsidR="0060466F" w:rsidRDefault="00000000">
            <w:pPr>
              <w:pStyle w:val="Compact"/>
            </w:pPr>
            <w:r>
              <w:lastRenderedPageBreak/>
              <w:t>IBI3</w:t>
            </w:r>
          </w:p>
        </w:tc>
        <w:tc>
          <w:tcPr>
            <w:tcW w:w="0" w:type="auto"/>
          </w:tcPr>
          <w:p w14:paraId="435518E7" w14:textId="77777777" w:rsidR="0060466F" w:rsidRDefault="00000000">
            <w:pPr>
              <w:pStyle w:val="Compact"/>
            </w:pPr>
            <w:r>
              <w:t>…promotes and champions ideas to others</w:t>
            </w:r>
          </w:p>
        </w:tc>
      </w:tr>
      <w:tr w:rsidR="0060466F" w14:paraId="02B6C28B" w14:textId="77777777">
        <w:tc>
          <w:tcPr>
            <w:tcW w:w="0" w:type="auto"/>
          </w:tcPr>
          <w:p w14:paraId="21D31D8B" w14:textId="77777777" w:rsidR="0060466F" w:rsidRDefault="00000000">
            <w:pPr>
              <w:pStyle w:val="Compact"/>
            </w:pPr>
            <w:r>
              <w:t>IBP3</w:t>
            </w:r>
          </w:p>
        </w:tc>
        <w:tc>
          <w:tcPr>
            <w:tcW w:w="0" w:type="auto"/>
          </w:tcPr>
          <w:p w14:paraId="3B212C8C" w14:textId="77777777" w:rsidR="0060466F" w:rsidRDefault="00000000">
            <w:pPr>
              <w:pStyle w:val="Compact"/>
            </w:pPr>
            <w:r>
              <w:t>…puts effort in pursuing new business opportunities</w:t>
            </w:r>
          </w:p>
        </w:tc>
      </w:tr>
      <w:tr w:rsidR="0060466F" w14:paraId="2EFD07C7" w14:textId="77777777">
        <w:tc>
          <w:tcPr>
            <w:tcW w:w="0" w:type="auto"/>
          </w:tcPr>
          <w:p w14:paraId="3851ED24" w14:textId="77777777" w:rsidR="0060466F" w:rsidRDefault="00000000">
            <w:pPr>
              <w:pStyle w:val="Compact"/>
            </w:pPr>
            <w:r>
              <w:t>IBR3</w:t>
            </w:r>
          </w:p>
        </w:tc>
        <w:tc>
          <w:tcPr>
            <w:tcW w:w="0" w:type="auto"/>
          </w:tcPr>
          <w:p w14:paraId="3A036316" w14:textId="77777777" w:rsidR="0060466F" w:rsidRDefault="00000000">
            <w:pPr>
              <w:pStyle w:val="Compact"/>
            </w:pPr>
            <w:r>
              <w:t>…first acts and then asks for approval, even if he/she knows that would annoy other people</w:t>
            </w:r>
          </w:p>
        </w:tc>
      </w:tr>
    </w:tbl>
    <w:p w14:paraId="3C202D64" w14:textId="77777777" w:rsidR="0060466F" w:rsidRDefault="00000000">
      <w:pPr>
        <w:pStyle w:val="Heading2"/>
      </w:pPr>
      <w:bookmarkStart w:id="166" w:name="autonomy-misfit-spreitzer1995"/>
      <w:bookmarkStart w:id="167" w:name="_Toc122030765"/>
      <w:bookmarkEnd w:id="164"/>
      <w:r>
        <w:t>Autonomy (misfit) (</w:t>
      </w:r>
      <w:proofErr w:type="spellStart"/>
      <w:r>
        <w:fldChar w:fldCharType="begin"/>
      </w:r>
      <w:r>
        <w:instrText>HYPERLINK \l "ref-spreitzer1995" \h</w:instrText>
      </w:r>
      <w:r>
        <w:fldChar w:fldCharType="separate"/>
      </w:r>
      <w:r>
        <w:rPr>
          <w:rStyle w:val="Hyperlink"/>
        </w:rPr>
        <w:t>Spreitzer</w:t>
      </w:r>
      <w:proofErr w:type="spellEnd"/>
      <w:r>
        <w:rPr>
          <w:rStyle w:val="Hyperlink"/>
        </w:rPr>
        <w:t>, 1995</w:t>
      </w:r>
      <w:r>
        <w:rPr>
          <w:rStyle w:val="Hyperlink"/>
        </w:rPr>
        <w:fldChar w:fldCharType="end"/>
      </w:r>
      <w:r>
        <w:t>)</w:t>
      </w:r>
      <w:bookmarkEnd w:id="167"/>
    </w:p>
    <w:p w14:paraId="397A35D6" w14:textId="77777777" w:rsidR="0060466F" w:rsidRDefault="00000000">
      <w:pPr>
        <w:pStyle w:val="FirstParagraph"/>
      </w:pPr>
      <w:r>
        <w:rPr>
          <w:b/>
          <w:bCs/>
        </w:rPr>
        <w:t>Questions for the need</w:t>
      </w:r>
    </w:p>
    <w:tbl>
      <w:tblPr>
        <w:tblStyle w:val="Table"/>
        <w:tblW w:w="5000" w:type="pct"/>
        <w:tblLook w:val="0020" w:firstRow="1" w:lastRow="0" w:firstColumn="0" w:lastColumn="0" w:noHBand="0" w:noVBand="0"/>
      </w:tblPr>
      <w:tblGrid>
        <w:gridCol w:w="888"/>
        <w:gridCol w:w="8688"/>
      </w:tblGrid>
      <w:tr w:rsidR="0060466F" w14:paraId="7462A17C"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20702AC9" w14:textId="77777777" w:rsidR="0060466F" w:rsidRDefault="00000000">
            <w:pPr>
              <w:pStyle w:val="Compact"/>
            </w:pPr>
            <w:r>
              <w:t>Code   </w:t>
            </w:r>
          </w:p>
        </w:tc>
        <w:tc>
          <w:tcPr>
            <w:tcW w:w="0" w:type="auto"/>
          </w:tcPr>
          <w:p w14:paraId="0A2624E8" w14:textId="77777777" w:rsidR="0060466F" w:rsidRDefault="00000000">
            <w:pPr>
              <w:pStyle w:val="Compact"/>
            </w:pPr>
            <w:r>
              <w:t>Question (1-7 Likert scale)</w:t>
            </w:r>
          </w:p>
        </w:tc>
      </w:tr>
      <w:tr w:rsidR="0060466F" w14:paraId="1EA26132" w14:textId="77777777">
        <w:tc>
          <w:tcPr>
            <w:tcW w:w="0" w:type="auto"/>
          </w:tcPr>
          <w:p w14:paraId="06D9FDA6" w14:textId="77777777" w:rsidR="0060466F" w:rsidRDefault="00000000">
            <w:pPr>
              <w:pStyle w:val="Compact"/>
            </w:pPr>
            <w:r>
              <w:t>AUT1</w:t>
            </w:r>
          </w:p>
        </w:tc>
        <w:tc>
          <w:tcPr>
            <w:tcW w:w="0" w:type="auto"/>
          </w:tcPr>
          <w:p w14:paraId="73E4767C" w14:textId="77777777" w:rsidR="0060466F" w:rsidRDefault="00000000">
            <w:pPr>
              <w:pStyle w:val="Compact"/>
            </w:pPr>
            <w:r>
              <w:t>Today, I found it important to have significant autonomy in determining how I do my job.</w:t>
            </w:r>
          </w:p>
        </w:tc>
      </w:tr>
      <w:tr w:rsidR="0060466F" w14:paraId="18D8CEC4" w14:textId="77777777">
        <w:tc>
          <w:tcPr>
            <w:tcW w:w="0" w:type="auto"/>
          </w:tcPr>
          <w:p w14:paraId="56776F3D" w14:textId="77777777" w:rsidR="0060466F" w:rsidRDefault="00000000">
            <w:pPr>
              <w:pStyle w:val="Compact"/>
            </w:pPr>
            <w:r>
              <w:t>AUT2</w:t>
            </w:r>
          </w:p>
        </w:tc>
        <w:tc>
          <w:tcPr>
            <w:tcW w:w="0" w:type="auto"/>
          </w:tcPr>
          <w:p w14:paraId="3EF35A37" w14:textId="77777777" w:rsidR="0060466F" w:rsidRDefault="00000000">
            <w:pPr>
              <w:pStyle w:val="Compact"/>
            </w:pPr>
            <w:r>
              <w:t>Today, I found it important to decide on my own how to go about doing my work.</w:t>
            </w:r>
          </w:p>
        </w:tc>
      </w:tr>
      <w:tr w:rsidR="0060466F" w14:paraId="39D7EA16" w14:textId="77777777">
        <w:tc>
          <w:tcPr>
            <w:tcW w:w="0" w:type="auto"/>
          </w:tcPr>
          <w:p w14:paraId="5081066D" w14:textId="77777777" w:rsidR="0060466F" w:rsidRDefault="00000000">
            <w:pPr>
              <w:pStyle w:val="Compact"/>
            </w:pPr>
            <w:r>
              <w:t>AUT3</w:t>
            </w:r>
          </w:p>
        </w:tc>
        <w:tc>
          <w:tcPr>
            <w:tcW w:w="0" w:type="auto"/>
          </w:tcPr>
          <w:p w14:paraId="00E0598B" w14:textId="77777777" w:rsidR="0060466F" w:rsidRDefault="00000000">
            <w:pPr>
              <w:pStyle w:val="Compact"/>
            </w:pPr>
            <w:r>
              <w:t>Today, I found it important to have considerable opportunity for independence and freedom in how I do my job.</w:t>
            </w:r>
          </w:p>
        </w:tc>
      </w:tr>
    </w:tbl>
    <w:p w14:paraId="2B3C1780" w14:textId="77777777" w:rsidR="0060466F" w:rsidRDefault="00000000">
      <w:pPr>
        <w:pStyle w:val="BodyText"/>
      </w:pPr>
      <w:r>
        <w:rPr>
          <w:b/>
          <w:bCs/>
        </w:rPr>
        <w:t>Questions for the supply</w:t>
      </w:r>
    </w:p>
    <w:tbl>
      <w:tblPr>
        <w:tblStyle w:val="Table"/>
        <w:tblW w:w="5000" w:type="pct"/>
        <w:tblLook w:val="0020" w:firstRow="1" w:lastRow="0" w:firstColumn="0" w:lastColumn="0" w:noHBand="0" w:noVBand="0"/>
      </w:tblPr>
      <w:tblGrid>
        <w:gridCol w:w="888"/>
        <w:gridCol w:w="8688"/>
      </w:tblGrid>
      <w:tr w:rsidR="0060466F" w14:paraId="172067D5"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3B5E4FB5" w14:textId="77777777" w:rsidR="0060466F" w:rsidRDefault="00000000">
            <w:pPr>
              <w:pStyle w:val="Compact"/>
            </w:pPr>
            <w:r>
              <w:t>Code   </w:t>
            </w:r>
          </w:p>
        </w:tc>
        <w:tc>
          <w:tcPr>
            <w:tcW w:w="0" w:type="auto"/>
          </w:tcPr>
          <w:p w14:paraId="2C24B42A" w14:textId="77777777" w:rsidR="0060466F" w:rsidRDefault="00000000">
            <w:pPr>
              <w:pStyle w:val="Compact"/>
            </w:pPr>
            <w:r>
              <w:t>Question (1-7 Likert scale)</w:t>
            </w:r>
          </w:p>
        </w:tc>
      </w:tr>
      <w:tr w:rsidR="0060466F" w14:paraId="282B5710" w14:textId="77777777">
        <w:tc>
          <w:tcPr>
            <w:tcW w:w="0" w:type="auto"/>
          </w:tcPr>
          <w:p w14:paraId="513C0F2D" w14:textId="77777777" w:rsidR="0060466F" w:rsidRDefault="00000000">
            <w:pPr>
              <w:pStyle w:val="Compact"/>
            </w:pPr>
            <w:r>
              <w:t>AUT1</w:t>
            </w:r>
          </w:p>
        </w:tc>
        <w:tc>
          <w:tcPr>
            <w:tcW w:w="0" w:type="auto"/>
          </w:tcPr>
          <w:p w14:paraId="081EFF0D" w14:textId="77777777" w:rsidR="0060466F" w:rsidRDefault="00000000">
            <w:pPr>
              <w:pStyle w:val="Compact"/>
            </w:pPr>
            <w:r>
              <w:t>Today, I had significant autonomy in determining how I do my job.</w:t>
            </w:r>
          </w:p>
        </w:tc>
      </w:tr>
      <w:tr w:rsidR="0060466F" w14:paraId="0B64771D" w14:textId="77777777">
        <w:tc>
          <w:tcPr>
            <w:tcW w:w="0" w:type="auto"/>
          </w:tcPr>
          <w:p w14:paraId="21B7C347" w14:textId="77777777" w:rsidR="0060466F" w:rsidRDefault="00000000">
            <w:pPr>
              <w:pStyle w:val="Compact"/>
            </w:pPr>
            <w:r>
              <w:t>AUT2</w:t>
            </w:r>
          </w:p>
        </w:tc>
        <w:tc>
          <w:tcPr>
            <w:tcW w:w="0" w:type="auto"/>
          </w:tcPr>
          <w:p w14:paraId="21CB32B1" w14:textId="77777777" w:rsidR="0060466F" w:rsidRDefault="00000000">
            <w:pPr>
              <w:pStyle w:val="Compact"/>
            </w:pPr>
            <w:r>
              <w:t>Today, I could decide on my own how to go about doing my work.</w:t>
            </w:r>
          </w:p>
        </w:tc>
      </w:tr>
      <w:tr w:rsidR="0060466F" w14:paraId="61047ACD" w14:textId="77777777">
        <w:tc>
          <w:tcPr>
            <w:tcW w:w="0" w:type="auto"/>
          </w:tcPr>
          <w:p w14:paraId="283A399A" w14:textId="77777777" w:rsidR="0060466F" w:rsidRDefault="00000000">
            <w:pPr>
              <w:pStyle w:val="Compact"/>
            </w:pPr>
            <w:r>
              <w:t>AUT3</w:t>
            </w:r>
          </w:p>
        </w:tc>
        <w:tc>
          <w:tcPr>
            <w:tcW w:w="0" w:type="auto"/>
          </w:tcPr>
          <w:p w14:paraId="5CC086E9" w14:textId="77777777" w:rsidR="0060466F" w:rsidRDefault="00000000">
            <w:pPr>
              <w:pStyle w:val="Compact"/>
            </w:pPr>
            <w:r>
              <w:t>Today, I had considerable opportunity for independence and freedom in how I do my job.</w:t>
            </w:r>
          </w:p>
        </w:tc>
      </w:tr>
    </w:tbl>
    <w:p w14:paraId="03E7E25E" w14:textId="77777777" w:rsidR="0060466F" w:rsidRDefault="00000000">
      <w:pPr>
        <w:pStyle w:val="Heading2"/>
      </w:pPr>
      <w:bookmarkStart w:id="168" w:name="psychological-safety-edmondson1999"/>
      <w:bookmarkStart w:id="169" w:name="_Toc122030766"/>
      <w:bookmarkEnd w:id="166"/>
      <w:r>
        <w:t>Psychological safety (</w:t>
      </w:r>
      <w:hyperlink w:anchor="ref-edmondson1999">
        <w:r>
          <w:rPr>
            <w:rStyle w:val="Hyperlink"/>
          </w:rPr>
          <w:t>Edmondson, 1999</w:t>
        </w:r>
      </w:hyperlink>
      <w:r>
        <w:t>)</w:t>
      </w:r>
      <w:bookmarkEnd w:id="169"/>
    </w:p>
    <w:tbl>
      <w:tblPr>
        <w:tblStyle w:val="Table"/>
        <w:tblW w:w="5000" w:type="pct"/>
        <w:tblLook w:val="0020" w:firstRow="1" w:lastRow="0" w:firstColumn="0" w:lastColumn="0" w:noHBand="0" w:noVBand="0"/>
      </w:tblPr>
      <w:tblGrid>
        <w:gridCol w:w="1067"/>
        <w:gridCol w:w="8509"/>
      </w:tblGrid>
      <w:tr w:rsidR="0060466F" w14:paraId="2C430BF8" w14:textId="77777777" w:rsidTr="0060466F">
        <w:trPr>
          <w:cnfStyle w:val="100000000000" w:firstRow="1" w:lastRow="0" w:firstColumn="0" w:lastColumn="0" w:oddVBand="0" w:evenVBand="0" w:oddHBand="0" w:evenHBand="0" w:firstRowFirstColumn="0" w:firstRowLastColumn="0" w:lastRowFirstColumn="0" w:lastRowLastColumn="0"/>
          <w:tblHeader/>
        </w:trPr>
        <w:tc>
          <w:tcPr>
            <w:tcW w:w="0" w:type="auto"/>
          </w:tcPr>
          <w:p w14:paraId="71E3E618" w14:textId="77777777" w:rsidR="0060466F" w:rsidRDefault="00000000">
            <w:pPr>
              <w:pStyle w:val="Compact"/>
            </w:pPr>
            <w:r>
              <w:t>Code   </w:t>
            </w:r>
          </w:p>
        </w:tc>
        <w:tc>
          <w:tcPr>
            <w:tcW w:w="0" w:type="auto"/>
          </w:tcPr>
          <w:p w14:paraId="4EFF1E87" w14:textId="77777777" w:rsidR="0060466F" w:rsidRDefault="00000000">
            <w:pPr>
              <w:pStyle w:val="Compact"/>
            </w:pPr>
            <w:r>
              <w:t>Question (1-7 Likert scale)</w:t>
            </w:r>
          </w:p>
        </w:tc>
      </w:tr>
      <w:tr w:rsidR="0060466F" w14:paraId="57BA203E" w14:textId="77777777">
        <w:tc>
          <w:tcPr>
            <w:tcW w:w="0" w:type="auto"/>
          </w:tcPr>
          <w:p w14:paraId="232EE44A" w14:textId="77777777" w:rsidR="0060466F" w:rsidRDefault="00000000">
            <w:pPr>
              <w:pStyle w:val="Compact"/>
            </w:pPr>
            <w:r>
              <w:t>CPS_1_R</w:t>
            </w:r>
          </w:p>
        </w:tc>
        <w:tc>
          <w:tcPr>
            <w:tcW w:w="0" w:type="auto"/>
          </w:tcPr>
          <w:p w14:paraId="58F8B164" w14:textId="77777777" w:rsidR="0060466F" w:rsidRDefault="00000000">
            <w:pPr>
              <w:pStyle w:val="Compact"/>
            </w:pPr>
            <w:r>
              <w:t>If you make a mistake on this team, it is often held against you</w:t>
            </w:r>
          </w:p>
        </w:tc>
      </w:tr>
      <w:tr w:rsidR="0060466F" w14:paraId="781A4B87" w14:textId="77777777">
        <w:tc>
          <w:tcPr>
            <w:tcW w:w="0" w:type="auto"/>
          </w:tcPr>
          <w:p w14:paraId="1A73DF57" w14:textId="77777777" w:rsidR="0060466F" w:rsidRDefault="00000000">
            <w:pPr>
              <w:pStyle w:val="Compact"/>
            </w:pPr>
            <w:r>
              <w:t>CPS_2</w:t>
            </w:r>
          </w:p>
        </w:tc>
        <w:tc>
          <w:tcPr>
            <w:tcW w:w="0" w:type="auto"/>
          </w:tcPr>
          <w:p w14:paraId="6A4BC6E6" w14:textId="77777777" w:rsidR="0060466F" w:rsidRDefault="00000000">
            <w:pPr>
              <w:pStyle w:val="Compact"/>
            </w:pPr>
            <w:r>
              <w:t>Members of this team are able to bring up problems and tough issues</w:t>
            </w:r>
          </w:p>
        </w:tc>
      </w:tr>
      <w:tr w:rsidR="0060466F" w14:paraId="42C1216C" w14:textId="77777777">
        <w:tc>
          <w:tcPr>
            <w:tcW w:w="0" w:type="auto"/>
          </w:tcPr>
          <w:p w14:paraId="23D0826A" w14:textId="77777777" w:rsidR="0060466F" w:rsidRDefault="00000000">
            <w:pPr>
              <w:pStyle w:val="Compact"/>
            </w:pPr>
            <w:r>
              <w:t>CPS_3_R</w:t>
            </w:r>
          </w:p>
        </w:tc>
        <w:tc>
          <w:tcPr>
            <w:tcW w:w="0" w:type="auto"/>
          </w:tcPr>
          <w:p w14:paraId="1127E677" w14:textId="77777777" w:rsidR="0060466F" w:rsidRDefault="00000000">
            <w:pPr>
              <w:pStyle w:val="Compact"/>
            </w:pPr>
            <w:r>
              <w:t>People on this team sometimes rejects others for being different</w:t>
            </w:r>
          </w:p>
        </w:tc>
      </w:tr>
      <w:tr w:rsidR="0060466F" w14:paraId="087FE222" w14:textId="77777777">
        <w:tc>
          <w:tcPr>
            <w:tcW w:w="0" w:type="auto"/>
          </w:tcPr>
          <w:p w14:paraId="062BFCF0" w14:textId="77777777" w:rsidR="0060466F" w:rsidRDefault="00000000">
            <w:pPr>
              <w:pStyle w:val="Compact"/>
            </w:pPr>
            <w:r>
              <w:t>CPS_4</w:t>
            </w:r>
          </w:p>
        </w:tc>
        <w:tc>
          <w:tcPr>
            <w:tcW w:w="0" w:type="auto"/>
          </w:tcPr>
          <w:p w14:paraId="6093285A" w14:textId="77777777" w:rsidR="0060466F" w:rsidRDefault="00000000">
            <w:pPr>
              <w:pStyle w:val="Compact"/>
            </w:pPr>
            <w:r>
              <w:t>It is safe to take a risk on this team</w:t>
            </w:r>
          </w:p>
        </w:tc>
      </w:tr>
      <w:tr w:rsidR="0060466F" w14:paraId="5BC1A602" w14:textId="77777777">
        <w:tc>
          <w:tcPr>
            <w:tcW w:w="0" w:type="auto"/>
          </w:tcPr>
          <w:p w14:paraId="2D12F93C" w14:textId="77777777" w:rsidR="0060466F" w:rsidRDefault="00000000">
            <w:pPr>
              <w:pStyle w:val="Compact"/>
            </w:pPr>
            <w:r>
              <w:t>CPS_5_R</w:t>
            </w:r>
          </w:p>
        </w:tc>
        <w:tc>
          <w:tcPr>
            <w:tcW w:w="0" w:type="auto"/>
          </w:tcPr>
          <w:p w14:paraId="4BF04631" w14:textId="77777777" w:rsidR="0060466F" w:rsidRDefault="00000000">
            <w:pPr>
              <w:pStyle w:val="Compact"/>
            </w:pPr>
            <w:r>
              <w:t>It is difficult to ask other members of this team for help</w:t>
            </w:r>
          </w:p>
        </w:tc>
      </w:tr>
      <w:tr w:rsidR="0060466F" w14:paraId="42301B0A" w14:textId="77777777">
        <w:tc>
          <w:tcPr>
            <w:tcW w:w="0" w:type="auto"/>
          </w:tcPr>
          <w:p w14:paraId="2F0A7D42" w14:textId="77777777" w:rsidR="0060466F" w:rsidRDefault="00000000">
            <w:pPr>
              <w:pStyle w:val="Compact"/>
            </w:pPr>
            <w:r>
              <w:t>CPS_6</w:t>
            </w:r>
          </w:p>
        </w:tc>
        <w:tc>
          <w:tcPr>
            <w:tcW w:w="0" w:type="auto"/>
          </w:tcPr>
          <w:p w14:paraId="40742159" w14:textId="77777777" w:rsidR="0060466F" w:rsidRDefault="00000000">
            <w:pPr>
              <w:pStyle w:val="Compact"/>
            </w:pPr>
            <w:r>
              <w:t>No one on this team would deliberately act in a way that undermines my efforts</w:t>
            </w:r>
          </w:p>
        </w:tc>
      </w:tr>
      <w:tr w:rsidR="0060466F" w14:paraId="7188AC63" w14:textId="77777777">
        <w:tc>
          <w:tcPr>
            <w:tcW w:w="0" w:type="auto"/>
          </w:tcPr>
          <w:p w14:paraId="4A8A21F4" w14:textId="77777777" w:rsidR="0060466F" w:rsidRDefault="00000000">
            <w:pPr>
              <w:pStyle w:val="Compact"/>
            </w:pPr>
            <w:r>
              <w:t>CPS_7</w:t>
            </w:r>
          </w:p>
        </w:tc>
        <w:tc>
          <w:tcPr>
            <w:tcW w:w="0" w:type="auto"/>
          </w:tcPr>
          <w:p w14:paraId="304566E2" w14:textId="77777777" w:rsidR="0060466F" w:rsidRDefault="00000000">
            <w:pPr>
              <w:pStyle w:val="Compact"/>
            </w:pPr>
            <w:r>
              <w:t>Working with members of this team, my unique skills and talents are value and utilised</w:t>
            </w:r>
          </w:p>
        </w:tc>
      </w:tr>
      <w:bookmarkEnd w:id="160"/>
      <w:bookmarkEnd w:id="168"/>
    </w:tbl>
    <w:p w14:paraId="234A4C53" w14:textId="77777777" w:rsidR="00E34A05" w:rsidRDefault="00E34A05"/>
    <w:sectPr w:rsidR="00E34A0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25C82" w14:textId="77777777" w:rsidR="00E34A05" w:rsidRDefault="00E34A05">
      <w:pPr>
        <w:spacing w:after="0"/>
      </w:pPr>
      <w:r>
        <w:separator/>
      </w:r>
    </w:p>
  </w:endnote>
  <w:endnote w:type="continuationSeparator" w:id="0">
    <w:p w14:paraId="65B6AA7E" w14:textId="77777777" w:rsidR="00E34A05" w:rsidRDefault="00E34A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8DC5" w14:textId="77777777" w:rsidR="00E34A05" w:rsidRDefault="00E34A05">
      <w:r>
        <w:separator/>
      </w:r>
    </w:p>
  </w:footnote>
  <w:footnote w:type="continuationSeparator" w:id="0">
    <w:p w14:paraId="379D4546" w14:textId="77777777" w:rsidR="00E34A05" w:rsidRDefault="00E34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0F0EF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43A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84141535">
    <w:abstractNumId w:val="0"/>
  </w:num>
  <w:num w:numId="2" w16cid:durableId="2142570049">
    <w:abstractNumId w:val="1"/>
  </w:num>
  <w:num w:numId="3" w16cid:durableId="484316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466F"/>
    <w:rsid w:val="0060466F"/>
    <w:rsid w:val="00B211DA"/>
    <w:rsid w:val="00E34A0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D131B3"/>
  <w15:docId w15:val="{98F0DF9B-E7AA-C340-8E31-58C19494D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B211DA"/>
    <w:pPr>
      <w:spacing w:after="100"/>
    </w:pPr>
  </w:style>
  <w:style w:type="paragraph" w:styleId="TOC2">
    <w:name w:val="toc 2"/>
    <w:basedOn w:val="Normal"/>
    <w:next w:val="Normal"/>
    <w:autoRedefine/>
    <w:uiPriority w:val="39"/>
    <w:unhideWhenUsed/>
    <w:rsid w:val="00B211DA"/>
    <w:pPr>
      <w:spacing w:after="100"/>
      <w:ind w:left="240"/>
    </w:pPr>
  </w:style>
  <w:style w:type="paragraph" w:styleId="TOC3">
    <w:name w:val="toc 3"/>
    <w:basedOn w:val="Normal"/>
    <w:next w:val="Normal"/>
    <w:autoRedefine/>
    <w:uiPriority w:val="39"/>
    <w:unhideWhenUsed/>
    <w:rsid w:val="00B211D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hrmr.2015.09.002" TargetMode="External"/><Relationship Id="rId18" Type="http://schemas.openxmlformats.org/officeDocument/2006/relationships/hyperlink" Target="https://doi.org/10.1177/0018726719828448" TargetMode="External"/><Relationship Id="rId26" Type="http://schemas.openxmlformats.org/officeDocument/2006/relationships/hyperlink" Target="https://doi.org/10.1016/j.emj.2019.03.001" TargetMode="External"/><Relationship Id="rId39" Type="http://schemas.openxmlformats.org/officeDocument/2006/relationships/hyperlink" Target="https://doi.org/10.1080/1359432X.2017.1332042" TargetMode="External"/><Relationship Id="rId21" Type="http://schemas.openxmlformats.org/officeDocument/2006/relationships/hyperlink" Target="https://doi.org/10.5465/amr.1992.4279536" TargetMode="External"/><Relationship Id="rId34" Type="http://schemas.openxmlformats.org/officeDocument/2006/relationships/hyperlink" Target="https://doi.org/10.5465/AMBPP.2019.145" TargetMode="External"/><Relationship Id="rId42" Type="http://schemas.openxmlformats.org/officeDocument/2006/relationships/hyperlink" Target="https://doi.org/10.1007/s11365-013-0258-3" TargetMode="External"/><Relationship Id="rId47" Type="http://schemas.openxmlformats.org/officeDocument/2006/relationships/hyperlink" Target="https://doi.org/10.1111/j.1744-6570.1987.tb00609.x" TargetMode="External"/><Relationship Id="rId50" Type="http://schemas.openxmlformats.org/officeDocument/2006/relationships/hyperlink" Target="https://doi.org/10.1016/j.jvb.2022.103691" TargetMode="External"/><Relationship Id="rId55" Type="http://schemas.openxmlformats.org/officeDocument/2006/relationships/hyperlink" Target="https://doi.org/10.5465/amj.2014.0850"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doi.org/10.4324/9781410606266" TargetMode="External"/><Relationship Id="rId29" Type="http://schemas.openxmlformats.org/officeDocument/2006/relationships/hyperlink" Target="https://doi.org/10.1177/0734371X20917185" TargetMode="External"/><Relationship Id="rId11" Type="http://schemas.openxmlformats.org/officeDocument/2006/relationships/hyperlink" Target="https://doi.org/10.1027/1016-9040/a000160" TargetMode="External"/><Relationship Id="rId24" Type="http://schemas.openxmlformats.org/officeDocument/2006/relationships/hyperlink" Target="https://doi.org/10.1177/1042258720964181" TargetMode="External"/><Relationship Id="rId32" Type="http://schemas.openxmlformats.org/officeDocument/2006/relationships/hyperlink" Target="https://doi.org/10.1111/j.1744-6570.2003.tb00244.x" TargetMode="External"/><Relationship Id="rId37" Type="http://schemas.openxmlformats.org/officeDocument/2006/relationships/hyperlink" Target="https://doi.org/10.1002/job.633" TargetMode="External"/><Relationship Id="rId40" Type="http://schemas.openxmlformats.org/officeDocument/2006/relationships/hyperlink" Target="https://doi.org/10.1108/JKM-10-2016-0437" TargetMode="External"/><Relationship Id="rId45" Type="http://schemas.openxmlformats.org/officeDocument/2006/relationships/hyperlink" Target="https://doi.org/10.1177/2041386614565145" TargetMode="External"/><Relationship Id="rId53" Type="http://schemas.openxmlformats.org/officeDocument/2006/relationships/hyperlink" Target="https://doi.org/10.1002/job.2294" TargetMode="External"/><Relationship Id="rId58" Type="http://schemas.openxmlformats.org/officeDocument/2006/relationships/hyperlink" Target="https://doi.org/10.1111/joop.12070"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doi.org/10.2307/2666999" TargetMode="External"/><Relationship Id="rId14" Type="http://schemas.openxmlformats.org/officeDocument/2006/relationships/hyperlink" Target="https://doi.org/10.1080/08956308.2009.11657579" TargetMode="External"/><Relationship Id="rId22" Type="http://schemas.openxmlformats.org/officeDocument/2006/relationships/hyperlink" Target="https://doi.org/10.1037/a0014891" TargetMode="External"/><Relationship Id="rId27" Type="http://schemas.openxmlformats.org/officeDocument/2006/relationships/hyperlink" Target="https://doi.org/10.1007/s11846-020-00412-1" TargetMode="External"/><Relationship Id="rId30" Type="http://schemas.openxmlformats.org/officeDocument/2006/relationships/hyperlink" Target="https://doi.org/10.1016/S1048-9843(03)00050-X" TargetMode="External"/><Relationship Id="rId35" Type="http://schemas.openxmlformats.org/officeDocument/2006/relationships/hyperlink" Target="https://doi.org/10.1007/s11365-018-0552-1" TargetMode="External"/><Relationship Id="rId43" Type="http://schemas.openxmlformats.org/officeDocument/2006/relationships/hyperlink" Target="https://doi.org/10.1016/0049-089X(92)90012-6" TargetMode="External"/><Relationship Id="rId48" Type="http://schemas.openxmlformats.org/officeDocument/2006/relationships/hyperlink" Target="https://doi.org/10.1007/s10869-010-9183-4" TargetMode="External"/><Relationship Id="rId56" Type="http://schemas.openxmlformats.org/officeDocument/2006/relationships/hyperlink" Target="https://doi.org/10.1037/a0016403" TargetMode="External"/><Relationship Id="rId8" Type="http://schemas.openxmlformats.org/officeDocument/2006/relationships/image" Target="media/image2.png"/><Relationship Id="rId51" Type="http://schemas.openxmlformats.org/officeDocument/2006/relationships/hyperlink" Target="https://doi.org/10.1037/ocp0000107" TargetMode="External"/><Relationship Id="rId3" Type="http://schemas.openxmlformats.org/officeDocument/2006/relationships/settings" Target="settings.xml"/><Relationship Id="rId12" Type="http://schemas.openxmlformats.org/officeDocument/2006/relationships/hyperlink" Target="https://doi.org/10.1007/s11846-018-0277-0" TargetMode="External"/><Relationship Id="rId17" Type="http://schemas.openxmlformats.org/officeDocument/2006/relationships/hyperlink" Target="https://doi.org/10.1111/etap.12084" TargetMode="External"/><Relationship Id="rId25" Type="http://schemas.openxmlformats.org/officeDocument/2006/relationships/hyperlink" Target="https://doi.org/10.1111/peps.12183" TargetMode="External"/><Relationship Id="rId33" Type="http://schemas.openxmlformats.org/officeDocument/2006/relationships/hyperlink" Target="https://doi.org/10.1108/IJPPM-10-2020-0538" TargetMode="External"/><Relationship Id="rId38" Type="http://schemas.openxmlformats.org/officeDocument/2006/relationships/hyperlink" Target="https://doi.org/10.1027/1866-5888/a000009" TargetMode="External"/><Relationship Id="rId46" Type="http://schemas.openxmlformats.org/officeDocument/2006/relationships/hyperlink" Target="https://doi.org/10.1177/1094428107308906" TargetMode="External"/><Relationship Id="rId59" Type="http://schemas.openxmlformats.org/officeDocument/2006/relationships/hyperlink" Target="https://doi.org/10.4236/psych.2020.112019" TargetMode="External"/><Relationship Id="rId20" Type="http://schemas.openxmlformats.org/officeDocument/2006/relationships/hyperlink" Target="https://doi.org/10.1146/annurev-orgpsych-031413-091305" TargetMode="External"/><Relationship Id="rId41" Type="http://schemas.openxmlformats.org/officeDocument/2006/relationships/hyperlink" Target="https://doi.org/10.1037/0021-9010.88.5.879" TargetMode="External"/><Relationship Id="rId54" Type="http://schemas.openxmlformats.org/officeDocument/2006/relationships/hyperlink" Target="https://doi.org/10.1002/job.2607"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287/mnsc.1060.0635" TargetMode="External"/><Relationship Id="rId23" Type="http://schemas.openxmlformats.org/officeDocument/2006/relationships/hyperlink" Target="https://doi.org/10.1037/0021-9010.91.4.802" TargetMode="External"/><Relationship Id="rId28" Type="http://schemas.openxmlformats.org/officeDocument/2006/relationships/hyperlink" Target="https://doi.org/10.1007/978-3-030-80519-7_4" TargetMode="External"/><Relationship Id="rId36" Type="http://schemas.openxmlformats.org/officeDocument/2006/relationships/hyperlink" Target="https://doi.org/10.1016/j.hrmr.2017.01.001" TargetMode="External"/><Relationship Id="rId49" Type="http://schemas.openxmlformats.org/officeDocument/2006/relationships/hyperlink" Target="https://doi.org/10.1037/0021-9010.88.5.954" TargetMode="External"/><Relationship Id="rId57" Type="http://schemas.openxmlformats.org/officeDocument/2006/relationships/hyperlink" Target="https://doi.org/10.1111/joop.12116" TargetMode="External"/><Relationship Id="rId10" Type="http://schemas.openxmlformats.org/officeDocument/2006/relationships/image" Target="media/image4.png"/><Relationship Id="rId31" Type="http://schemas.openxmlformats.org/officeDocument/2006/relationships/hyperlink" Target="https://doi.org/10.1111/j.1744-6570.2005.00672.x" TargetMode="External"/><Relationship Id="rId44" Type="http://schemas.openxmlformats.org/officeDocument/2006/relationships/hyperlink" Target="https://doi.org/10.1016/j.hitech.2017.04.006" TargetMode="External"/><Relationship Id="rId52" Type="http://schemas.openxmlformats.org/officeDocument/2006/relationships/hyperlink" Target="https://doi.org/10.1146/annurev-orgpsych-032117-104702" TargetMode="External"/><Relationship Id="rId60" Type="http://schemas.openxmlformats.org/officeDocument/2006/relationships/hyperlink" Target="https://doi.org/10.2307/306941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18458</Words>
  <Characters>105212</Characters>
  <Application>Microsoft Office Word</Application>
  <DocSecurity>0</DocSecurity>
  <Lines>876</Lines>
  <Paragraphs>246</Paragraphs>
  <ScaleCrop>false</ScaleCrop>
  <Company/>
  <LinksUpToDate>false</LinksUpToDate>
  <CharactersWithSpaces>123424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Autonomy as a promotor of intrapreneurship</dc:title>
  <dc:creator>Paul de Raaij</dc:creator>
  <cp:keywords/>
  <cp:lastModifiedBy>Paul de Raaij</cp:lastModifiedBy>
  <cp:revision>2</cp:revision>
  <dcterms:created xsi:type="dcterms:W3CDTF">2022-12-15T20:01:00Z</dcterms:created>
  <dcterms:modified xsi:type="dcterms:W3CDTF">2022-12-15T20:08:00Z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A Person-Environment fit view on autonomy and intrapreneurial behaviour, together with the influence of psychological safety.</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