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sz w:val="28"/>
          <w:szCs w:val="28"/>
          <w:rtl w:val="0"/>
          <w:lang w:val="en-US"/>
        </w:rPr>
        <w:t>AccountingAgents: A Multi-Agent LLM Framework for Accounting Firm Automation</w:t>
      </w:r>
    </w:p>
    <w:p>
      <w:pPr>
        <w:pStyle w:val="Body"/>
        <w:bidi w:val="0"/>
      </w:pPr>
      <w:r>
        <w:rPr>
          <w:rFonts w:ascii="Times New Roman" w:hAnsi="Times New Roman"/>
          <w:b w:val="1"/>
          <w:bCs w:val="1"/>
          <w:rtl w:val="0"/>
          <w:lang w:val="de-DE"/>
        </w:rPr>
        <w:t>Paul Desrochers</w:t>
      </w:r>
    </w:p>
    <w:p>
      <w:pPr>
        <w:pStyle w:val="Body"/>
        <w:bidi w:val="0"/>
      </w:pPr>
      <w:r>
        <w:rPr>
          <w:rFonts w:ascii="Times New Roman" w:hAnsi="Times New Roman"/>
          <w:outline w:val="0"/>
          <w:color w:val="444444"/>
          <w:sz w:val="18"/>
          <w:szCs w:val="18"/>
          <w:u w:color="444444"/>
          <w:rtl w:val="0"/>
          <w:lang w:val="en-US"/>
          <w14:textFill>
            <w14:solidFill>
              <w14:srgbClr w14:val="444444"/>
            </w14:solidFill>
          </w14:textFill>
        </w:rPr>
        <w:t xml:space="preserve">Independent Researcher </w:t>
      </w:r>
      <w:r>
        <w:rPr>
          <w:rFonts w:ascii="Times New Roman" w:hAnsi="Times New Roman" w:hint="default"/>
          <w:outline w:val="0"/>
          <w:color w:val="444444"/>
          <w:sz w:val="18"/>
          <w:szCs w:val="18"/>
          <w:u w:color="444444"/>
          <w:rtl w:val="0"/>
          <w:lang w:val="de-DE"/>
          <w14:textFill>
            <w14:solidFill>
              <w14:srgbClr w14:val="444444"/>
            </w14:solidFill>
          </w14:textFill>
        </w:rPr>
        <w:t xml:space="preserve">· </w:t>
      </w:r>
      <w:r>
        <w:rPr>
          <w:rFonts w:ascii="Times New Roman" w:hAnsi="Times New Roman"/>
          <w:outline w:val="0"/>
          <w:color w:val="444444"/>
          <w:sz w:val="18"/>
          <w:szCs w:val="18"/>
          <w:u w:color="444444"/>
          <w:rtl w:val="0"/>
          <w:lang w:val="es-ES_tradnl"/>
          <w14:textFill>
            <w14:solidFill>
              <w14:srgbClr w14:val="444444"/>
            </w14:solidFill>
          </w14:textFill>
        </w:rPr>
        <w:t xml:space="preserve">Quebec, Canada </w:t>
      </w:r>
      <w:r>
        <w:rPr>
          <w:rFonts w:ascii="Times New Roman" w:hAnsi="Times New Roman" w:hint="default"/>
          <w:outline w:val="0"/>
          <w:color w:val="444444"/>
          <w:sz w:val="18"/>
          <w:szCs w:val="18"/>
          <w:u w:color="444444"/>
          <w:rtl w:val="0"/>
          <w:lang w:val="de-DE"/>
          <w14:textFill>
            <w14:solidFill>
              <w14:srgbClr w14:val="444444"/>
            </w14:solidFill>
          </w14:textFill>
        </w:rPr>
        <w:t xml:space="preserve">· </w:t>
      </w:r>
      <w:r>
        <w:rPr>
          <w:rFonts w:ascii="Times New Roman" w:hAnsi="Times New Roman"/>
          <w:outline w:val="0"/>
          <w:color w:val="444444"/>
          <w:sz w:val="18"/>
          <w:szCs w:val="18"/>
          <w:u w:color="444444"/>
          <w:rtl w:val="0"/>
          <w:lang w:val="en-US"/>
          <w14:textFill>
            <w14:solidFill>
              <w14:srgbClr w14:val="444444"/>
            </w14:solidFill>
          </w14:textFill>
        </w:rPr>
        <w:t>pdesrochers.ai.research@gmail.com</w:t>
      </w:r>
    </w:p>
    <w:p>
      <w:pPr>
        <w:pStyle w:val="Body"/>
        <w:bidi w:val="0"/>
      </w:pPr>
      <w:r>
        <w:rPr>
          <w:rFonts w:ascii="Times New Roman" w:hAnsi="Times New Roman"/>
          <w:outline w:val="0"/>
          <w:color w:val="666666"/>
          <w:sz w:val="18"/>
          <w:szCs w:val="18"/>
          <w:u w:color="666666"/>
          <w:rtl w:val="0"/>
          <w:lang w:val="en-US"/>
          <w14:textFill>
            <w14:solidFill>
              <w14:srgbClr w14:val="666666"/>
            </w14:solidFill>
          </w14:textFill>
        </w:rPr>
        <w:t xml:space="preserve">Preprint </w:t>
      </w:r>
      <w:r>
        <w:rPr>
          <w:rFonts w:ascii="Times New Roman" w:hAnsi="Times New Roman" w:hint="default"/>
          <w:outline w:val="0"/>
          <w:color w:val="666666"/>
          <w:sz w:val="18"/>
          <w:szCs w:val="18"/>
          <w:u w:color="666666"/>
          <w:rtl w:val="0"/>
          <w:lang w:val="de-DE"/>
          <w14:textFill>
            <w14:solidFill>
              <w14:srgbClr w14:val="666666"/>
            </w14:solidFill>
          </w14:textFill>
        </w:rPr>
        <w:t xml:space="preserve">· </w:t>
      </w:r>
      <w:r>
        <w:rPr>
          <w:rFonts w:ascii="Times New Roman" w:hAnsi="Times New Roman"/>
          <w:outline w:val="0"/>
          <w:color w:val="666666"/>
          <w:sz w:val="18"/>
          <w:szCs w:val="18"/>
          <w:u w:color="666666"/>
          <w:rtl w:val="0"/>
          <w:lang w:val="it-IT"/>
          <w14:textFill>
            <w14:solidFill>
              <w14:srgbClr w14:val="666666"/>
            </w14:solidFill>
          </w14:textFill>
        </w:rPr>
        <w:t>April 2026</w:t>
      </w:r>
    </w:p>
    <w:p>
      <w:pPr>
        <w:pStyle w:val="Body"/>
        <w:bidi w:val="0"/>
      </w:pPr>
      <w:r>
        <w:rPr>
          <w:rFonts w:ascii="Times New Roman" w:hAnsi="Times New Roman"/>
          <w:b w:val="1"/>
          <w:bCs w:val="1"/>
          <w:sz w:val="20"/>
          <w:szCs w:val="20"/>
          <w:rtl w:val="0"/>
          <w:lang w:val="de-DE"/>
        </w:rPr>
        <w:t>Abstract</w:t>
      </w:r>
    </w:p>
    <w:p>
      <w:pPr>
        <w:pStyle w:val="Body"/>
        <w:bidi w:val="0"/>
      </w:pPr>
      <w:r>
        <w:rPr>
          <w:rFonts w:ascii="Times New Roman" w:hAnsi="Times New Roman"/>
          <w:sz w:val="20"/>
          <w:szCs w:val="20"/>
          <w:rtl w:val="0"/>
          <w:lang w:val="en-US"/>
        </w:rPr>
        <w:t xml:space="preserve">We present AccountingAgents, a novel multi-agent Large Language Model (LLM) framework inspired by the organizational structure of professional accounting firms. Drawing a direct parallel to TradingAgents [1] in financial trading, AccountingAgents defines specialized agent roles </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Ingestion, Reconciliation, Reporting, Compliance, Accounts Receivable (AR), Accounts Payable (AP), and Onboarding </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coordinated by a central Supervisor via a structured SharedState. Unlike existing commercial solutions (Intuit Assist, Pilot AI) that operate as closed, monolithic systems, our framework is open, composable, and MCP-native, </w:t>
      </w:r>
      <w:r>
        <w:rPr>
          <w:rFonts w:ascii="Times New Roman" w:hAnsi="Times New Roman"/>
          <w:sz w:val="20"/>
          <w:szCs w:val="20"/>
          <w:rtl w:val="0"/>
          <w:lang w:val="fr-FR"/>
        </w:rPr>
        <w:t>l</w:t>
      </w:r>
      <w:r>
        <w:rPr>
          <w:rFonts w:ascii="Times New Roman" w:hAnsi="Times New Roman"/>
          <w:sz w:val="20"/>
          <w:szCs w:val="20"/>
          <w:rtl w:val="0"/>
          <w:lang w:val="en-US"/>
        </w:rPr>
        <w:t xml:space="preserve">everaging official Model Context Protocol servers (e.g., QuickBooks Online MCP, Google Workspace MCP) as representative integrations. A key contribution is the design of an asynchronous Human-in-the-Loop (HITL) mechanism that suspends agent threads via LangGraph's interrupt() primitive, notifies the supervising accountant by </w:t>
      </w:r>
      <w:r>
        <w:rPr>
          <w:rFonts w:ascii="Times New Roman" w:hAnsi="Times New Roman"/>
          <w:sz w:val="20"/>
          <w:szCs w:val="20"/>
          <w:rtl w:val="0"/>
          <w:lang w:val="fr-FR"/>
        </w:rPr>
        <w:t>any instant messaging mechanism (eg Gmail, Slack, etc)</w:t>
      </w:r>
      <w:r>
        <w:rPr>
          <w:rFonts w:ascii="Times New Roman" w:hAnsi="Times New Roman"/>
          <w:sz w:val="20"/>
          <w:szCs w:val="20"/>
          <w:rtl w:val="0"/>
          <w:lang w:val="en-US"/>
        </w:rPr>
        <w:t xml:space="preserve">, and resumes execution upon webhook-delivered approval </w:t>
      </w:r>
      <w:r>
        <w:rPr>
          <w:rFonts w:ascii="Times New Roman" w:hAnsi="Times New Roman" w:hint="default"/>
          <w:sz w:val="20"/>
          <w:szCs w:val="20"/>
          <w:rtl w:val="0"/>
          <w:lang w:val="en-US"/>
        </w:rPr>
        <w:t xml:space="preserve">— </w:t>
      </w:r>
      <w:r>
        <w:rPr>
          <w:rFonts w:ascii="Times New Roman" w:hAnsi="Times New Roman"/>
          <w:sz w:val="20"/>
          <w:szCs w:val="20"/>
          <w:rtl w:val="0"/>
          <w:lang w:val="en-US"/>
        </w:rPr>
        <w:t>enabling mobile, real-world oversight without a dedicated console. The framework targets small-to-medium accounting firms underserved by enterprise solutions.</w:t>
      </w:r>
    </w:p>
    <w:p>
      <w:pPr>
        <w:pStyle w:val="Body"/>
        <w:bidi w:val="0"/>
      </w:pPr>
      <w:r>
        <w:rPr>
          <w:rFonts w:ascii="Times New Roman" w:hAnsi="Times New Roman"/>
          <w:b w:val="1"/>
          <w:bCs w:val="1"/>
          <w:sz w:val="18"/>
          <w:szCs w:val="18"/>
          <w:rtl w:val="0"/>
          <w:lang w:val="en-US"/>
        </w:rPr>
        <w:t xml:space="preserve">Keywords: </w:t>
      </w:r>
      <w:r>
        <w:rPr>
          <w:rFonts w:ascii="Times New Roman" w:hAnsi="Times New Roman"/>
          <w:sz w:val="18"/>
          <w:szCs w:val="18"/>
          <w:rtl w:val="0"/>
          <w:lang w:val="en-US"/>
        </w:rPr>
        <w:t xml:space="preserve">multi-agent systems </w:t>
      </w:r>
      <w:r>
        <w:rPr>
          <w:rFonts w:ascii="Times New Roman" w:hAnsi="Times New Roman" w:hint="default"/>
          <w:sz w:val="18"/>
          <w:szCs w:val="18"/>
          <w:rtl w:val="0"/>
          <w:lang w:val="de-DE"/>
        </w:rPr>
        <w:t xml:space="preserve">· </w:t>
      </w:r>
      <w:r>
        <w:rPr>
          <w:rFonts w:ascii="Times New Roman" w:hAnsi="Times New Roman"/>
          <w:sz w:val="18"/>
          <w:szCs w:val="18"/>
          <w:rtl w:val="0"/>
          <w:lang w:val="da-DK"/>
        </w:rPr>
        <w:t xml:space="preserve">LLM </w:t>
      </w:r>
      <w:r>
        <w:rPr>
          <w:rFonts w:ascii="Times New Roman" w:hAnsi="Times New Roman" w:hint="default"/>
          <w:sz w:val="18"/>
          <w:szCs w:val="18"/>
          <w:rtl w:val="0"/>
          <w:lang w:val="de-DE"/>
        </w:rPr>
        <w:t xml:space="preserve">· </w:t>
      </w:r>
      <w:r>
        <w:rPr>
          <w:rFonts w:ascii="Times New Roman" w:hAnsi="Times New Roman"/>
          <w:sz w:val="18"/>
          <w:szCs w:val="18"/>
          <w:rtl w:val="0"/>
          <w:lang w:val="en-US"/>
        </w:rPr>
        <w:t xml:space="preserve">accounting automation </w:t>
      </w:r>
      <w:r>
        <w:rPr>
          <w:rFonts w:ascii="Times New Roman" w:hAnsi="Times New Roman" w:hint="default"/>
          <w:sz w:val="18"/>
          <w:szCs w:val="18"/>
          <w:rtl w:val="0"/>
          <w:lang w:val="de-DE"/>
        </w:rPr>
        <w:t xml:space="preserve">· </w:t>
      </w:r>
      <w:r>
        <w:rPr>
          <w:rFonts w:ascii="Times New Roman" w:hAnsi="Times New Roman"/>
          <w:sz w:val="18"/>
          <w:szCs w:val="18"/>
          <w:rtl w:val="0"/>
          <w:lang w:val="en-US"/>
        </w:rPr>
        <w:t xml:space="preserve">human-in-the-loop </w:t>
      </w:r>
      <w:r>
        <w:rPr>
          <w:rFonts w:ascii="Times New Roman" w:hAnsi="Times New Roman" w:hint="default"/>
          <w:sz w:val="18"/>
          <w:szCs w:val="18"/>
          <w:rtl w:val="0"/>
          <w:lang w:val="de-DE"/>
        </w:rPr>
        <w:t xml:space="preserve">· </w:t>
      </w:r>
      <w:r>
        <w:rPr>
          <w:rFonts w:ascii="Times New Roman" w:hAnsi="Times New Roman"/>
          <w:sz w:val="18"/>
          <w:szCs w:val="18"/>
          <w:rtl w:val="0"/>
          <w:lang w:val="pt-PT"/>
        </w:rPr>
        <w:t xml:space="preserve">MCP </w:t>
      </w:r>
      <w:r>
        <w:rPr>
          <w:rFonts w:ascii="Times New Roman" w:hAnsi="Times New Roman" w:hint="default"/>
          <w:sz w:val="18"/>
          <w:szCs w:val="18"/>
          <w:rtl w:val="0"/>
          <w:lang w:val="de-DE"/>
        </w:rPr>
        <w:t xml:space="preserve">· </w:t>
      </w:r>
      <w:r>
        <w:rPr>
          <w:rFonts w:ascii="Times New Roman" w:hAnsi="Times New Roman"/>
          <w:sz w:val="18"/>
          <w:szCs w:val="18"/>
          <w:rtl w:val="0"/>
          <w:lang w:val="fr-FR"/>
        </w:rPr>
        <w:t xml:space="preserve">LangGraph </w:t>
      </w:r>
      <w:r>
        <w:rPr>
          <w:rFonts w:ascii="Times New Roman" w:hAnsi="Times New Roman" w:hint="default"/>
          <w:sz w:val="18"/>
          <w:szCs w:val="18"/>
          <w:rtl w:val="0"/>
          <w:lang w:val="de-DE"/>
        </w:rPr>
        <w:t xml:space="preserve">· </w:t>
      </w:r>
      <w:r>
        <w:rPr>
          <w:rFonts w:ascii="Times New Roman" w:hAnsi="Times New Roman"/>
          <w:sz w:val="18"/>
          <w:szCs w:val="18"/>
          <w:rtl w:val="0"/>
          <w:lang w:val="en-US"/>
        </w:rPr>
        <w:t>QuickBooks Online</w:t>
      </w:r>
    </w:p>
    <w:p>
      <w:pPr>
        <w:pStyle w:val="Body"/>
        <w:bidi w:val="0"/>
      </w:pPr>
    </w:p>
    <w:p>
      <w:pPr>
        <w:pStyle w:val="Heading"/>
        <w:spacing w:before="240"/>
      </w:pPr>
      <w:r>
        <w:rPr>
          <w:rtl w:val="0"/>
          <w:lang w:val="fr-FR"/>
        </w:rPr>
        <w:t>1. Introduction</w:t>
      </w:r>
    </w:p>
    <w:p>
      <w:pPr>
        <w:pStyle w:val="Heading"/>
        <w:spacing w:before="240"/>
      </w:pPr>
      <w:r>
        <w:rPr>
          <w:b w:val="0"/>
          <w:bCs w:val="0"/>
          <w:outline w:val="0"/>
          <w:color w:val="000000"/>
          <w:sz w:val="20"/>
          <w:szCs w:val="20"/>
          <w:u w:color="000000"/>
          <w:rtl w:val="0"/>
          <w:lang w:val="en-US"/>
          <w14:textFill>
            <w14:solidFill>
              <w14:srgbClr w14:val="000000"/>
            </w14:solidFill>
          </w14:textFill>
        </w:rPr>
        <w:t xml:space="preserve">Autonomous agents powered by Large Language Models (LLMs) have demonstrated transformative potential across domains requiring complex, multi-step reasoning and tool use. In finance, the TradingAgents framework </w:t>
      </w:r>
      <w:r>
        <w:rPr>
          <w:b w:val="0"/>
          <w:bCs w:val="0"/>
          <w:outline w:val="0"/>
          <w:color w:val="000000"/>
          <w:sz w:val="16"/>
          <w:szCs w:val="16"/>
          <w:u w:color="000000"/>
          <w:vertAlign w:val="superscript"/>
          <w:rtl w:val="0"/>
          <w:lang w:val="pt-PT"/>
          <w14:textFill>
            <w14:solidFill>
              <w14:srgbClr w14:val="000000"/>
            </w14:solidFill>
          </w14:textFill>
        </w:rPr>
        <w:t>[1]</w:t>
      </w:r>
      <w:r>
        <w:rPr>
          <w:b w:val="0"/>
          <w:bCs w:val="0"/>
          <w:outline w:val="0"/>
          <w:color w:val="000000"/>
          <w:sz w:val="20"/>
          <w:szCs w:val="20"/>
          <w:u w:color="000000"/>
          <w:rtl w:val="0"/>
          <w:lang w:val="en-US"/>
          <w14:textFill>
            <w14:solidFill>
              <w14:srgbClr w14:val="000000"/>
            </w14:solidFill>
          </w14:textFill>
        </w:rPr>
        <w:t xml:space="preserve"> established a compelling paradigm: modelling the multi-agent decision process of a professional trading firm, with specialized roles for analysts, researchers, traders, and risk managers communicating through structured state rather than unstructured natural language. This design addresses two fundamental limitations of prior systems — the absence of realistic organizational modelling, and the "telephone effect" of context corruption across long natural language histories.</w:t>
      </w:r>
    </w:p>
    <w:p>
      <w:pPr>
        <w:pStyle w:val="Heading"/>
        <w:spacing w:before="240"/>
      </w:pPr>
      <w:r>
        <w:rPr>
          <w:b w:val="0"/>
          <w:bCs w:val="0"/>
          <w:outline w:val="0"/>
          <w:color w:val="000000"/>
          <w:sz w:val="20"/>
          <w:szCs w:val="20"/>
          <w:u w:color="000000"/>
          <w:rtl w:val="0"/>
          <w:lang w:val="en-US"/>
          <w14:textFill>
            <w14:solidFill>
              <w14:srgbClr w14:val="000000"/>
            </w14:solidFill>
          </w14:textFill>
        </w:rPr>
        <w:t xml:space="preserve">We observe that the accounting profession presents an analogous opportunity. A typical accounting firm processes hundreds of documents weekly — invoices, bank statements, tax filings, client correspondence — executing workflows that are highly structured, role-based, and subject to strict regulatory constraints. Despite a booming market for AI-assisted accounting (projected at $96.69B by 2033 </w:t>
      </w:r>
      <w:r>
        <w:rPr>
          <w:b w:val="0"/>
          <w:bCs w:val="0"/>
          <w:outline w:val="0"/>
          <w:color w:val="000000"/>
          <w:sz w:val="16"/>
          <w:szCs w:val="16"/>
          <w:u w:color="000000"/>
          <w:vertAlign w:val="superscript"/>
          <w:rtl w:val="0"/>
          <w:lang w:val="pt-PT"/>
          <w14:textFill>
            <w14:solidFill>
              <w14:srgbClr w14:val="000000"/>
            </w14:solidFill>
          </w14:textFill>
        </w:rPr>
        <w:t>[2]</w:t>
      </w:r>
      <w:r>
        <w:rPr>
          <w:b w:val="0"/>
          <w:bCs w:val="0"/>
          <w:outline w:val="0"/>
          <w:color w:val="000000"/>
          <w:sz w:val="20"/>
          <w:szCs w:val="20"/>
          <w:u w:color="000000"/>
          <w:rtl w:val="0"/>
          <w:lang w:val="en-US"/>
          <w14:textFill>
            <w14:solidFill>
              <w14:srgbClr w14:val="000000"/>
            </w14:solidFill>
          </w14:textFill>
        </w:rPr>
        <w:t>), existing solutions are either monolithic commercial products with vendor lock-in, or isolated single-agent tools that address narrow tasks without organizational coherence.</w:t>
      </w:r>
    </w:p>
    <w:p>
      <w:pPr>
        <w:pStyle w:val="Heading"/>
        <w:spacing w:before="240"/>
      </w:pPr>
      <w:r>
        <w:rPr>
          <w:b w:val="0"/>
          <w:bCs w:val="0"/>
          <w:outline w:val="0"/>
          <w:color w:val="000000"/>
          <w:sz w:val="20"/>
          <w:szCs w:val="20"/>
          <w:u w:color="000000"/>
          <w:rtl w:val="0"/>
          <w:lang w:val="en-US"/>
          <w14:textFill>
            <w14:solidFill>
              <w14:srgbClr w14:val="000000"/>
            </w14:solidFill>
          </w14:textFill>
        </w:rPr>
        <w:t xml:space="preserve">This paper introduces </w:t>
      </w:r>
      <w:r>
        <w:rPr>
          <w:outline w:val="0"/>
          <w:color w:val="000000"/>
          <w:sz w:val="20"/>
          <w:szCs w:val="20"/>
          <w:u w:color="000000"/>
          <w:rtl w:val="0"/>
          <w:lang w:val="en-US"/>
          <w14:textFill>
            <w14:solidFill>
              <w14:srgbClr w14:val="000000"/>
            </w14:solidFill>
          </w14:textFill>
        </w:rPr>
        <w:t>AccountingAgents</w:t>
      </w:r>
      <w:r>
        <w:rPr>
          <w:b w:val="0"/>
          <w:bCs w:val="0"/>
          <w:outline w:val="0"/>
          <w:color w:val="000000"/>
          <w:sz w:val="20"/>
          <w:szCs w:val="20"/>
          <w:u w:color="000000"/>
          <w:rtl w:val="0"/>
          <w:lang w:val="en-US"/>
          <w14:textFill>
            <w14:solidFill>
              <w14:srgbClr w14:val="000000"/>
            </w14:solidFill>
          </w14:textFill>
        </w:rPr>
        <w:t>, a multi-agent LLM framework that replicates the collaborative structure of a professional accounting firm. Our primary contributions are: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A role-specialized multi-agent architecture mirroring real accounting firm workflows built on LangGraph StateGraph with a structured SharedState;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Native integration with official MCP servers (QuickBooks Online, Gmail, Google Drive, Google Calendar) eliminating fragile custom API wrappers;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An asynchronous Human-in-the-Loop (HITL) mechanism using LangGraph interrupt(), any MCP-compatible messaging channel, and a lightweight webhook endpoint enabling mobile approval without a dedicated console;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A four-level HITL escalation model calibrated to accounting risk profiles (automated, notify, approve, transfer);</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Open-source positioning serving small-to-medium firms underserved by enterprise solutions.</w:t>
      </w:r>
    </w:p>
    <w:p>
      <w:pPr>
        <w:pStyle w:val="List Paragraph"/>
        <w:spacing w:after="80"/>
      </w:pPr>
    </w:p>
    <w:p>
      <w:pPr>
        <w:pStyle w:val="Heading"/>
        <w:spacing w:before="240"/>
      </w:pPr>
      <w:r>
        <w:rPr>
          <w:rtl w:val="0"/>
          <w:lang w:val="en-US"/>
        </w:rPr>
        <w:t>2. Related Work</w:t>
      </w:r>
    </w:p>
    <w:p>
      <w:pPr>
        <w:pStyle w:val="Heading 2"/>
        <w:spacing w:before="240" w:after="120"/>
      </w:pPr>
      <w:r>
        <w:rPr>
          <w:rtl w:val="0"/>
          <w:lang w:val="en-US"/>
        </w:rPr>
        <w:t>2.1 Multi-Agent LLM Frameworks in Finance</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 xml:space="preserve">TradingAgents </w:t>
      </w:r>
      <w:r>
        <w:rPr>
          <w:b w:val="0"/>
          <w:bCs w:val="0"/>
          <w:outline w:val="0"/>
          <w:color w:val="000000"/>
          <w:sz w:val="16"/>
          <w:szCs w:val="16"/>
          <w:u w:color="000000"/>
          <w:vertAlign w:val="superscript"/>
          <w:rtl w:val="0"/>
          <w:lang w:val="pt-PT"/>
          <w14:textFill>
            <w14:solidFill>
              <w14:srgbClr w14:val="000000"/>
            </w14:solidFill>
          </w14:textFill>
        </w:rPr>
        <w:t>[1]</w:t>
      </w:r>
      <w:r>
        <w:rPr>
          <w:b w:val="0"/>
          <w:bCs w:val="0"/>
          <w:outline w:val="0"/>
          <w:color w:val="000000"/>
          <w:sz w:val="20"/>
          <w:szCs w:val="20"/>
          <w:u w:color="000000"/>
          <w:rtl w:val="0"/>
          <w:lang w:val="en-US"/>
          <w14:textFill>
            <w14:solidFill>
              <w14:srgbClr w14:val="000000"/>
            </w14:solidFill>
          </w14:textFill>
        </w:rPr>
        <w:t xml:space="preserve"> proposes a stock trading framework with five specialized teams — Analysts, Researchers (Bull/Bear debaters), Traders, Risk Managers, and a Fund Manager — communicating via structured outputs. This design yields measurable improvements in Sharpe ratio and maximum drawdown over single-agent baselines. FinDebate </w:t>
      </w:r>
      <w:r>
        <w:rPr>
          <w:b w:val="0"/>
          <w:bCs w:val="0"/>
          <w:outline w:val="0"/>
          <w:color w:val="000000"/>
          <w:sz w:val="16"/>
          <w:szCs w:val="16"/>
          <w:u w:color="000000"/>
          <w:vertAlign w:val="superscript"/>
          <w:rtl w:val="0"/>
          <w:lang w:val="pt-PT"/>
          <w14:textFill>
            <w14:solidFill>
              <w14:srgbClr w14:val="000000"/>
            </w14:solidFill>
          </w14:textFill>
        </w:rPr>
        <w:t>[3]</w:t>
      </w:r>
      <w:r>
        <w:rPr>
          <w:b w:val="0"/>
          <w:bCs w:val="0"/>
          <w:outline w:val="0"/>
          <w:color w:val="000000"/>
          <w:sz w:val="20"/>
          <w:szCs w:val="20"/>
          <w:u w:color="000000"/>
          <w:rtl w:val="0"/>
          <w:lang w:val="en-US"/>
          <w14:textFill>
            <w14:solidFill>
              <w14:srgbClr w14:val="000000"/>
            </w14:solidFill>
          </w14:textFill>
        </w:rPr>
        <w:t xml:space="preserve"> extends debate-driven reasoning to financial analysis reports. A recent arXiv benchmark </w:t>
      </w:r>
      <w:r>
        <w:rPr>
          <w:b w:val="0"/>
          <w:bCs w:val="0"/>
          <w:outline w:val="0"/>
          <w:color w:val="000000"/>
          <w:sz w:val="16"/>
          <w:szCs w:val="16"/>
          <w:u w:color="000000"/>
          <w:vertAlign w:val="superscript"/>
          <w:rtl w:val="0"/>
          <w:lang w:val="pt-PT"/>
          <w14:textFill>
            <w14:solidFill>
              <w14:srgbClr w14:val="000000"/>
            </w14:solidFill>
          </w14:textFill>
        </w:rPr>
        <w:t>[4]</w:t>
      </w:r>
      <w:r>
        <w:rPr>
          <w:b w:val="0"/>
          <w:bCs w:val="0"/>
          <w:outline w:val="0"/>
          <w:color w:val="000000"/>
          <w:sz w:val="20"/>
          <w:szCs w:val="20"/>
          <w:u w:color="000000"/>
          <w:rtl w:val="0"/>
          <w:lang w:val="en-US"/>
          <w14:textFill>
            <w14:solidFill>
              <w14:srgbClr w14:val="000000"/>
            </w14:solidFill>
          </w14:textFill>
        </w:rPr>
        <w:t xml:space="preserve"> evaluates four multi-agent orchestration architectures (sequential pipeline, parallel fan-out, hierarchical supervisor-worker, reflexive self-correcting) on 10,000 SEC filings, finding hierarchical architectures occupy the most favorable cost-accuracy Pareto frontier (F1 0.921 at 1.4x cost). AccountingAgents adopts a hierarchical supervisor-worker architecture, consistent with these findings.</w:t>
      </w:r>
    </w:p>
    <w:p>
      <w:pPr>
        <w:pStyle w:val="Heading 2"/>
        <w:spacing w:before="240" w:after="120"/>
      </w:pPr>
      <w:r>
        <w:rPr>
          <w:rtl w:val="0"/>
          <w:lang w:val="en-US"/>
        </w:rPr>
        <w:t>2.2 AI in Accounting</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 xml:space="preserve">Commercial solutions such as Intuit Assist </w:t>
      </w:r>
      <w:r>
        <w:rPr>
          <w:b w:val="0"/>
          <w:bCs w:val="0"/>
          <w:outline w:val="0"/>
          <w:color w:val="000000"/>
          <w:sz w:val="16"/>
          <w:szCs w:val="16"/>
          <w:u w:color="000000"/>
          <w:vertAlign w:val="superscript"/>
          <w:rtl w:val="0"/>
          <w:lang w:val="pt-PT"/>
          <w14:textFill>
            <w14:solidFill>
              <w14:srgbClr w14:val="000000"/>
            </w14:solidFill>
          </w14:textFill>
        </w:rPr>
        <w:t>[5]</w:t>
      </w:r>
      <w:r>
        <w:rPr>
          <w:b w:val="0"/>
          <w:bCs w:val="0"/>
          <w:outline w:val="0"/>
          <w:color w:val="000000"/>
          <w:sz w:val="20"/>
          <w:szCs w:val="20"/>
          <w:u w:color="000000"/>
          <w:rtl w:val="0"/>
          <w:lang w:val="en-US"/>
          <w14:textFill>
            <w14:solidFill>
              <w14:srgbClr w14:val="000000"/>
            </w14:solidFill>
          </w14:textFill>
        </w:rPr>
        <w:t xml:space="preserve">, Pilot AI </w:t>
      </w:r>
      <w:r>
        <w:rPr>
          <w:b w:val="0"/>
          <w:bCs w:val="0"/>
          <w:outline w:val="0"/>
          <w:color w:val="000000"/>
          <w:sz w:val="16"/>
          <w:szCs w:val="16"/>
          <w:u w:color="000000"/>
          <w:vertAlign w:val="superscript"/>
          <w:rtl w:val="0"/>
          <w:lang w:val="pt-PT"/>
          <w14:textFill>
            <w14:solidFill>
              <w14:srgbClr w14:val="000000"/>
            </w14:solidFill>
          </w14:textFill>
        </w:rPr>
        <w:t>[6]</w:t>
      </w:r>
      <w:r>
        <w:rPr>
          <w:b w:val="0"/>
          <w:bCs w:val="0"/>
          <w:outline w:val="0"/>
          <w:color w:val="000000"/>
          <w:sz w:val="20"/>
          <w:szCs w:val="20"/>
          <w:u w:color="000000"/>
          <w:rtl w:val="0"/>
          <w:lang w:val="en-US"/>
          <w14:textFill>
            <w14:solidFill>
              <w14:srgbClr w14:val="000000"/>
            </w14:solidFill>
          </w14:textFill>
        </w:rPr>
        <w:t xml:space="preserve">, Docyt, and FloQast provide AI-assisted bookkeeping within closed ecosystems. Intuit reports that its AI reduces reconciliation time by ~3x and that 74% of customers post transactions faster </w:t>
      </w:r>
      <w:r>
        <w:rPr>
          <w:b w:val="0"/>
          <w:bCs w:val="0"/>
          <w:outline w:val="0"/>
          <w:color w:val="000000"/>
          <w:sz w:val="16"/>
          <w:szCs w:val="16"/>
          <w:u w:color="000000"/>
          <w:vertAlign w:val="superscript"/>
          <w:rtl w:val="0"/>
          <w:lang w:val="pt-PT"/>
          <w14:textFill>
            <w14:solidFill>
              <w14:srgbClr w14:val="000000"/>
            </w14:solidFill>
          </w14:textFill>
        </w:rPr>
        <w:t>[5]</w:t>
      </w:r>
      <w:r>
        <w:rPr>
          <w:b w:val="0"/>
          <w:bCs w:val="0"/>
          <w:outline w:val="0"/>
          <w:color w:val="000000"/>
          <w:sz w:val="20"/>
          <w:szCs w:val="20"/>
          <w:u w:color="000000"/>
          <w:rtl w:val="0"/>
          <w:lang w:val="en-US"/>
          <w14:textFill>
            <w14:solidFill>
              <w14:srgbClr w14:val="000000"/>
            </w14:solidFill>
          </w14:textFill>
        </w:rPr>
        <w:t>. However, these systems are opaque, expensive for small firms, and not calibrated to regional regulatory contexts (e.g., Canadian GST/HST, Revenu Qu</w:t>
      </w:r>
      <w:r>
        <w:rPr>
          <w:b w:val="0"/>
          <w:bCs w:val="0"/>
          <w:outline w:val="0"/>
          <w:color w:val="000000"/>
          <w:sz w:val="20"/>
          <w:szCs w:val="20"/>
          <w:u w:color="000000"/>
          <w:rtl w:val="0"/>
          <w:lang w:val="fr-FR"/>
          <w14:textFill>
            <w14:solidFill>
              <w14:srgbClr w14:val="000000"/>
            </w14:solidFill>
          </w14:textFill>
        </w:rPr>
        <w:t>é</w:t>
      </w:r>
      <w:r>
        <w:rPr>
          <w:b w:val="0"/>
          <w:bCs w:val="0"/>
          <w:outline w:val="0"/>
          <w:color w:val="000000"/>
          <w:sz w:val="20"/>
          <w:szCs w:val="20"/>
          <w:u w:color="000000"/>
          <w:rtl w:val="0"/>
          <w:lang w:val="en-US"/>
          <w14:textFill>
            <w14:solidFill>
              <w14:srgbClr w14:val="000000"/>
            </w14:solidFill>
          </w14:textFill>
        </w:rPr>
        <w:t xml:space="preserve">bec). On the open-source side, panaversity/accounts_ai </w:t>
      </w:r>
      <w:r>
        <w:rPr>
          <w:b w:val="0"/>
          <w:bCs w:val="0"/>
          <w:outline w:val="0"/>
          <w:color w:val="000000"/>
          <w:sz w:val="16"/>
          <w:szCs w:val="16"/>
          <w:u w:color="000000"/>
          <w:vertAlign w:val="superscript"/>
          <w:rtl w:val="0"/>
          <w:lang w:val="pt-PT"/>
          <w14:textFill>
            <w14:solidFill>
              <w14:srgbClr w14:val="000000"/>
            </w14:solidFill>
          </w14:textFill>
        </w:rPr>
        <w:t>[7]</w:t>
      </w:r>
      <w:r>
        <w:rPr>
          <w:b w:val="0"/>
          <w:bCs w:val="0"/>
          <w:outline w:val="0"/>
          <w:color w:val="000000"/>
          <w:sz w:val="20"/>
          <w:szCs w:val="20"/>
          <w:u w:color="000000"/>
          <w:rtl w:val="0"/>
          <w:lang w:val="en-US"/>
          <w14:textFill>
            <w14:solidFill>
              <w14:srgbClr w14:val="000000"/>
            </w14:solidFill>
          </w14:textFill>
        </w:rPr>
        <w:t xml:space="preserve"> proposes an AI accounting co-pilot but remains at the architectural design stage without experimental validation. To our knowledge, no published academic work proposes a complete multi-agent LLM framework modelled on accounting firm organizational structure.</w:t>
      </w:r>
    </w:p>
    <w:p>
      <w:pPr>
        <w:pStyle w:val="Heading 2"/>
        <w:spacing w:before="240" w:after="120"/>
      </w:pPr>
      <w:r>
        <w:rPr>
          <w:rtl w:val="0"/>
          <w:lang w:val="en-US"/>
        </w:rPr>
        <w:t>2.3 Human-in-the-Loop in Agentic Systems</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 xml:space="preserve">HITL mechanisms in agentic systems have been studied in the context of code generation (AlphaGPT </w:t>
      </w:r>
      <w:r>
        <w:rPr>
          <w:b w:val="0"/>
          <w:bCs w:val="0"/>
          <w:outline w:val="0"/>
          <w:color w:val="000000"/>
          <w:sz w:val="16"/>
          <w:szCs w:val="16"/>
          <w:u w:color="000000"/>
          <w:vertAlign w:val="superscript"/>
          <w:rtl w:val="0"/>
          <w:lang w:val="pt-PT"/>
          <w14:textFill>
            <w14:solidFill>
              <w14:srgbClr w14:val="000000"/>
            </w14:solidFill>
          </w14:textFill>
        </w:rPr>
        <w:t>[8]</w:t>
      </w:r>
      <w:r>
        <w:rPr>
          <w:b w:val="0"/>
          <w:bCs w:val="0"/>
          <w:outline w:val="0"/>
          <w:color w:val="000000"/>
          <w:sz w:val="20"/>
          <w:szCs w:val="20"/>
          <w:u w:color="000000"/>
          <w:rtl w:val="0"/>
          <w:lang w:val="en-US"/>
          <w14:textFill>
            <w14:solidFill>
              <w14:srgbClr w14:val="000000"/>
            </w14:solidFill>
          </w14:textFill>
        </w:rPr>
        <w:t xml:space="preserve">) and general task automation. LangGraph's interrupt() primitive </w:t>
      </w:r>
      <w:r>
        <w:rPr>
          <w:b w:val="0"/>
          <w:bCs w:val="0"/>
          <w:outline w:val="0"/>
          <w:color w:val="000000"/>
          <w:sz w:val="16"/>
          <w:szCs w:val="16"/>
          <w:u w:color="000000"/>
          <w:vertAlign w:val="superscript"/>
          <w:rtl w:val="0"/>
          <w:lang w:val="pt-PT"/>
          <w14:textFill>
            <w14:solidFill>
              <w14:srgbClr w14:val="000000"/>
            </w14:solidFill>
          </w14:textFill>
        </w:rPr>
        <w:t>[9]</w:t>
      </w:r>
      <w:r>
        <w:rPr>
          <w:b w:val="0"/>
          <w:bCs w:val="0"/>
          <w:outline w:val="0"/>
          <w:color w:val="000000"/>
          <w:sz w:val="20"/>
          <w:szCs w:val="20"/>
          <w:u w:color="000000"/>
          <w:rtl w:val="0"/>
          <w:lang w:val="en-US"/>
          <w14:textFill>
            <w14:solidFill>
              <w14:srgbClr w14:val="000000"/>
            </w14:solidFill>
          </w14:textFill>
        </w:rPr>
        <w:t xml:space="preserve"> provides a first-class HITL abstraction: threads are suspended, state is persisted via a checkpointer, and execution resumes upon external signal. Our contribution extends this to an asynchronous, mobile-friendly approval loop via any near-real-time communication mechanism (e.g., email, instant messaging), addressing the practical constraint that accounting supervisors are rarely at a workstation.</w:t>
      </w:r>
    </w:p>
    <w:p>
      <w:pPr>
        <w:pStyle w:val="Heading 2"/>
        <w:spacing w:before="240" w:after="120"/>
      </w:pPr>
    </w:p>
    <w:p>
      <w:pPr>
        <w:pStyle w:val="Heading"/>
        <w:spacing w:before="240"/>
      </w:pPr>
      <w:r>
        <w:rPr>
          <w:rtl w:val="0"/>
          <w:lang w:val="en-US"/>
        </w:rPr>
        <w:t>3. AccountingAgents Framework</w:t>
      </w:r>
    </w:p>
    <w:p>
      <w:pPr>
        <w:pStyle w:val="Heading 2"/>
        <w:spacing w:before="240" w:after="120"/>
      </w:pPr>
      <w:r>
        <w:rPr>
          <w:rtl w:val="0"/>
          <w:lang w:val="en-US"/>
        </w:rPr>
        <w:t>3.1 Design Principles</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AccountingAgents is governed by three principles inherited from TradingAgents and adapted to the accounting domain:</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Structured state as the sole communication channel. All agents read from and write to a typed SharedState (Python TypedDict), eliminating context corruption across long conversation histories.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Delta-based updates. Each agent node returns only the fields it modifies; LangGraph merges these automatically into the global state.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Framework complexity must be justified. A framework is adopted only when the complexity it manages exceeds the complexity it introduces.</w:t>
      </w:r>
    </w:p>
    <w:p>
      <w:pPr>
        <w:pStyle w:val="Heading 2"/>
        <w:spacing w:before="240" w:after="120"/>
      </w:pPr>
      <w:r>
        <w:rPr>
          <w:rtl w:val="0"/>
          <w:lang w:val="en-US"/>
        </w:rPr>
        <w:t>3.2 Overall Framework Organization</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The framework comprises seven specialized agents, organized sequentially with conditional routing by the Supervisor. Figure 1 illustrates the overall architecture.</w:t>
      </w:r>
    </w:p>
    <w:p>
      <w:pPr>
        <w:pStyle w:val="Heading 2"/>
        <w:spacing w:before="240" w:after="120"/>
      </w:pPr>
    </w:p>
    <w:p>
      <w:pPr>
        <w:pStyle w:val="Heading 2"/>
        <w:spacing w:before="240" w:after="120"/>
      </w:pPr>
      <w:r>
        <w:drawing xmlns:a="http://schemas.openxmlformats.org/drawingml/2006/main">
          <wp:inline distT="0" distB="0" distL="0" distR="0">
            <wp:extent cx="5905500" cy="4191000"/>
            <wp:effectExtent l="0" t="0" r="0" b="0"/>
            <wp:docPr id="1073741825" name="officeArt object" descr="9d075aada48fc896c8393bfab4ee2187a26e34d7.png"/>
            <wp:cNvGraphicFramePr/>
            <a:graphic xmlns:a="http://schemas.openxmlformats.org/drawingml/2006/main">
              <a:graphicData uri="http://schemas.openxmlformats.org/drawingml/2006/picture">
                <pic:pic xmlns:pic="http://schemas.openxmlformats.org/drawingml/2006/picture">
                  <pic:nvPicPr>
                    <pic:cNvPr id="1073741825" name="9d075aada48fc896c8393bfab4ee2187a26e34d7.png" descr="9d075aada48fc896c8393bfab4ee2187a26e34d7.png"/>
                    <pic:cNvPicPr>
                      <a:picLocks noChangeAspect="1"/>
                    </pic:cNvPicPr>
                  </pic:nvPicPr>
                  <pic:blipFill>
                    <a:blip r:embed="rId4">
                      <a:extLst/>
                    </a:blip>
                    <a:stretch>
                      <a:fillRect/>
                    </a:stretch>
                  </pic:blipFill>
                  <pic:spPr>
                    <a:xfrm>
                      <a:off x="0" y="0"/>
                      <a:ext cx="5905500" cy="4191000"/>
                    </a:xfrm>
                    <a:prstGeom prst="rect">
                      <a:avLst/>
                    </a:prstGeom>
                    <a:ln w="12700" cap="flat">
                      <a:noFill/>
                      <a:miter lim="400000"/>
                    </a:ln>
                    <a:effectLst/>
                  </pic:spPr>
                </pic:pic>
              </a:graphicData>
            </a:graphic>
          </wp:inline>
        </w:drawing>
      </w:r>
    </w:p>
    <w:p>
      <w:pPr>
        <w:pStyle w:val="Heading 2"/>
        <w:spacing w:before="240" w:after="120"/>
      </w:pPr>
    </w:p>
    <w:p>
      <w:pPr>
        <w:pStyle w:val="Heading 2"/>
        <w:spacing w:before="240" w:after="120"/>
      </w:pPr>
      <w:r>
        <w:rPr>
          <w:rtl w:val="0"/>
          <w:lang w:val="fr-FR"/>
        </w:rPr>
        <w:t>3.3 Agent Roles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200"/>
        <w:gridCol w:w="2400"/>
        <w:gridCol w:w="3160"/>
      </w:tblGrid>
      <w:tr>
        <w:tblPrEx>
          <w:shd w:val="clear" w:color="auto" w:fill="4f81bd"/>
        </w:tblPrEx>
        <w:trPr>
          <w:trHeight w:val="195" w:hRule="atLeast"/>
          <w:tblHeader/>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c3e5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Team</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c3e5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Agent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c3e5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Goal</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c3e50"/>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MCP Tools</w:t>
            </w:r>
            <w:r>
              <w:rPr>
                <w:rFonts w:ascii="Times New Roman" w:hAnsi="Times New Roman"/>
                <w:b w:val="1"/>
                <w:bCs w:val="1"/>
                <w:outline w:val="0"/>
                <w:color w:val="ffffff"/>
                <w:sz w:val="18"/>
                <w:szCs w:val="18"/>
                <w:u w:color="ffffff"/>
                <w:shd w:val="nil" w:color="auto" w:fill="auto"/>
                <w:rtl w:val="0"/>
                <w:lang w:val="fr-FR"/>
                <w14:textFill>
                  <w14:solidFill>
                    <w14:srgbClr w14:val="FFFFFF"/>
                  </w14:solidFill>
                </w14:textFill>
              </w:rPr>
              <w:t xml:space="preserve"> for the MVP</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it-IT"/>
              </w:rPr>
              <w:t>I. Ingestion</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en-US"/>
              </w:rPr>
              <w:t>Ingestion Agent</w:t>
            </w:r>
          </w:p>
          <w:p>
            <w:pPr>
              <w:pStyle w:val="Default"/>
              <w:bidi w:val="0"/>
            </w:pPr>
            <w:r>
              <w:rPr>
                <w:rFonts w:ascii="Times New Roman" w:hAnsi="Times New Roman"/>
                <w:sz w:val="17"/>
                <w:szCs w:val="17"/>
                <w:u w:color="000000"/>
                <w:shd w:val="nil" w:color="auto" w:fill="auto"/>
                <w:rtl w:val="0"/>
                <w:lang w:val="fr-FR"/>
              </w:rPr>
              <w:t>Document Classifier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Capture &amp; classify incoming financial documents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de-DE"/>
              </w:rPr>
              <w:t xml:space="preserve">Gmail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 xml:space="preserve">QBO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da-DK"/>
              </w:rPr>
              <w:t>LLM</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it-IT"/>
              </w:rPr>
              <w:t>II. Reconciliation</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fr-FR"/>
              </w:rPr>
              <w:t>Reconciliation Agent</w:t>
            </w:r>
          </w:p>
          <w:p>
            <w:pPr>
              <w:pStyle w:val="Default"/>
              <w:bidi w:val="0"/>
            </w:pPr>
            <w:r>
              <w:rPr>
                <w:rFonts w:ascii="Times New Roman" w:hAnsi="Times New Roman"/>
                <w:sz w:val="17"/>
                <w:szCs w:val="17"/>
                <w:u w:color="000000"/>
                <w:shd w:val="nil" w:color="auto" w:fill="auto"/>
                <w:rtl w:val="0"/>
                <w:lang w:val="en-US"/>
              </w:rPr>
              <w:t>Gap Detector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Match transactions vs. bank statements; flag discrepancies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QBO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Drive MCP</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III. Reporting</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en-US"/>
              </w:rPr>
              <w:t>Reporting Agent</w:t>
            </w:r>
          </w:p>
          <w:p>
            <w:pPr>
              <w:pStyle w:val="Default"/>
              <w:bidi w:val="0"/>
            </w:pPr>
            <w:r>
              <w:rPr>
                <w:rFonts w:ascii="Times New Roman" w:hAnsi="Times New Roman"/>
                <w:sz w:val="17"/>
                <w:szCs w:val="17"/>
                <w:u w:color="000000"/>
                <w:shd w:val="nil" w:color="auto" w:fill="auto"/>
                <w:rtl w:val="0"/>
                <w:lang w:val="en-US"/>
              </w:rPr>
              <w:t>Compliance Agent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Generate P&amp;L, cash flow; monitor fiscal deadlines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QBO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de-DE"/>
              </w:rPr>
              <w:t xml:space="preserve">Gmail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pt-PT"/>
              </w:rPr>
              <w:t>Calendar MCP</w:t>
            </w:r>
          </w:p>
        </w:tc>
      </w:tr>
      <w:tr>
        <w:tblPrEx>
          <w:shd w:val="clear" w:color="auto" w:fill="ced7e7"/>
        </w:tblPrEx>
        <w:trPr>
          <w:trHeight w:val="992"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IV. AR / AP / Client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de-DE"/>
              </w:rPr>
              <w:t>AR Agent</w:t>
            </w:r>
          </w:p>
          <w:p>
            <w:pPr>
              <w:pStyle w:val="Default"/>
              <w:bidi w:val="0"/>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es-ES_tradnl"/>
              </w:rPr>
              <w:t>AP / Payables Agent</w:t>
            </w:r>
          </w:p>
          <w:p>
            <w:pPr>
              <w:pStyle w:val="Default"/>
              <w:bidi w:val="0"/>
            </w:pPr>
            <w:r>
              <w:rPr>
                <w:rFonts w:ascii="Times New Roman" w:hAnsi="Times New Roman"/>
                <w:sz w:val="17"/>
                <w:szCs w:val="17"/>
                <w:u w:color="000000"/>
                <w:shd w:val="nil" w:color="auto" w:fill="auto"/>
                <w:rtl w:val="0"/>
                <w:lang w:val="en-US"/>
              </w:rPr>
              <w:t>Onboarding Agent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Track overdue invoices; approve vendor bills &amp; payments; create client profiles</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QBO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de-DE"/>
              </w:rPr>
              <w:t xml:space="preserve">Gmail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pt-PT"/>
              </w:rPr>
              <w:t>Calendar MCP</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it-IT"/>
              </w:rPr>
              <w:t>V. Supervisor</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it-IT"/>
              </w:rPr>
              <w:t>Supervisor</w:t>
            </w:r>
          </w:p>
          <w:p>
            <w:pPr>
              <w:pStyle w:val="Default"/>
              <w:bidi w:val="0"/>
            </w:pPr>
            <w:r>
              <w:rPr>
                <w:rFonts w:ascii="Times New Roman" w:hAnsi="Times New Roman"/>
                <w:sz w:val="17"/>
                <w:szCs w:val="17"/>
                <w:u w:color="000000"/>
                <w:shd w:val="nil" w:color="auto" w:fill="auto"/>
                <w:rtl w:val="0"/>
                <w:lang w:val="en-US"/>
              </w:rPr>
              <w:t>Decision Router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Orchestrate state, routing, error handling</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LangGraph StateGraph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checkpointer</w:t>
            </w:r>
          </w:p>
        </w:tc>
      </w:tr>
      <w:tr>
        <w:tblPrEx>
          <w:shd w:val="clear" w:color="auto" w:fill="ced7e7"/>
        </w:tblPrEx>
        <w:trPr>
          <w:trHeight w:val="594"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VI. HITL</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17"/>
                <w:szCs w:val="17"/>
                <w:u w:color="000000"/>
                <w:shd w:val="nil" w:color="auto" w:fill="auto"/>
                <w:rtl w:val="0"/>
              </w:rPr>
            </w:pPr>
            <w:r>
              <w:rPr>
                <w:rFonts w:ascii="Times New Roman" w:hAnsi="Times New Roman"/>
                <w:sz w:val="17"/>
                <w:szCs w:val="17"/>
                <w:u w:color="000000"/>
                <w:shd w:val="nil" w:color="auto" w:fill="auto"/>
                <w:rtl w:val="0"/>
                <w:lang w:val="fr-FR"/>
              </w:rPr>
              <w:t>HITL Notifier</w:t>
            </w:r>
          </w:p>
          <w:p>
            <w:pPr>
              <w:pStyle w:val="Default"/>
              <w:bidi w:val="0"/>
            </w:pPr>
            <w:r>
              <w:rPr>
                <w:rFonts w:ascii="Times New Roman" w:hAnsi="Times New Roman"/>
                <w:sz w:val="17"/>
                <w:szCs w:val="17"/>
                <w:u w:color="000000"/>
                <w:shd w:val="nil" w:color="auto" w:fill="auto"/>
                <w:rtl w:val="0"/>
                <w:lang w:val="en-US"/>
              </w:rPr>
              <w:t>Webhook Resumption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Async approval via Gmail; resume suspended thread</w:t>
            </w:r>
          </w:p>
        </w:tc>
        <w:tc>
          <w:tcPr>
            <w:tcW w:type="dxa" w:w="3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de-DE"/>
              </w:rPr>
              <w:t xml:space="preserve">Gmail MCP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 xml:space="preserve">webhook endpoint </w:t>
            </w:r>
            <w:r>
              <w:rPr>
                <w:rFonts w:ascii="Times New Roman" w:hAnsi="Times New Roman" w:hint="default"/>
                <w:sz w:val="17"/>
                <w:szCs w:val="17"/>
                <w:u w:color="000000"/>
                <w:shd w:val="nil" w:color="auto" w:fill="auto"/>
                <w:rtl w:val="0"/>
                <w:lang w:val="de-DE"/>
              </w:rPr>
              <w:t xml:space="preserve">· </w:t>
            </w:r>
            <w:r>
              <w:rPr>
                <w:rFonts w:ascii="Times New Roman" w:hAnsi="Times New Roman"/>
                <w:sz w:val="17"/>
                <w:szCs w:val="17"/>
                <w:u w:color="000000"/>
                <w:shd w:val="nil" w:color="auto" w:fill="auto"/>
                <w:rtl w:val="0"/>
                <w:lang w:val="en-US"/>
              </w:rPr>
              <w:t>SqliteSaver</w:t>
            </w:r>
          </w:p>
        </w:tc>
      </w:tr>
    </w:tbl>
    <w:p>
      <w:pPr>
        <w:pStyle w:val="Heading 2"/>
        <w:widowControl w:val="0"/>
        <w:spacing w:before="240" w:after="120"/>
      </w:pPr>
    </w:p>
    <w:p>
      <w:pPr>
        <w:pStyle w:val="Heading 2"/>
        <w:widowControl w:val="0"/>
        <w:spacing w:before="240" w:after="120"/>
      </w:pPr>
      <w:r>
        <w:rPr>
          <w:b w:val="0"/>
          <w:bCs w:val="0"/>
          <w:outline w:val="0"/>
          <w:color w:val="000000"/>
          <w:sz w:val="18"/>
          <w:szCs w:val="18"/>
          <w:u w:color="000000"/>
          <w:rtl w:val="0"/>
          <w:lang w:val="en-US"/>
          <w14:textFill>
            <w14:solidFill>
              <w14:srgbClr w14:val="000000"/>
            </w14:solidFill>
          </w14:textFill>
        </w:rPr>
        <w:t>Table 1: AccountingAgents role definitions.</w:t>
      </w:r>
    </w:p>
    <w:p>
      <w:pPr>
        <w:pStyle w:val="Heading 2"/>
        <w:spacing w:before="240" w:after="120"/>
      </w:pPr>
      <w:r>
        <w:rPr>
          <w:rtl w:val="0"/>
          <w:lang w:val="en-US"/>
        </w:rPr>
        <w:t>3.4 SharedState Design</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 xml:space="preserve">All inter-agent communication flows exclusively through a structured </w:t>
      </w:r>
      <w:r>
        <w:rPr>
          <w:outline w:val="0"/>
          <w:color w:val="000000"/>
          <w:sz w:val="20"/>
          <w:szCs w:val="20"/>
          <w:u w:color="000000"/>
          <w:rtl w:val="0"/>
          <w:lang w:val="en-US"/>
          <w14:textFill>
            <w14:solidFill>
              <w14:srgbClr w14:val="000000"/>
            </w14:solidFill>
          </w14:textFill>
        </w:rPr>
        <w:t>SharedState</w:t>
      </w:r>
      <w:r>
        <w:rPr>
          <w:b w:val="0"/>
          <w:bCs w:val="0"/>
          <w:outline w:val="0"/>
          <w:color w:val="000000"/>
          <w:sz w:val="20"/>
          <w:szCs w:val="20"/>
          <w:u w:color="000000"/>
          <w:rtl w:val="0"/>
          <w:lang w:val="en-US"/>
          <w14:textFill>
            <w14:solidFill>
              <w14:srgbClr w14:val="000000"/>
            </w14:solidFill>
          </w14:textFill>
        </w:rPr>
        <w:t xml:space="preserve"> TypedDict. This design eliminates the "telephone effect" identified in TradingAgents </w:t>
      </w:r>
      <w:r>
        <w:rPr>
          <w:b w:val="0"/>
          <w:bCs w:val="0"/>
          <w:outline w:val="0"/>
          <w:color w:val="000000"/>
          <w:sz w:val="16"/>
          <w:szCs w:val="16"/>
          <w:u w:color="000000"/>
          <w:vertAlign w:val="superscript"/>
          <w:rtl w:val="0"/>
          <w:lang w:val="pt-PT"/>
          <w14:textFill>
            <w14:solidFill>
              <w14:srgbClr w14:val="000000"/>
            </w14:solidFill>
          </w14:textFill>
        </w:rPr>
        <w:t>[1]</w:t>
      </w:r>
      <w:r>
        <w:rPr>
          <w:b w:val="0"/>
          <w:bCs w:val="0"/>
          <w:outline w:val="0"/>
          <w:color w:val="000000"/>
          <w:sz w:val="20"/>
          <w:szCs w:val="20"/>
          <w:u w:color="000000"/>
          <w:rtl w:val="0"/>
          <w:lang w:val="en-US"/>
          <w14:textFill>
            <w14:solidFill>
              <w14:srgbClr w14:val="000000"/>
            </w14:solidFill>
          </w14:textFill>
        </w:rPr>
        <w:t xml:space="preserve"> — the progressive corruption of context that occurs when agents communicate through natural language message histories. The SharedState fields are partitioned into two categories: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Business fields cover document ingestion, transaction data, reconciliation gaps, AR/AP state, reporting artifacts, routing signals, and error logs.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HITL fields (hitl_pending, hitl_decision, thread_id, timeout_at) manage the suspension and resumption lifecycle.</w:t>
      </w:r>
    </w:p>
    <w:p>
      <w:pPr>
        <w:pStyle w:val="List Paragraph"/>
        <w:spacing w:after="80"/>
      </w:pPr>
      <w:r>
        <w:rPr>
          <w:outline w:val="0"/>
          <w:color w:val="000000"/>
          <w:u w:color="000000"/>
          <w:rtl w:val="0"/>
          <w:lang w:val="en-US"/>
          <w14:textFill>
            <w14:solidFill>
              <w14:srgbClr w14:val="000000"/>
            </w14:solidFill>
          </w14:textFill>
        </w:rPr>
        <w:t>Each agent node returns only a delta — the subset of fields it modifies — which LangGraph automatically merges into the global state. This ensures agents remain decoupled and that state evolution is auditable.</w:t>
      </w:r>
    </w:p>
    <w:p>
      <w:pPr>
        <w:pStyle w:val="Heading"/>
        <w:spacing w:before="240"/>
      </w:pPr>
      <w:r>
        <w:rPr>
          <w:rtl w:val="0"/>
          <w:lang w:val="fr-FR"/>
        </w:rPr>
        <w:t>4. Asynchronous Human-in-the-Loop</w:t>
      </w:r>
    </w:p>
    <w:p>
      <w:pPr>
        <w:pStyle w:val="Heading 2"/>
        <w:spacing w:before="240" w:after="120"/>
      </w:pPr>
      <w:r>
        <w:rPr>
          <w:rtl w:val="0"/>
        </w:rPr>
        <w:t>4.1 Motivation</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Accounting operations carry fiduciary and legal obligations that preclude fully autonomous execution of high-stakes actions — client escalations, reconciliation corrections, vendor payment approvals, new client onboarding — without human oversight. However, a HITL mechanism requiring a supervising accountant to monitor a console is impractical: accounting professionals are frequently in client meetings, on-site visits, or otherwise away from a workstation.</w:t>
      </w:r>
    </w:p>
    <w:p>
      <w:pPr>
        <w:pStyle w:val="Heading 2"/>
        <w:spacing w:before="240" w:after="120"/>
      </w:pPr>
      <w:r>
        <w:rPr>
          <w:rtl w:val="0"/>
          <w:lang w:val="en-US"/>
        </w:rPr>
        <w:t>4.2 Four-Level Escalation Model</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We define four escalation levels calibrated to accounting risk profiles: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1800"/>
        <w:gridCol w:w="3180"/>
        <w:gridCol w:w="3180"/>
      </w:tblGrid>
      <w:tr>
        <w:tblPrEx>
          <w:shd w:val="clear" w:color="auto" w:fill="4f81bd"/>
        </w:tblPrEx>
        <w:trPr>
          <w:trHeight w:val="195" w:hRule="atLeast"/>
          <w:tblHeader/>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44444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Level</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44444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Mode</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44444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Trigger</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44444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Example</w:t>
            </w:r>
          </w:p>
        </w:tc>
      </w:tr>
      <w:tr>
        <w:tblPrEx>
          <w:shd w:val="clear" w:color="auto" w:fill="ced7e7"/>
        </w:tblPrEx>
        <w:trPr>
          <w:trHeight w:val="43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rPr>
              <w:t>N1</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Automatic</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Routine, low-risk action</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First AR reminder, standard report, small vendor bill &lt; $500</w:t>
            </w:r>
          </w:p>
        </w:tc>
      </w:tr>
      <w:tr>
        <w:tblPrEx>
          <w:shd w:val="clear" w:color="auto" w:fill="ced7e7"/>
        </w:tblPrEx>
        <w:trPr>
          <w:trHeight w:val="43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rPr>
              <w:t>N2</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Notify only</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Action taken; cancellable within window</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Invoice created, client profile drafted, recurring AP payment</w:t>
            </w:r>
          </w:p>
        </w:tc>
      </w:tr>
      <w:tr>
        <w:tblPrEx>
          <w:shd w:val="clear" w:color="auto" w:fill="ced7e7"/>
        </w:tblPrEx>
        <w:trPr>
          <w:trHeight w:val="43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rPr>
              <w:t>N3</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Approve (HITL)</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High-value or irreversible action</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AR escalation &gt;$5k, reconciliation gap, vendor payment &gt;$2k</w:t>
            </w:r>
          </w:p>
        </w:tc>
      </w:tr>
      <w:tr>
        <w:tblPrEx>
          <w:shd w:val="clear" w:color="auto" w:fill="ced7e7"/>
        </w:tblPrEx>
        <w:trPr>
          <w:trHeight w:val="43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rPr>
              <w:t>N4</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nl-NL"/>
              </w:rPr>
              <w:t>Transfer</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Outside known rules</w:t>
            </w:r>
          </w:p>
        </w:tc>
        <w:tc>
          <w:tcPr>
            <w:tcW w:type="dxa" w:w="31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Client dispute, regulatory anomaly, unrecognized vendor</w:t>
            </w:r>
          </w:p>
        </w:tc>
      </w:tr>
    </w:tbl>
    <w:p>
      <w:pPr>
        <w:pStyle w:val="Heading 2"/>
        <w:widowControl w:val="0"/>
        <w:spacing w:before="240" w:after="120"/>
      </w:pPr>
    </w:p>
    <w:p>
      <w:pPr>
        <w:pStyle w:val="Heading 2"/>
        <w:widowControl w:val="0"/>
        <w:spacing w:before="240" w:after="120"/>
      </w:pPr>
      <w:r>
        <w:rPr>
          <w:b w:val="0"/>
          <w:bCs w:val="0"/>
          <w:outline w:val="0"/>
          <w:color w:val="000000"/>
          <w:sz w:val="18"/>
          <w:szCs w:val="18"/>
          <w:u w:color="000000"/>
          <w:rtl w:val="0"/>
          <w:lang w:val="en-US"/>
          <w14:textFill>
            <w14:solidFill>
              <w14:srgbClr w14:val="000000"/>
            </w14:solidFill>
          </w14:textFill>
        </w:rPr>
        <w:t>Table 2: Four-level HITL escalation model.</w:t>
      </w:r>
    </w:p>
    <w:p>
      <w:pPr>
        <w:pStyle w:val="Heading 2"/>
        <w:spacing w:before="240" w:after="120"/>
      </w:pPr>
      <w:r>
        <w:rPr>
          <w:rtl w:val="0"/>
          <w:lang w:val="fr-FR"/>
        </w:rPr>
        <w:t>4.3 Asynchronous HITL Cycle</w:t>
      </w:r>
    </w:p>
    <w:p>
      <w:pPr>
        <w:pStyle w:val="Heading 2"/>
        <w:spacing w:before="240" w:after="120"/>
      </w:pPr>
      <w:r>
        <w:rPr>
          <w:b w:val="0"/>
          <w:bCs w:val="0"/>
          <w:outline w:val="0"/>
          <w:color w:val="000000"/>
          <w:sz w:val="20"/>
          <w:szCs w:val="20"/>
          <w:u w:color="000000"/>
          <w:rtl w:val="0"/>
          <w:lang w:val="en-US"/>
          <w14:textFill>
            <w14:solidFill>
              <w14:srgbClr w14:val="000000"/>
            </w14:solidFill>
          </w14:textFill>
        </w:rPr>
        <w:t>The N3 HITL cycle proceeds as follows:</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Agent detects an exception condition (e.g., reconciliation gap &gt; threshold, AR escalation required, vendor payment &gt; approval threshold).</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Supervisor calls interrupt(), persisting the complete thread state via a pluggable checkpointer backend.</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The messaging MCP server sends a structured notification (e.g., email, instant message) to the supervising accountant, including client context, agent suggestion, and three action links (Approve / Modify / Block).</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The accountant responds with a single click from any device (iPhone, desktop).</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The click triggers a webhook callback to a lightweight API endpoint, delivering the thread identifier and decision payload.</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LangGraph resumes the suspended thread at the exact interruption point, injecting the decision into SharedState.</w:t>
      </w:r>
    </w:p>
    <w:p>
      <w:pPr>
        <w:pStyle w:val="List Paragraph"/>
        <w:numPr>
          <w:ilvl w:val="0"/>
          <w:numId w:val="2"/>
        </w:numPr>
        <w:spacing w:after="80"/>
        <w:rPr>
          <w:lang w:val="en-US"/>
        </w:rPr>
      </w:pPr>
      <w:r>
        <w:rPr>
          <w:outline w:val="0"/>
          <w:color w:val="000000"/>
          <w:u w:color="000000"/>
          <w:rtl w:val="0"/>
          <w:lang w:val="en-US"/>
          <w14:textFill>
            <w14:solidFill>
              <w14:srgbClr w14:val="000000"/>
            </w14:solidFill>
          </w14:textFill>
        </w:rPr>
        <w:t>If no response is received within 4 hours, a timeout handler injects status: "timeout" and the Supervisor escalates automatically.</w:t>
      </w:r>
    </w:p>
    <w:p>
      <w:pPr>
        <w:pStyle w:val="List Paragraph"/>
        <w:spacing w:after="80"/>
      </w:pPr>
      <w:r>
        <w:rPr>
          <w:outline w:val="0"/>
          <w:color w:val="000000"/>
          <w:u w:color="000000"/>
          <w:rtl w:val="0"/>
          <w:lang w:val="en-US"/>
          <w14:textFill>
            <w14:solidFill>
              <w14:srgbClr w14:val="000000"/>
            </w14:solidFill>
          </w14:textFill>
        </w:rPr>
        <w:t>This design requires zero additional tooling beyond components already in the stack: the messaging MCP server, the checkpointer backend, and a minimal webhook endpoint.</w:t>
      </w:r>
    </w:p>
    <w:p>
      <w:pPr>
        <w:pStyle w:val="Heading"/>
        <w:spacing w:before="240"/>
      </w:pPr>
      <w:r>
        <w:rPr>
          <w:rtl w:val="0"/>
          <w:lang w:val="en-US"/>
        </w:rPr>
        <w:t>5. MCP Tool Integration</w:t>
      </w:r>
    </w:p>
    <w:p>
      <w:pPr>
        <w:pStyle w:val="Heading"/>
        <w:spacing w:before="240"/>
      </w:pPr>
      <w:r>
        <w:rPr>
          <w:b w:val="0"/>
          <w:bCs w:val="0"/>
          <w:outline w:val="0"/>
          <w:color w:val="000000"/>
          <w:sz w:val="20"/>
          <w:szCs w:val="20"/>
          <w:u w:color="000000"/>
          <w:rtl w:val="0"/>
          <w:lang w:val="en-US"/>
          <w14:textFill>
            <w14:solidFill>
              <w14:srgbClr w14:val="000000"/>
            </w14:solidFill>
          </w14:textFill>
        </w:rPr>
        <w:t>AccountingAgents is MCP-native by design. Rather than implementing custom API wrappers for each external service — an approach that creates fragile, maintenance-heavy integrations — all tool access is mediated through official Model Context Protocol servers. This provides two key benefits: (1) authentication and authorization are handled by established OAuth2 flows, and (2) tool availability and capability evolve with the MCP specification independently of the agent framework.</w:t>
      </w:r>
    </w:p>
    <w:p>
      <w:pPr>
        <w:pStyle w:val="Heading"/>
        <w:spacing w:before="240"/>
        <w:rPr>
          <w:b w:val="0"/>
          <w:bCs w:val="0"/>
          <w:outline w:val="0"/>
          <w:color w:val="000000"/>
          <w:sz w:val="20"/>
          <w:szCs w:val="20"/>
          <w:u w:color="000000"/>
          <w14:textFill>
            <w14:solidFill>
              <w14:srgbClr w14:val="000000"/>
            </w14:solidFill>
          </w14:textFill>
        </w:rPr>
      </w:pPr>
      <w:r>
        <w:rPr>
          <w:b w:val="0"/>
          <w:bCs w:val="0"/>
          <w:outline w:val="0"/>
          <w:color w:val="000000"/>
          <w:sz w:val="20"/>
          <w:szCs w:val="20"/>
          <w:u w:color="000000"/>
          <w:rtl w:val="0"/>
          <w:lang w:val="en-US"/>
          <w14:textFill>
            <w14:solidFill>
              <w14:srgbClr w14:val="000000"/>
            </w14:solidFill>
          </w14:textFill>
        </w:rPr>
        <w:t xml:space="preserve">The five MCP servers in the MVP stack are: </w:t>
      </w:r>
      <w:r>
        <w:rPr>
          <w:outline w:val="0"/>
          <w:color w:val="000000"/>
          <w:sz w:val="20"/>
          <w:szCs w:val="20"/>
          <w:u w:color="000000"/>
          <w:rtl w:val="0"/>
          <w:lang w:val="de-DE"/>
          <w14:textFill>
            <w14:solidFill>
              <w14:srgbClr w14:val="000000"/>
            </w14:solidFill>
          </w14:textFill>
        </w:rPr>
        <w:t>Gmail MCP</w:t>
      </w:r>
      <w:r>
        <w:rPr>
          <w:b w:val="0"/>
          <w:bCs w:val="0"/>
          <w:outline w:val="0"/>
          <w:color w:val="000000"/>
          <w:sz w:val="20"/>
          <w:szCs w:val="20"/>
          <w:u w:color="000000"/>
          <w:rtl w:val="0"/>
          <w:lang w:val="en-US"/>
          <w14:textFill>
            <w14:solidFill>
              <w14:srgbClr w14:val="000000"/>
            </w14:solidFill>
          </w14:textFill>
        </w:rPr>
        <w:t xml:space="preserve"> (gmailmcp.googleapis.com) for all email I/O including HITL notifications; </w:t>
      </w:r>
      <w:r>
        <w:rPr>
          <w:outline w:val="0"/>
          <w:color w:val="000000"/>
          <w:sz w:val="20"/>
          <w:szCs w:val="20"/>
          <w:u w:color="000000"/>
          <w:rtl w:val="0"/>
          <w:lang w:val="en-US"/>
          <w14:textFill>
            <w14:solidFill>
              <w14:srgbClr w14:val="000000"/>
            </w14:solidFill>
          </w14:textFill>
        </w:rPr>
        <w:t>QBO MCP</w:t>
      </w:r>
      <w:r>
        <w:rPr>
          <w:b w:val="0"/>
          <w:bCs w:val="0"/>
          <w:outline w:val="0"/>
          <w:color w:val="000000"/>
          <w:sz w:val="20"/>
          <w:szCs w:val="20"/>
          <w:u w:color="000000"/>
          <w:rtl w:val="0"/>
          <w:lang w:val="en-US"/>
          <w14:textFill>
            <w14:solidFill>
              <w14:srgbClr w14:val="000000"/>
            </w14:solidFill>
          </w14:textFill>
        </w:rPr>
        <w:t xml:space="preserve"> (intuit/quickbooks-online-mcp-server </w:t>
      </w:r>
      <w:r>
        <w:rPr>
          <w:b w:val="0"/>
          <w:bCs w:val="0"/>
          <w:outline w:val="0"/>
          <w:color w:val="000000"/>
          <w:sz w:val="16"/>
          <w:szCs w:val="16"/>
          <w:u w:color="000000"/>
          <w:vertAlign w:val="superscript"/>
          <w:rtl w:val="0"/>
          <w:lang w:val="pt-PT"/>
          <w14:textFill>
            <w14:solidFill>
              <w14:srgbClr w14:val="000000"/>
            </w14:solidFill>
          </w14:textFill>
        </w:rPr>
        <w:t>[10]</w:t>
      </w:r>
      <w:r>
        <w:rPr>
          <w:b w:val="0"/>
          <w:bCs w:val="0"/>
          <w:outline w:val="0"/>
          <w:color w:val="000000"/>
          <w:sz w:val="20"/>
          <w:szCs w:val="20"/>
          <w:u w:color="000000"/>
          <w:rtl w:val="0"/>
          <w:lang w:val="en-US"/>
          <w14:textFill>
            <w14:solidFill>
              <w14:srgbClr w14:val="000000"/>
            </w14:solidFill>
          </w14:textFill>
        </w:rPr>
        <w:t xml:space="preserve">) providing CRUD operations on Account, Bill, Customer, Invoice, Vendor, and 7 additional entities; </w:t>
      </w:r>
      <w:r>
        <w:rPr>
          <w:outline w:val="0"/>
          <w:color w:val="000000"/>
          <w:sz w:val="20"/>
          <w:szCs w:val="20"/>
          <w:u w:color="000000"/>
          <w:rtl w:val="0"/>
          <w:lang w:val="en-US"/>
          <w14:textFill>
            <w14:solidFill>
              <w14:srgbClr w14:val="000000"/>
            </w14:solidFill>
          </w14:textFill>
        </w:rPr>
        <w:t>Google Drive MCP</w:t>
      </w:r>
      <w:r>
        <w:rPr>
          <w:b w:val="0"/>
          <w:bCs w:val="0"/>
          <w:outline w:val="0"/>
          <w:color w:val="000000"/>
          <w:sz w:val="20"/>
          <w:szCs w:val="20"/>
          <w:u w:color="000000"/>
          <w:rtl w:val="0"/>
          <w:lang w:val="en-US"/>
          <w14:textFill>
            <w14:solidFill>
              <w14:srgbClr w14:val="000000"/>
            </w14:solidFill>
          </w14:textFill>
        </w:rPr>
        <w:t xml:space="preserve"> for document storage; </w:t>
      </w:r>
      <w:r>
        <w:rPr>
          <w:outline w:val="0"/>
          <w:color w:val="000000"/>
          <w:sz w:val="20"/>
          <w:szCs w:val="20"/>
          <w:u w:color="000000"/>
          <w:rtl w:val="0"/>
          <w:lang w:val="it-IT"/>
          <w14:textFill>
            <w14:solidFill>
              <w14:srgbClr w14:val="000000"/>
            </w14:solidFill>
          </w14:textFill>
        </w:rPr>
        <w:t>Google Calendar MCP</w:t>
      </w:r>
      <w:r>
        <w:rPr>
          <w:b w:val="0"/>
          <w:bCs w:val="0"/>
          <w:outline w:val="0"/>
          <w:color w:val="000000"/>
          <w:sz w:val="20"/>
          <w:szCs w:val="20"/>
          <w:u w:color="000000"/>
          <w:rtl w:val="0"/>
          <w:lang w:val="en-US"/>
          <w14:textFill>
            <w14:solidFill>
              <w14:srgbClr w14:val="000000"/>
            </w14:solidFill>
          </w14:textFill>
        </w:rPr>
        <w:t xml:space="preserve"> for fiscal deadline monitoring; and </w:t>
      </w:r>
      <w:r>
        <w:rPr>
          <w:outline w:val="0"/>
          <w:color w:val="000000"/>
          <w:sz w:val="20"/>
          <w:szCs w:val="20"/>
          <w:u w:color="000000"/>
          <w:rtl w:val="0"/>
          <w14:textFill>
            <w14:solidFill>
              <w14:srgbClr w14:val="000000"/>
            </w14:solidFill>
          </w14:textFill>
        </w:rPr>
        <w:t>Zapier MCP</w:t>
      </w:r>
      <w:r>
        <w:rPr>
          <w:b w:val="0"/>
          <w:bCs w:val="0"/>
          <w:outline w:val="0"/>
          <w:color w:val="000000"/>
          <w:sz w:val="20"/>
          <w:szCs w:val="20"/>
          <w:u w:color="000000"/>
          <w:rtl w:val="0"/>
          <w:lang w:val="en-US"/>
          <w14:textFill>
            <w14:solidFill>
              <w14:srgbClr w14:val="000000"/>
            </w14:solidFill>
          </w14:textFill>
        </w:rPr>
        <w:t xml:space="preserve"> as a general-purpose bridge to services lacking native MCP servers.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1"/>
        <w:spacing w:before="0" w:line="240" w:lineRule="auto"/>
        <w:rPr>
          <w:rFonts w:ascii="Times Roman" w:cs="Times Roman" w:hAnsi="Times Roman" w:eastAsia="Times Roman"/>
        </w:rPr>
      </w:pPr>
      <w:r>
        <w:rPr>
          <w:rFonts w:ascii="Times New Roman" w:hAnsi="Times New Roman"/>
          <w:outline w:val="0"/>
          <w:color w:val="000000"/>
          <w:sz w:val="20"/>
          <w:szCs w:val="20"/>
          <w:u w:color="000000"/>
          <w:rtl w:val="0"/>
          <w:lang w:val="en-US"/>
          <w14:textFill>
            <w14:solidFill>
              <w14:srgbClr w14:val="000000"/>
            </w14:solidFill>
          </w14:textFill>
        </w:rPr>
        <w:t>Additional MCP servers can be substituted or added without modifying the agent logic.</w:t>
      </w:r>
    </w:p>
    <w:p>
      <w:pPr>
        <w:pStyle w:val="Heading"/>
        <w:spacing w:before="240"/>
      </w:pPr>
      <w:r>
        <w:rPr>
          <w:rtl w:val="0"/>
          <w:lang w:val="en-US"/>
        </w:rPr>
        <w:t>6. Limitations and Future Work</w:t>
      </w:r>
    </w:p>
    <w:p>
      <w:pPr>
        <w:pStyle w:val="Heading"/>
        <w:spacing w:before="240"/>
      </w:pPr>
      <w:r>
        <w:rPr>
          <w:b w:val="0"/>
          <w:bCs w:val="0"/>
          <w:outline w:val="0"/>
          <w:color w:val="000000"/>
          <w:sz w:val="20"/>
          <w:szCs w:val="20"/>
          <w:u w:color="000000"/>
          <w:rtl w:val="0"/>
          <w:lang w:val="en-US"/>
          <w14:textFill>
            <w14:solidFill>
              <w14:srgbClr w14:val="000000"/>
            </w14:solidFill>
          </w14:textFill>
        </w:rPr>
        <w:t>The present work is a position paper describing framework design. Several limitations apply. First, we present no experimental results; a companion implementation paper will evaluate agent accuracy, HITL approval rates, and time savings against a baseline of manual processing. Second, the four-level escalation thresholds are defined heuristically; future work should calibrate these empirically per firm profile. Third, the framework currently targets QBO; extension to Xero, Sage, and Microsoft Dynamics 365 would broaden applicability. Fourth, Canadian regulatory specifics (GST/HST, Revenu Qu</w:t>
      </w:r>
      <w:r>
        <w:rPr>
          <w:b w:val="0"/>
          <w:bCs w:val="0"/>
          <w:outline w:val="0"/>
          <w:color w:val="000000"/>
          <w:sz w:val="20"/>
          <w:szCs w:val="20"/>
          <w:u w:color="000000"/>
          <w:rtl w:val="0"/>
          <w:lang w:val="fr-FR"/>
          <w14:textFill>
            <w14:solidFill>
              <w14:srgbClr w14:val="000000"/>
            </w14:solidFill>
          </w14:textFill>
        </w:rPr>
        <w:t>é</w:t>
      </w:r>
      <w:r>
        <w:rPr>
          <w:b w:val="0"/>
          <w:bCs w:val="0"/>
          <w:outline w:val="0"/>
          <w:color w:val="000000"/>
          <w:sz w:val="20"/>
          <w:szCs w:val="20"/>
          <w:u w:color="000000"/>
          <w:rtl w:val="0"/>
          <w:lang w:val="en-US"/>
          <w14:textFill>
            <w14:solidFill>
              <w14:srgbClr w14:val="000000"/>
            </w14:solidFill>
          </w14:textFill>
        </w:rPr>
        <w:t>bec) are noted as a design consideration but not yet implemented as explicit compliance rules.</w:t>
      </w:r>
    </w:p>
    <w:p>
      <w:pPr>
        <w:pStyle w:val="Heading"/>
        <w:spacing w:before="240"/>
      </w:pPr>
      <w:r>
        <w:rPr>
          <w:rtl w:val="0"/>
          <w:lang w:val="it-IT"/>
        </w:rPr>
        <w:t>7. Conclusion</w:t>
      </w:r>
    </w:p>
    <w:p>
      <w:pPr>
        <w:pStyle w:val="Heading"/>
        <w:spacing w:before="240"/>
      </w:pPr>
      <w:r>
        <w:rPr>
          <w:b w:val="0"/>
          <w:bCs w:val="0"/>
          <w:outline w:val="0"/>
          <w:color w:val="000000"/>
          <w:sz w:val="20"/>
          <w:szCs w:val="20"/>
          <w:u w:color="000000"/>
          <w:rtl w:val="0"/>
          <w:lang w:val="en-US"/>
          <w14:textFill>
            <w14:solidFill>
              <w14:srgbClr w14:val="000000"/>
            </w14:solidFill>
          </w14:textFill>
        </w:rPr>
        <w:t>We have presented AccountingAgents, a multi-agent LLM framework modelled on the organizational structure of professional accounting firms. The framework addresses the two core limitations identified in prior work — absence of realistic organizational modelling and inefficient communication interfaces — by adopting the structured SharedState design pioneered by TradingAgents and extending it to the accounting domain. The asynchronous HITL mechanism represents a practical contribution to the deployment of agentic systems in regulated, high-stakes environments where human oversight is legally required but operators are mobile. We invite the research community to build on this framework and to contribute experimental validation.</w:t>
      </w:r>
    </w:p>
    <w:p>
      <w:pPr>
        <w:pStyle w:val="Heading"/>
        <w:spacing w:before="240"/>
      </w:pPr>
    </w:p>
    <w:p>
      <w:pPr>
        <w:pStyle w:val="Heading"/>
        <w:spacing w:before="240"/>
      </w:pPr>
      <w:r>
        <w:rPr>
          <w:rtl w:val="0"/>
          <w:lang w:val="fr-FR"/>
        </w:rPr>
        <w:t>References</w:t>
      </w:r>
    </w:p>
    <w:p>
      <w:pPr>
        <w:pStyle w:val="Heading"/>
        <w:spacing w:before="240"/>
      </w:pPr>
      <w:r>
        <w:rPr>
          <w:sz w:val="17"/>
          <w:szCs w:val="17"/>
          <w:rtl w:val="0"/>
          <w:lang w:val="en-US"/>
        </w:rPr>
        <w:t>[1] Xiao, Y., Sun, E., Luo, D., &amp; Wang, W. (2025). TradingAgents: Multi-Agents LLM Financial Trading Framework. arXiv:2412.20138.</w:t>
      </w:r>
    </w:p>
    <w:p>
      <w:pPr>
        <w:pStyle w:val="Heading"/>
        <w:spacing w:before="240"/>
      </w:pPr>
      <w:r>
        <w:rPr>
          <w:sz w:val="17"/>
          <w:szCs w:val="17"/>
          <w:rtl w:val="0"/>
          <w:lang w:val="en-US"/>
        </w:rPr>
        <w:t>[2] Grand View Research (2024). AI in Accounting Market Size &amp; Growth Report 2033.</w:t>
      </w:r>
    </w:p>
    <w:p>
      <w:pPr>
        <w:pStyle w:val="Heading"/>
        <w:spacing w:before="240"/>
      </w:pPr>
      <w:r>
        <w:rPr>
          <w:sz w:val="17"/>
          <w:szCs w:val="17"/>
          <w:rtl w:val="0"/>
          <w:lang w:val="en-US"/>
        </w:rPr>
        <w:t>[3] FinDebate: Multi-Agent Collaborative Intelligence for Financial Analysis. arXiv:2509.17395 (2025).</w:t>
      </w:r>
    </w:p>
    <w:p>
      <w:pPr>
        <w:pStyle w:val="Heading"/>
        <w:spacing w:before="240"/>
      </w:pPr>
      <w:r>
        <w:rPr>
          <w:sz w:val="17"/>
          <w:szCs w:val="17"/>
          <w:rtl w:val="0"/>
          <w:lang w:val="en-US"/>
        </w:rPr>
        <w:t>[4] Kulkarni, S. &amp; Kulkarni, Y. (2026). Benchmarking Multi-Agent LLM Architectures for Financial Document Processing. arXiv:2603.22651.</w:t>
      </w:r>
    </w:p>
    <w:p>
      <w:pPr>
        <w:pStyle w:val="Heading"/>
        <w:spacing w:before="240"/>
      </w:pPr>
      <w:r>
        <w:rPr>
          <w:sz w:val="17"/>
          <w:szCs w:val="17"/>
          <w:rtl w:val="0"/>
          <w:lang w:val="en-US"/>
        </w:rPr>
        <w:t>[5] Intuit QuickBooks. AI Agents for Intelligent Business Automation. intuit.com/enterprise/ai-agents (2025).</w:t>
      </w:r>
    </w:p>
    <w:p>
      <w:pPr>
        <w:pStyle w:val="Heading"/>
        <w:spacing w:before="240"/>
      </w:pPr>
      <w:r>
        <w:rPr>
          <w:sz w:val="17"/>
          <w:szCs w:val="17"/>
          <w:rtl w:val="0"/>
          <w:lang w:val="en-US"/>
        </w:rPr>
        <w:t>[6] Pilot AI. World's First Fully Autonomous AI Accountant for SMBs. Press release, February 2026.</w:t>
      </w:r>
      <w:r>
        <w:rPr>
          <w:sz w:val="17"/>
          <w:szCs w:val="17"/>
          <w:rtl w:val="0"/>
          <w:lang w:val="fr-FR"/>
        </w:rPr>
        <w:t xml:space="preserve"> </w:t>
      </w:r>
      <w:r>
        <w:rPr>
          <w:sz w:val="17"/>
          <w:szCs w:val="17"/>
          <w:rtl w:val="0"/>
          <w:lang w:val="en-US"/>
        </w:rPr>
        <w:t>https://www.globenewswire.com/news-release/2026/02/04/3232133/0/en/Pilot-Unveils-AI-Accountant-A-Major-Leap-Toward-Artificial-General-Intelligence-in-Accounting.html</w:t>
      </w:r>
    </w:p>
    <w:p>
      <w:pPr>
        <w:pStyle w:val="Heading"/>
        <w:spacing w:before="240"/>
      </w:pPr>
      <w:r>
        <w:rPr>
          <w:sz w:val="17"/>
          <w:szCs w:val="17"/>
          <w:rtl w:val="0"/>
          <w:lang w:val="en-US"/>
        </w:rPr>
        <w:t>[7] panaversity. accounts_ai: AI-based accounting co-pilot. github.com/panaversity/accounts_ai (2024).</w:t>
      </w:r>
    </w:p>
    <w:p>
      <w:pPr>
        <w:pStyle w:val="Heading"/>
        <w:spacing w:before="240"/>
      </w:pPr>
      <w:r>
        <w:rPr>
          <w:sz w:val="17"/>
          <w:szCs w:val="17"/>
          <w:rtl w:val="0"/>
          <w:lang w:val="en-US"/>
        </w:rPr>
        <w:t>[8] Wang, X. et al. (2023). AlphaGPT: Human-in-the-Loop Perspective on Research-Driven Alpha Mining for Quantitative Investments.</w:t>
      </w:r>
    </w:p>
    <w:p>
      <w:pPr>
        <w:pStyle w:val="Heading"/>
        <w:spacing w:before="240"/>
      </w:pPr>
      <w:r>
        <w:rPr>
          <w:sz w:val="17"/>
          <w:szCs w:val="17"/>
          <w:rtl w:val="0"/>
          <w:lang w:val="en-US"/>
        </w:rPr>
        <w:t>[9] LangChain Inc. (2024). LangGraph: Agent Orchestration Framework. langchain.com/langgraph.</w:t>
      </w:r>
    </w:p>
    <w:p>
      <w:pPr>
        <w:pStyle w:val="Heading"/>
        <w:spacing w:before="240"/>
      </w:pPr>
      <w:r>
        <w:rPr>
          <w:sz w:val="17"/>
          <w:szCs w:val="17"/>
          <w:rtl w:val="0"/>
          <w:lang w:val="en-US"/>
        </w:rPr>
        <w:t>[10] Intuit. quickbooks-online-mcp-server. github.com/intuit/quickbooks-online-mcp-server (2025).</w:t>
      </w:r>
    </w:p>
    <w:sectPr>
      <w:headerReference w:type="default" r:id="rId5"/>
      <w:footerReference w:type="default" r:id="rId6"/>
      <w:pgSz w:w="12240" w:h="15840" w:orient="portrait"/>
      <w:pgMar w:top="1440" w:right="1260" w:bottom="1440" w:left="126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00" w:after="12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fr-FR"/>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200" w:after="100" w:line="24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